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DA7" w:rsidRPr="00E106F6" w:rsidRDefault="00740DA7">
      <w:pPr>
        <w:pStyle w:val="RubrikSammanf"/>
        <w:shd w:val="clear" w:color="000000" w:fill="auto"/>
        <w:spacing w:before="125"/>
      </w:pPr>
      <w:bookmarkStart w:id="0" w:name="_Toc305011736"/>
      <w:r w:rsidRPr="00E106F6">
        <w:t>Sammanfattning</w:t>
      </w:r>
    </w:p>
    <w:p w:rsidR="00740DA7" w:rsidRPr="00E106F6" w:rsidRDefault="00740DA7">
      <w:pPr>
        <w:shd w:val="clear" w:color="000000" w:fill="auto"/>
      </w:pPr>
      <w:bookmarkStart w:id="1" w:name="_Toc305011737"/>
      <w:bookmarkEnd w:id="0"/>
      <w:r w:rsidRPr="00E106F6">
        <w:t>Miljöpartiet de gröna vill ha en effektiv och väl fungerande ledning av riket. En regering som prioriterar viktiga frågor, en effektiv tillsyn och granskning av myndigheternas verksamhet och en regional myndighetsorganisation som stödjer arbetet för en långsiktigt hållbar omställning. De nationella minorit</w:t>
      </w:r>
      <w:r w:rsidRPr="00E106F6">
        <w:t>e</w:t>
      </w:r>
      <w:r w:rsidRPr="00E106F6">
        <w:t>ternas särställning ska värnas. Vi föreslår därför bland annat att anslaget till Regeringskansliet minskas med 300 miljoner kronor per år, att en ny nationell statlig tillsynsorganisation skapas, att stödet till kvinno- och mansjourerna utökas och permanentas samt att sametinget ges utökade resurser. Vi vill också att en ny nationell mediepolitik tas fram.</w:t>
      </w:r>
      <w:bookmarkEnd w:id="1"/>
    </w:p>
    <w:p w:rsidR="00740DA7" w:rsidRPr="00E106F6" w:rsidRDefault="00740DA7">
      <w:pPr>
        <w:pStyle w:val="Frslagsrubrik"/>
        <w:shd w:val="clear" w:color="000000" w:fill="auto"/>
      </w:pPr>
      <w:bookmarkStart w:id="2" w:name="_Toc305011738"/>
      <w:r w:rsidRPr="00E106F6">
        <w:t>Förslag till riksdagsbeslut</w:t>
      </w:r>
      <w:bookmarkEnd w:id="2"/>
    </w:p>
    <w:p w:rsidR="00740DA7" w:rsidRPr="00E106F6" w:rsidRDefault="00740DA7">
      <w:pPr>
        <w:pStyle w:val="Hemstlatt"/>
        <w:numPr>
          <w:ilvl w:val="0"/>
          <w:numId w:val="1"/>
        </w:numPr>
        <w:shd w:val="clear" w:color="000000" w:fill="auto"/>
      </w:pPr>
      <w:r w:rsidRPr="00E106F6">
        <w:t>Riksdagen beslutar att avslå regeringens fö</w:t>
      </w:r>
      <w:r w:rsidRPr="00E106F6">
        <w:t>r</w:t>
      </w:r>
      <w:r w:rsidRPr="00E106F6">
        <w:t>slag till lag om ändring i radio- och tv-lagen (2010:696).</w:t>
      </w:r>
    </w:p>
    <w:p w:rsidR="00740DA7" w:rsidRPr="00E106F6" w:rsidRDefault="00740DA7">
      <w:pPr>
        <w:pStyle w:val="Hemstlatt"/>
        <w:numPr>
          <w:ilvl w:val="0"/>
          <w:numId w:val="1"/>
        </w:numPr>
        <w:shd w:val="clear" w:color="000000" w:fill="auto"/>
      </w:pPr>
      <w:r w:rsidRPr="00E106F6">
        <w:t>Riksdagen tillkännager för regeringen som sin mening vad som anförs i motionen om behovet av en utredning om en ny medi</w:t>
      </w:r>
      <w:r w:rsidRPr="00E106F6">
        <w:t>e</w:t>
      </w:r>
      <w:r w:rsidRPr="00E106F6">
        <w:t>politik i Sverige.</w:t>
      </w:r>
    </w:p>
    <w:p w:rsidR="00740DA7" w:rsidRPr="00E106F6" w:rsidRDefault="00740DA7">
      <w:pPr>
        <w:pStyle w:val="Hemstlatt"/>
        <w:numPr>
          <w:ilvl w:val="0"/>
          <w:numId w:val="1"/>
        </w:numPr>
        <w:shd w:val="clear" w:color="000000" w:fill="auto"/>
      </w:pPr>
      <w:r w:rsidRPr="00E106F6">
        <w:t>Riksdagen tillkännager för regeringen som sin mening vad som anförs i motionen om behovet av en ny modell för långsiktigt stabila ekonomiska förutsättningar för kvinno- och mansjo</w:t>
      </w:r>
      <w:r w:rsidRPr="00E106F6">
        <w:t>u</w:t>
      </w:r>
      <w:r w:rsidRPr="00E106F6">
        <w:t>rer.</w:t>
      </w:r>
    </w:p>
    <w:p w:rsidR="00740DA7" w:rsidRPr="00E106F6" w:rsidRDefault="00740DA7">
      <w:pPr>
        <w:pStyle w:val="Hemstlatt"/>
        <w:numPr>
          <w:ilvl w:val="0"/>
          <w:numId w:val="1"/>
        </w:numPr>
        <w:shd w:val="clear" w:color="000000" w:fill="auto"/>
      </w:pPr>
      <w:r w:rsidRPr="00E106F6">
        <w:t>Riksdagen anvisar med följande ändringar i förhållande till regeringens förslag anslagen under utgiftsområde 1 Rikets styre</w:t>
      </w:r>
      <w:r w:rsidRPr="00E106F6">
        <w:t>l</w:t>
      </w:r>
      <w:r w:rsidRPr="00E106F6">
        <w:t>se enligt uppställning:</w:t>
      </w:r>
    </w:p>
    <w:tbl>
      <w:tblPr>
        <w:tblW w:w="6237" w:type="dxa"/>
        <w:tblInd w:w="40" w:type="dxa"/>
        <w:tblBorders>
          <w:top w:val="single" w:sz="4" w:space="0" w:color="auto"/>
        </w:tblBorders>
        <w:tblLayout w:type="fixed"/>
        <w:tblCellMar>
          <w:left w:w="70" w:type="dxa"/>
          <w:right w:w="70" w:type="dxa"/>
        </w:tblCellMar>
        <w:tblLook w:val="0000" w:firstRow="0" w:lastRow="0" w:firstColumn="0" w:lastColumn="0" w:noHBand="0" w:noVBand="0"/>
      </w:tblPr>
      <w:tblGrid>
        <w:gridCol w:w="510"/>
        <w:gridCol w:w="3366"/>
        <w:gridCol w:w="787"/>
        <w:gridCol w:w="787"/>
        <w:gridCol w:w="787"/>
      </w:tblGrid>
      <w:tr w:rsidR="00000000" w:rsidRPr="00E106F6">
        <w:trPr>
          <w:trHeight w:val="262"/>
        </w:trPr>
        <w:tc>
          <w:tcPr>
            <w:tcW w:w="510" w:type="dxa"/>
            <w:tcBorders>
              <w:top w:val="single" w:sz="4" w:space="0" w:color="auto"/>
              <w:bottom w:val="nil"/>
            </w:tcBorders>
          </w:tcPr>
          <w:p w:rsidR="00740DA7" w:rsidRPr="00E106F6" w:rsidRDefault="00740DA7">
            <w:pPr>
              <w:shd w:val="clear" w:color="000000" w:fill="auto"/>
              <w:spacing w:before="60" w:line="200" w:lineRule="exact"/>
              <w:rPr>
                <w:b/>
                <w:sz w:val="16"/>
                <w:szCs w:val="16"/>
              </w:rPr>
            </w:pPr>
          </w:p>
        </w:tc>
        <w:tc>
          <w:tcPr>
            <w:tcW w:w="3366" w:type="dxa"/>
            <w:tcBorders>
              <w:top w:val="single" w:sz="4" w:space="0" w:color="auto"/>
              <w:bottom w:val="nil"/>
            </w:tcBorders>
          </w:tcPr>
          <w:p w:rsidR="00740DA7" w:rsidRPr="00E106F6" w:rsidRDefault="00740DA7">
            <w:pPr>
              <w:shd w:val="clear" w:color="000000" w:fill="auto"/>
              <w:spacing w:before="60" w:line="200" w:lineRule="exact"/>
              <w:rPr>
                <w:b/>
                <w:sz w:val="16"/>
                <w:szCs w:val="16"/>
              </w:rPr>
            </w:pPr>
            <w:r w:rsidRPr="00E106F6">
              <w:rPr>
                <w:b/>
                <w:sz w:val="16"/>
                <w:szCs w:val="16"/>
              </w:rPr>
              <w:t>Anslag</w:t>
            </w:r>
          </w:p>
        </w:tc>
        <w:tc>
          <w:tcPr>
            <w:tcW w:w="2361" w:type="dxa"/>
            <w:gridSpan w:val="3"/>
            <w:tcBorders>
              <w:top w:val="single" w:sz="4" w:space="0" w:color="auto"/>
              <w:bottom w:val="nil"/>
            </w:tcBorders>
          </w:tcPr>
          <w:p w:rsidR="00740DA7" w:rsidRPr="00E106F6" w:rsidRDefault="00740DA7">
            <w:pPr>
              <w:shd w:val="clear" w:color="000000" w:fill="auto"/>
              <w:spacing w:before="60" w:line="200" w:lineRule="exact"/>
              <w:jc w:val="center"/>
              <w:rPr>
                <w:b/>
                <w:sz w:val="16"/>
                <w:szCs w:val="16"/>
              </w:rPr>
            </w:pPr>
            <w:r w:rsidRPr="00E106F6">
              <w:rPr>
                <w:b/>
                <w:sz w:val="16"/>
                <w:szCs w:val="16"/>
              </w:rPr>
              <w:t>Anslagsförändring</w:t>
            </w:r>
          </w:p>
        </w:tc>
      </w:tr>
      <w:tr w:rsidR="00000000" w:rsidRPr="00E106F6">
        <w:trPr>
          <w:trHeight w:val="262"/>
        </w:trPr>
        <w:tc>
          <w:tcPr>
            <w:tcW w:w="510" w:type="dxa"/>
            <w:tcBorders>
              <w:top w:val="nil"/>
              <w:bottom w:val="single" w:sz="4" w:space="0" w:color="auto"/>
            </w:tcBorders>
          </w:tcPr>
          <w:p w:rsidR="00740DA7" w:rsidRPr="00E106F6" w:rsidRDefault="00740DA7">
            <w:pPr>
              <w:shd w:val="clear" w:color="000000" w:fill="auto"/>
              <w:spacing w:before="60" w:line="200" w:lineRule="exact"/>
              <w:rPr>
                <w:b/>
                <w:sz w:val="16"/>
                <w:szCs w:val="16"/>
              </w:rPr>
            </w:pPr>
          </w:p>
        </w:tc>
        <w:tc>
          <w:tcPr>
            <w:tcW w:w="3366" w:type="dxa"/>
            <w:tcBorders>
              <w:top w:val="nil"/>
              <w:bottom w:val="single" w:sz="4" w:space="0" w:color="auto"/>
            </w:tcBorders>
          </w:tcPr>
          <w:p w:rsidR="00740DA7" w:rsidRPr="00E106F6" w:rsidRDefault="00740DA7">
            <w:pPr>
              <w:shd w:val="clear" w:color="000000" w:fill="auto"/>
              <w:spacing w:before="60" w:line="200" w:lineRule="exact"/>
              <w:rPr>
                <w:b/>
                <w:sz w:val="16"/>
                <w:szCs w:val="16"/>
              </w:rPr>
            </w:pPr>
          </w:p>
        </w:tc>
        <w:tc>
          <w:tcPr>
            <w:tcW w:w="787" w:type="dxa"/>
            <w:tcBorders>
              <w:top w:val="nil"/>
              <w:bottom w:val="single" w:sz="4" w:space="0" w:color="auto"/>
            </w:tcBorders>
          </w:tcPr>
          <w:p w:rsidR="00740DA7" w:rsidRPr="00E106F6" w:rsidRDefault="00740DA7">
            <w:pPr>
              <w:shd w:val="clear" w:color="000000" w:fill="auto"/>
              <w:spacing w:before="60" w:line="200" w:lineRule="exact"/>
              <w:jc w:val="right"/>
              <w:rPr>
                <w:b/>
                <w:sz w:val="16"/>
                <w:szCs w:val="16"/>
              </w:rPr>
            </w:pPr>
            <w:r w:rsidRPr="00E106F6">
              <w:rPr>
                <w:b/>
                <w:sz w:val="16"/>
                <w:szCs w:val="16"/>
              </w:rPr>
              <w:t>2012</w:t>
            </w:r>
          </w:p>
        </w:tc>
        <w:tc>
          <w:tcPr>
            <w:tcW w:w="787" w:type="dxa"/>
            <w:tcBorders>
              <w:top w:val="nil"/>
              <w:bottom w:val="single" w:sz="4" w:space="0" w:color="auto"/>
            </w:tcBorders>
          </w:tcPr>
          <w:p w:rsidR="00740DA7" w:rsidRPr="00E106F6" w:rsidRDefault="00740DA7">
            <w:pPr>
              <w:shd w:val="clear" w:color="000000" w:fill="auto"/>
              <w:spacing w:before="60" w:line="200" w:lineRule="exact"/>
              <w:jc w:val="right"/>
              <w:rPr>
                <w:b/>
                <w:sz w:val="16"/>
                <w:szCs w:val="16"/>
              </w:rPr>
            </w:pPr>
            <w:r w:rsidRPr="00E106F6">
              <w:rPr>
                <w:b/>
                <w:sz w:val="16"/>
                <w:szCs w:val="16"/>
              </w:rPr>
              <w:t>2013</w:t>
            </w:r>
          </w:p>
        </w:tc>
        <w:tc>
          <w:tcPr>
            <w:tcW w:w="787" w:type="dxa"/>
            <w:tcBorders>
              <w:top w:val="nil"/>
              <w:bottom w:val="single" w:sz="4" w:space="0" w:color="auto"/>
            </w:tcBorders>
          </w:tcPr>
          <w:p w:rsidR="00740DA7" w:rsidRPr="00E106F6" w:rsidRDefault="00740DA7">
            <w:pPr>
              <w:shd w:val="clear" w:color="000000" w:fill="auto"/>
              <w:spacing w:before="60" w:line="200" w:lineRule="exact"/>
              <w:jc w:val="right"/>
              <w:rPr>
                <w:b/>
                <w:sz w:val="16"/>
                <w:szCs w:val="16"/>
              </w:rPr>
            </w:pPr>
            <w:r w:rsidRPr="00E106F6">
              <w:rPr>
                <w:b/>
                <w:sz w:val="16"/>
                <w:szCs w:val="16"/>
              </w:rPr>
              <w:t>2014</w:t>
            </w:r>
          </w:p>
        </w:tc>
      </w:tr>
      <w:tr w:rsidR="00000000" w:rsidRPr="00E106F6">
        <w:trPr>
          <w:trHeight w:val="262"/>
        </w:trPr>
        <w:tc>
          <w:tcPr>
            <w:tcW w:w="510" w:type="dxa"/>
            <w:tcBorders>
              <w:top w:val="single" w:sz="4" w:space="0" w:color="auto"/>
            </w:tcBorders>
          </w:tcPr>
          <w:p w:rsidR="00740DA7" w:rsidRPr="00E106F6" w:rsidRDefault="00740DA7">
            <w:pPr>
              <w:shd w:val="clear" w:color="000000" w:fill="auto"/>
              <w:spacing w:before="60" w:line="200" w:lineRule="exact"/>
              <w:rPr>
                <w:sz w:val="16"/>
                <w:szCs w:val="16"/>
              </w:rPr>
            </w:pPr>
            <w:r w:rsidRPr="00E106F6">
              <w:rPr>
                <w:sz w:val="16"/>
                <w:szCs w:val="16"/>
              </w:rPr>
              <w:t>3:1</w:t>
            </w:r>
          </w:p>
        </w:tc>
        <w:tc>
          <w:tcPr>
            <w:tcW w:w="3366" w:type="dxa"/>
            <w:tcBorders>
              <w:top w:val="single" w:sz="4" w:space="0" w:color="auto"/>
            </w:tcBorders>
          </w:tcPr>
          <w:p w:rsidR="00740DA7" w:rsidRPr="00E106F6" w:rsidRDefault="00740DA7">
            <w:pPr>
              <w:shd w:val="clear" w:color="000000" w:fill="auto"/>
              <w:spacing w:before="60" w:line="200" w:lineRule="exact"/>
              <w:rPr>
                <w:sz w:val="16"/>
                <w:szCs w:val="16"/>
              </w:rPr>
            </w:pPr>
            <w:r w:rsidRPr="00E106F6">
              <w:rPr>
                <w:sz w:val="16"/>
                <w:szCs w:val="16"/>
              </w:rPr>
              <w:t>Sametinget</w:t>
            </w:r>
          </w:p>
        </w:tc>
        <w:tc>
          <w:tcPr>
            <w:tcW w:w="787" w:type="dxa"/>
            <w:tcBorders>
              <w:top w:val="single" w:sz="4" w:space="0" w:color="auto"/>
            </w:tcBorders>
          </w:tcPr>
          <w:p w:rsidR="00740DA7" w:rsidRPr="00E106F6" w:rsidRDefault="00740DA7">
            <w:pPr>
              <w:shd w:val="clear" w:color="000000" w:fill="auto"/>
              <w:spacing w:before="60" w:line="200" w:lineRule="exact"/>
              <w:jc w:val="right"/>
              <w:rPr>
                <w:sz w:val="16"/>
                <w:szCs w:val="16"/>
              </w:rPr>
            </w:pPr>
            <w:r w:rsidRPr="00E106F6">
              <w:rPr>
                <w:sz w:val="16"/>
                <w:szCs w:val="16"/>
              </w:rPr>
              <w:t>+7</w:t>
            </w:r>
          </w:p>
        </w:tc>
        <w:tc>
          <w:tcPr>
            <w:tcW w:w="787" w:type="dxa"/>
            <w:tcBorders>
              <w:top w:val="single" w:sz="4" w:space="0" w:color="auto"/>
            </w:tcBorders>
          </w:tcPr>
          <w:p w:rsidR="00740DA7" w:rsidRPr="00E106F6" w:rsidRDefault="00740DA7">
            <w:pPr>
              <w:shd w:val="clear" w:color="000000" w:fill="auto"/>
              <w:spacing w:before="60" w:line="200" w:lineRule="exact"/>
              <w:jc w:val="right"/>
              <w:rPr>
                <w:sz w:val="16"/>
                <w:szCs w:val="16"/>
              </w:rPr>
            </w:pPr>
            <w:r w:rsidRPr="00E106F6">
              <w:rPr>
                <w:sz w:val="16"/>
                <w:szCs w:val="16"/>
              </w:rPr>
              <w:t>+7</w:t>
            </w:r>
          </w:p>
        </w:tc>
        <w:tc>
          <w:tcPr>
            <w:tcW w:w="787" w:type="dxa"/>
            <w:tcBorders>
              <w:top w:val="single" w:sz="4" w:space="0" w:color="auto"/>
            </w:tcBorders>
          </w:tcPr>
          <w:p w:rsidR="00740DA7" w:rsidRPr="00E106F6" w:rsidRDefault="00740DA7">
            <w:pPr>
              <w:shd w:val="clear" w:color="000000" w:fill="auto"/>
              <w:spacing w:before="60" w:line="200" w:lineRule="exact"/>
              <w:jc w:val="right"/>
              <w:rPr>
                <w:sz w:val="16"/>
                <w:szCs w:val="16"/>
              </w:rPr>
            </w:pPr>
            <w:r w:rsidRPr="00E106F6">
              <w:rPr>
                <w:sz w:val="16"/>
                <w:szCs w:val="16"/>
              </w:rPr>
              <w:t>+7</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4:1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Regeringskansliet m.m.</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–300</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–300</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–300</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Länsstyrelserna m.m.</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+125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+195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+240</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6:2</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Justitiekanslern</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6:3</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Datainspektionen</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–37,393</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–37,393</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–37,393</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p>
        </w:tc>
        <w:tc>
          <w:tcPr>
            <w:tcW w:w="3366" w:type="dxa"/>
          </w:tcPr>
          <w:p w:rsidR="00740DA7" w:rsidRPr="00E106F6" w:rsidRDefault="00740DA7">
            <w:pPr>
              <w:shd w:val="clear" w:color="000000" w:fill="auto"/>
              <w:spacing w:before="60" w:line="200" w:lineRule="exact"/>
              <w:rPr>
                <w:sz w:val="16"/>
                <w:szCs w:val="16"/>
              </w:rPr>
            </w:pPr>
          </w:p>
        </w:tc>
        <w:tc>
          <w:tcPr>
            <w:tcW w:w="787" w:type="dxa"/>
          </w:tcPr>
          <w:p w:rsidR="00740DA7" w:rsidRPr="00E106F6" w:rsidRDefault="00740DA7">
            <w:pPr>
              <w:shd w:val="clear" w:color="000000" w:fill="auto"/>
              <w:spacing w:before="60" w:line="200" w:lineRule="exact"/>
              <w:jc w:val="right"/>
              <w:rPr>
                <w:sz w:val="16"/>
                <w:szCs w:val="16"/>
              </w:rPr>
            </w:pPr>
          </w:p>
        </w:tc>
        <w:tc>
          <w:tcPr>
            <w:tcW w:w="787" w:type="dxa"/>
          </w:tcPr>
          <w:p w:rsidR="00740DA7" w:rsidRPr="00E106F6" w:rsidRDefault="00740DA7">
            <w:pPr>
              <w:shd w:val="clear" w:color="000000" w:fill="auto"/>
              <w:spacing w:before="60" w:line="200" w:lineRule="exact"/>
              <w:jc w:val="right"/>
              <w:rPr>
                <w:sz w:val="16"/>
                <w:szCs w:val="16"/>
              </w:rPr>
            </w:pPr>
          </w:p>
        </w:tc>
        <w:tc>
          <w:tcPr>
            <w:tcW w:w="787" w:type="dxa"/>
          </w:tcPr>
          <w:p w:rsidR="00740DA7" w:rsidRPr="00E106F6" w:rsidRDefault="00740DA7">
            <w:pPr>
              <w:shd w:val="clear" w:color="000000" w:fill="auto"/>
              <w:spacing w:before="60" w:line="200" w:lineRule="exact"/>
              <w:jc w:val="right"/>
              <w:rPr>
                <w:sz w:val="16"/>
                <w:szCs w:val="16"/>
              </w:rPr>
            </w:pP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p>
        </w:tc>
        <w:tc>
          <w:tcPr>
            <w:tcW w:w="3366" w:type="dxa"/>
          </w:tcPr>
          <w:p w:rsidR="00740DA7" w:rsidRPr="00E106F6" w:rsidRDefault="00740DA7">
            <w:pPr>
              <w:shd w:val="clear" w:color="000000" w:fill="auto"/>
              <w:spacing w:before="60" w:line="200" w:lineRule="exact"/>
              <w:rPr>
                <w:i/>
                <w:iCs/>
                <w:sz w:val="16"/>
                <w:szCs w:val="16"/>
              </w:rPr>
            </w:pPr>
            <w:r w:rsidRPr="00E106F6">
              <w:rPr>
                <w:i/>
                <w:iCs/>
                <w:sz w:val="16"/>
                <w:szCs w:val="16"/>
              </w:rPr>
              <w:t>Nya anslag</w:t>
            </w:r>
          </w:p>
        </w:tc>
        <w:tc>
          <w:tcPr>
            <w:tcW w:w="787" w:type="dxa"/>
          </w:tcPr>
          <w:p w:rsidR="00740DA7" w:rsidRPr="00E106F6" w:rsidRDefault="00740DA7">
            <w:pPr>
              <w:shd w:val="clear" w:color="000000" w:fill="auto"/>
              <w:spacing w:before="60" w:line="200" w:lineRule="exact"/>
              <w:jc w:val="right"/>
              <w:rPr>
                <w:sz w:val="16"/>
                <w:szCs w:val="16"/>
              </w:rPr>
            </w:pPr>
          </w:p>
        </w:tc>
        <w:tc>
          <w:tcPr>
            <w:tcW w:w="787" w:type="dxa"/>
          </w:tcPr>
          <w:p w:rsidR="00740DA7" w:rsidRPr="00E106F6" w:rsidRDefault="00740DA7">
            <w:pPr>
              <w:shd w:val="clear" w:color="000000" w:fill="auto"/>
              <w:spacing w:before="60" w:line="200" w:lineRule="exact"/>
              <w:jc w:val="right"/>
              <w:rPr>
                <w:sz w:val="16"/>
                <w:szCs w:val="16"/>
              </w:rPr>
            </w:pPr>
          </w:p>
        </w:tc>
        <w:tc>
          <w:tcPr>
            <w:tcW w:w="787" w:type="dxa"/>
          </w:tcPr>
          <w:p w:rsidR="00740DA7" w:rsidRPr="00E106F6" w:rsidRDefault="00740DA7">
            <w:pPr>
              <w:shd w:val="clear" w:color="000000" w:fill="auto"/>
              <w:spacing w:before="60" w:line="200" w:lineRule="exact"/>
              <w:jc w:val="right"/>
              <w:rPr>
                <w:sz w:val="16"/>
                <w:szCs w:val="16"/>
              </w:rPr>
            </w:pPr>
          </w:p>
        </w:tc>
      </w:tr>
      <w:tr w:rsidR="00000000" w:rsidRPr="00E106F6">
        <w:trPr>
          <w:trHeight w:val="262"/>
        </w:trPr>
        <w:tc>
          <w:tcPr>
            <w:tcW w:w="510" w:type="dxa"/>
            <w:tcBorders>
              <w:bottom w:val="nil"/>
            </w:tcBorders>
          </w:tcPr>
          <w:p w:rsidR="00740DA7" w:rsidRPr="00E106F6" w:rsidRDefault="00740DA7">
            <w:pPr>
              <w:shd w:val="clear" w:color="000000" w:fill="auto"/>
              <w:spacing w:before="60" w:line="200" w:lineRule="exact"/>
              <w:rPr>
                <w:sz w:val="16"/>
                <w:szCs w:val="16"/>
              </w:rPr>
            </w:pPr>
            <w:r w:rsidRPr="00E106F6">
              <w:rPr>
                <w:sz w:val="16"/>
                <w:szCs w:val="16"/>
              </w:rPr>
              <w:t>2:4</w:t>
            </w:r>
          </w:p>
        </w:tc>
        <w:tc>
          <w:tcPr>
            <w:tcW w:w="3366" w:type="dxa"/>
            <w:tcBorders>
              <w:bottom w:val="nil"/>
            </w:tcBorders>
          </w:tcPr>
          <w:p w:rsidR="00740DA7" w:rsidRPr="00E106F6" w:rsidRDefault="00740DA7">
            <w:pPr>
              <w:shd w:val="clear" w:color="000000" w:fill="auto"/>
              <w:spacing w:before="60" w:line="200" w:lineRule="exact"/>
              <w:rPr>
                <w:sz w:val="16"/>
                <w:szCs w:val="16"/>
              </w:rPr>
            </w:pPr>
            <w:r w:rsidRPr="00E106F6">
              <w:rPr>
                <w:sz w:val="16"/>
                <w:szCs w:val="16"/>
              </w:rPr>
              <w:t>En ny nationell tillsynsorganisation</w:t>
            </w:r>
          </w:p>
        </w:tc>
        <w:tc>
          <w:tcPr>
            <w:tcW w:w="787" w:type="dxa"/>
            <w:tcBorders>
              <w:bottom w:val="nil"/>
            </w:tcBorders>
          </w:tcPr>
          <w:p w:rsidR="00740DA7" w:rsidRPr="00E106F6" w:rsidRDefault="00740DA7">
            <w:pPr>
              <w:shd w:val="clear" w:color="000000" w:fill="auto"/>
              <w:spacing w:before="60" w:line="200" w:lineRule="exact"/>
              <w:jc w:val="right"/>
              <w:rPr>
                <w:sz w:val="16"/>
                <w:szCs w:val="16"/>
              </w:rPr>
            </w:pPr>
            <w:r w:rsidRPr="00E106F6">
              <w:rPr>
                <w:sz w:val="16"/>
                <w:szCs w:val="16"/>
              </w:rPr>
              <w:t>+10</w:t>
            </w:r>
          </w:p>
        </w:tc>
        <w:tc>
          <w:tcPr>
            <w:tcW w:w="787" w:type="dxa"/>
            <w:tcBorders>
              <w:bottom w:val="nil"/>
            </w:tcBorders>
          </w:tcPr>
          <w:p w:rsidR="00740DA7" w:rsidRPr="00E106F6" w:rsidRDefault="00740DA7">
            <w:pPr>
              <w:shd w:val="clear" w:color="000000" w:fill="auto"/>
              <w:spacing w:before="60" w:line="200" w:lineRule="exact"/>
              <w:jc w:val="right"/>
              <w:rPr>
                <w:sz w:val="16"/>
                <w:szCs w:val="16"/>
              </w:rPr>
            </w:pPr>
            <w:r w:rsidRPr="00E106F6">
              <w:rPr>
                <w:sz w:val="16"/>
                <w:szCs w:val="16"/>
              </w:rPr>
              <w:t>+10</w:t>
            </w:r>
          </w:p>
        </w:tc>
        <w:tc>
          <w:tcPr>
            <w:tcW w:w="787" w:type="dxa"/>
            <w:tcBorders>
              <w:bottom w:val="nil"/>
            </w:tcBorders>
          </w:tcPr>
          <w:p w:rsidR="00740DA7" w:rsidRPr="00E106F6" w:rsidRDefault="00740DA7">
            <w:pPr>
              <w:shd w:val="clear" w:color="000000" w:fill="auto"/>
              <w:spacing w:before="60" w:line="200" w:lineRule="exact"/>
              <w:jc w:val="right"/>
              <w:rPr>
                <w:sz w:val="16"/>
                <w:szCs w:val="16"/>
              </w:rPr>
            </w:pPr>
            <w:r w:rsidRPr="00E106F6">
              <w:rPr>
                <w:sz w:val="16"/>
                <w:szCs w:val="16"/>
              </w:rPr>
              <w:t>+10</w:t>
            </w:r>
          </w:p>
        </w:tc>
      </w:tr>
      <w:tr w:rsidR="00000000" w:rsidRPr="00E106F6">
        <w:trPr>
          <w:trHeight w:val="276"/>
        </w:trPr>
        <w:tc>
          <w:tcPr>
            <w:tcW w:w="510" w:type="dxa"/>
            <w:tcBorders>
              <w:top w:val="nil"/>
              <w:bottom w:val="single" w:sz="4" w:space="0" w:color="auto"/>
            </w:tcBorders>
          </w:tcPr>
          <w:p w:rsidR="00740DA7" w:rsidRPr="00E106F6" w:rsidRDefault="00740DA7">
            <w:pPr>
              <w:shd w:val="clear" w:color="000000" w:fill="auto"/>
              <w:spacing w:before="60" w:line="200" w:lineRule="exact"/>
              <w:rPr>
                <w:b/>
                <w:sz w:val="16"/>
                <w:szCs w:val="16"/>
              </w:rPr>
            </w:pPr>
          </w:p>
        </w:tc>
        <w:tc>
          <w:tcPr>
            <w:tcW w:w="3366" w:type="dxa"/>
            <w:tcBorders>
              <w:top w:val="nil"/>
              <w:bottom w:val="single" w:sz="4" w:space="0" w:color="auto"/>
            </w:tcBorders>
          </w:tcPr>
          <w:p w:rsidR="00740DA7" w:rsidRPr="00E106F6" w:rsidRDefault="00740DA7">
            <w:pPr>
              <w:shd w:val="clear" w:color="000000" w:fill="auto"/>
              <w:spacing w:before="60" w:line="200" w:lineRule="exact"/>
              <w:rPr>
                <w:b/>
                <w:i/>
                <w:iCs/>
                <w:sz w:val="16"/>
                <w:szCs w:val="16"/>
              </w:rPr>
            </w:pPr>
            <w:r w:rsidRPr="00E106F6">
              <w:rPr>
                <w:b/>
                <w:i/>
                <w:iCs/>
                <w:sz w:val="16"/>
                <w:szCs w:val="16"/>
              </w:rPr>
              <w:t>Summa</w:t>
            </w:r>
          </w:p>
        </w:tc>
        <w:tc>
          <w:tcPr>
            <w:tcW w:w="787" w:type="dxa"/>
            <w:tcBorders>
              <w:top w:val="nil"/>
              <w:bottom w:val="single" w:sz="4" w:space="0" w:color="auto"/>
            </w:tcBorders>
          </w:tcPr>
          <w:p w:rsidR="00740DA7" w:rsidRPr="00E106F6" w:rsidRDefault="00740DA7">
            <w:pPr>
              <w:shd w:val="clear" w:color="000000" w:fill="auto"/>
              <w:spacing w:before="60" w:line="200" w:lineRule="exact"/>
              <w:jc w:val="right"/>
              <w:rPr>
                <w:b/>
                <w:i/>
                <w:iCs/>
                <w:sz w:val="16"/>
                <w:szCs w:val="16"/>
              </w:rPr>
            </w:pPr>
            <w:r w:rsidRPr="00E106F6">
              <w:rPr>
                <w:b/>
                <w:i/>
                <w:iCs/>
                <w:sz w:val="16"/>
                <w:szCs w:val="16"/>
              </w:rPr>
              <w:t>–196</w:t>
            </w:r>
          </w:p>
        </w:tc>
        <w:tc>
          <w:tcPr>
            <w:tcW w:w="787" w:type="dxa"/>
            <w:tcBorders>
              <w:top w:val="nil"/>
              <w:bottom w:val="single" w:sz="4" w:space="0" w:color="auto"/>
            </w:tcBorders>
          </w:tcPr>
          <w:p w:rsidR="00740DA7" w:rsidRPr="00E106F6" w:rsidRDefault="00740DA7">
            <w:pPr>
              <w:shd w:val="clear" w:color="000000" w:fill="auto"/>
              <w:spacing w:before="60" w:line="200" w:lineRule="exact"/>
              <w:jc w:val="right"/>
              <w:rPr>
                <w:b/>
                <w:i/>
                <w:iCs/>
                <w:sz w:val="16"/>
                <w:szCs w:val="16"/>
              </w:rPr>
            </w:pPr>
            <w:r w:rsidRPr="00E106F6">
              <w:rPr>
                <w:b/>
                <w:i/>
                <w:iCs/>
                <w:sz w:val="16"/>
                <w:szCs w:val="16"/>
              </w:rPr>
              <w:t>–127</w:t>
            </w:r>
          </w:p>
        </w:tc>
        <w:tc>
          <w:tcPr>
            <w:tcW w:w="787" w:type="dxa"/>
            <w:tcBorders>
              <w:top w:val="nil"/>
              <w:bottom w:val="single" w:sz="4" w:space="0" w:color="auto"/>
            </w:tcBorders>
          </w:tcPr>
          <w:p w:rsidR="00740DA7" w:rsidRPr="00E106F6" w:rsidRDefault="00740DA7">
            <w:pPr>
              <w:shd w:val="clear" w:color="000000" w:fill="auto"/>
              <w:spacing w:before="60" w:line="200" w:lineRule="exact"/>
              <w:jc w:val="right"/>
              <w:rPr>
                <w:b/>
                <w:i/>
                <w:iCs/>
                <w:sz w:val="16"/>
                <w:szCs w:val="16"/>
              </w:rPr>
            </w:pPr>
            <w:r w:rsidRPr="00E106F6">
              <w:rPr>
                <w:b/>
                <w:i/>
                <w:iCs/>
                <w:sz w:val="16"/>
                <w:szCs w:val="16"/>
              </w:rPr>
              <w:t>–83</w:t>
            </w:r>
          </w:p>
        </w:tc>
      </w:tr>
      <w:tr w:rsidR="00000000" w:rsidRPr="00E106F6">
        <w:trPr>
          <w:trHeight w:val="262"/>
        </w:trPr>
        <w:tc>
          <w:tcPr>
            <w:tcW w:w="510" w:type="dxa"/>
            <w:tcBorders>
              <w:top w:val="single" w:sz="4" w:space="0" w:color="auto"/>
            </w:tcBorders>
          </w:tcPr>
          <w:p w:rsidR="00740DA7" w:rsidRPr="00E106F6" w:rsidRDefault="00740DA7">
            <w:pPr>
              <w:shd w:val="clear" w:color="000000" w:fill="auto"/>
              <w:spacing w:before="60" w:line="200" w:lineRule="exact"/>
              <w:rPr>
                <w:sz w:val="16"/>
                <w:szCs w:val="16"/>
              </w:rPr>
            </w:pPr>
          </w:p>
        </w:tc>
        <w:tc>
          <w:tcPr>
            <w:tcW w:w="3366" w:type="dxa"/>
            <w:tcBorders>
              <w:top w:val="single" w:sz="4" w:space="0" w:color="auto"/>
            </w:tcBorders>
          </w:tcPr>
          <w:p w:rsidR="00740DA7" w:rsidRPr="00E106F6" w:rsidRDefault="00740DA7">
            <w:pPr>
              <w:shd w:val="clear" w:color="000000" w:fill="auto"/>
              <w:spacing w:before="60" w:line="200" w:lineRule="exact"/>
              <w:rPr>
                <w:i/>
                <w:iCs/>
                <w:sz w:val="16"/>
                <w:szCs w:val="16"/>
              </w:rPr>
            </w:pPr>
            <w:r w:rsidRPr="00E106F6">
              <w:rPr>
                <w:i/>
                <w:iCs/>
                <w:sz w:val="16"/>
                <w:szCs w:val="16"/>
              </w:rPr>
              <w:t>Specificering av anslagsförändringar</w:t>
            </w:r>
          </w:p>
        </w:tc>
        <w:tc>
          <w:tcPr>
            <w:tcW w:w="787" w:type="dxa"/>
            <w:tcBorders>
              <w:top w:val="single" w:sz="4" w:space="0" w:color="auto"/>
            </w:tcBorders>
          </w:tcPr>
          <w:p w:rsidR="00740DA7" w:rsidRPr="00E106F6" w:rsidRDefault="00740DA7">
            <w:pPr>
              <w:shd w:val="clear" w:color="000000" w:fill="auto"/>
              <w:spacing w:before="60" w:line="200" w:lineRule="exact"/>
              <w:jc w:val="right"/>
              <w:rPr>
                <w:sz w:val="16"/>
                <w:szCs w:val="16"/>
              </w:rPr>
            </w:pPr>
          </w:p>
        </w:tc>
        <w:tc>
          <w:tcPr>
            <w:tcW w:w="787" w:type="dxa"/>
            <w:tcBorders>
              <w:top w:val="single" w:sz="4" w:space="0" w:color="auto"/>
            </w:tcBorders>
          </w:tcPr>
          <w:p w:rsidR="00740DA7" w:rsidRPr="00E106F6" w:rsidRDefault="00740DA7">
            <w:pPr>
              <w:shd w:val="clear" w:color="000000" w:fill="auto"/>
              <w:spacing w:before="60" w:line="200" w:lineRule="exact"/>
              <w:jc w:val="right"/>
              <w:rPr>
                <w:sz w:val="16"/>
                <w:szCs w:val="16"/>
              </w:rPr>
            </w:pPr>
          </w:p>
        </w:tc>
        <w:tc>
          <w:tcPr>
            <w:tcW w:w="787" w:type="dxa"/>
            <w:tcBorders>
              <w:top w:val="single" w:sz="4" w:space="0" w:color="auto"/>
            </w:tcBorders>
          </w:tcPr>
          <w:p w:rsidR="00740DA7" w:rsidRPr="00E106F6" w:rsidRDefault="00740DA7">
            <w:pPr>
              <w:shd w:val="clear" w:color="000000" w:fill="auto"/>
              <w:spacing w:before="60" w:line="200" w:lineRule="exact"/>
              <w:jc w:val="right"/>
              <w:rPr>
                <w:sz w:val="16"/>
                <w:szCs w:val="16"/>
              </w:rPr>
            </w:pP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3:1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Sametinget; litteratur, politiskt stöd m.m.</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+7</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+7</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+7</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Överförs till UO4 Ny integritetsskyddsmyndighet</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Kvinnojourer</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+10</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+10</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+10</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Övergripande miljömålsarbete</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+25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+45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+55</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Giftfri miljö</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+10</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Hav i balans</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+45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+60</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Levande sjöar och vattendrag</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+25</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Myllrande våtmarker</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+15</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+20</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Skogsskydd</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+20</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+20</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+20</w:t>
            </w:r>
          </w:p>
        </w:tc>
      </w:tr>
      <w:tr w:rsidR="00000000" w:rsidRPr="00E106F6">
        <w:trPr>
          <w:trHeight w:val="262"/>
        </w:trPr>
        <w:tc>
          <w:tcPr>
            <w:tcW w:w="510" w:type="dxa"/>
          </w:tcPr>
          <w:p w:rsidR="00740DA7" w:rsidRPr="00E106F6" w:rsidRDefault="00740DA7">
            <w:pPr>
              <w:shd w:val="clear" w:color="000000" w:fill="auto"/>
              <w:spacing w:before="60" w:line="200" w:lineRule="exact"/>
              <w:rPr>
                <w:sz w:val="16"/>
                <w:szCs w:val="16"/>
              </w:rPr>
            </w:pPr>
            <w:r w:rsidRPr="00E106F6">
              <w:rPr>
                <w:sz w:val="16"/>
                <w:szCs w:val="16"/>
              </w:rPr>
              <w:t>5:1</w:t>
            </w:r>
          </w:p>
        </w:tc>
        <w:tc>
          <w:tcPr>
            <w:tcW w:w="3366" w:type="dxa"/>
          </w:tcPr>
          <w:p w:rsidR="00740DA7" w:rsidRPr="00E106F6" w:rsidRDefault="00740DA7">
            <w:pPr>
              <w:shd w:val="clear" w:color="000000" w:fill="auto"/>
              <w:spacing w:before="60" w:line="200" w:lineRule="exact"/>
              <w:rPr>
                <w:sz w:val="16"/>
                <w:szCs w:val="16"/>
              </w:rPr>
            </w:pPr>
            <w:r w:rsidRPr="00E106F6">
              <w:rPr>
                <w:sz w:val="16"/>
                <w:szCs w:val="16"/>
              </w:rPr>
              <w:t>Djurskyddskontroller</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+40</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+40</w:t>
            </w:r>
          </w:p>
        </w:tc>
        <w:tc>
          <w:tcPr>
            <w:tcW w:w="787" w:type="dxa"/>
          </w:tcPr>
          <w:p w:rsidR="00740DA7" w:rsidRPr="00E106F6" w:rsidRDefault="00740DA7">
            <w:pPr>
              <w:shd w:val="clear" w:color="000000" w:fill="auto"/>
              <w:spacing w:before="60" w:line="200" w:lineRule="exact"/>
              <w:jc w:val="right"/>
              <w:rPr>
                <w:sz w:val="16"/>
                <w:szCs w:val="16"/>
              </w:rPr>
            </w:pPr>
            <w:r w:rsidRPr="00E106F6">
              <w:rPr>
                <w:sz w:val="16"/>
                <w:szCs w:val="16"/>
              </w:rPr>
              <w:t>+40</w:t>
            </w:r>
          </w:p>
        </w:tc>
      </w:tr>
      <w:tr w:rsidR="00000000" w:rsidRPr="00E106F6">
        <w:trPr>
          <w:trHeight w:val="262"/>
        </w:trPr>
        <w:tc>
          <w:tcPr>
            <w:tcW w:w="510" w:type="dxa"/>
            <w:tcBorders>
              <w:bottom w:val="nil"/>
            </w:tcBorders>
          </w:tcPr>
          <w:p w:rsidR="00740DA7" w:rsidRPr="00E106F6" w:rsidRDefault="00740DA7">
            <w:pPr>
              <w:shd w:val="clear" w:color="000000" w:fill="auto"/>
              <w:spacing w:before="60" w:line="200" w:lineRule="exact"/>
              <w:rPr>
                <w:sz w:val="16"/>
                <w:szCs w:val="16"/>
              </w:rPr>
            </w:pPr>
            <w:r w:rsidRPr="00E106F6">
              <w:rPr>
                <w:sz w:val="16"/>
                <w:szCs w:val="16"/>
              </w:rPr>
              <w:t>6:2</w:t>
            </w:r>
          </w:p>
        </w:tc>
        <w:tc>
          <w:tcPr>
            <w:tcW w:w="3366" w:type="dxa"/>
            <w:tcBorders>
              <w:bottom w:val="nil"/>
            </w:tcBorders>
          </w:tcPr>
          <w:p w:rsidR="00740DA7" w:rsidRPr="00E106F6" w:rsidRDefault="00740DA7">
            <w:pPr>
              <w:shd w:val="clear" w:color="000000" w:fill="auto"/>
              <w:spacing w:before="60" w:line="200" w:lineRule="exact"/>
              <w:rPr>
                <w:sz w:val="16"/>
                <w:szCs w:val="16"/>
              </w:rPr>
            </w:pPr>
            <w:r w:rsidRPr="00E106F6">
              <w:rPr>
                <w:sz w:val="16"/>
                <w:szCs w:val="16"/>
              </w:rPr>
              <w:t>Överförs till UO4 Ny integritetsskyddsmyndighet</w:t>
            </w:r>
          </w:p>
        </w:tc>
        <w:tc>
          <w:tcPr>
            <w:tcW w:w="787" w:type="dxa"/>
            <w:tcBorders>
              <w:bottom w:val="nil"/>
            </w:tcBorders>
          </w:tcPr>
          <w:p w:rsidR="00740DA7" w:rsidRPr="00E106F6" w:rsidRDefault="00740DA7">
            <w:pPr>
              <w:shd w:val="clear" w:color="000000" w:fill="auto"/>
              <w:spacing w:before="60" w:line="200" w:lineRule="exact"/>
              <w:jc w:val="right"/>
              <w:rPr>
                <w:sz w:val="16"/>
                <w:szCs w:val="16"/>
              </w:rPr>
            </w:pPr>
            <w:r w:rsidRPr="00E106F6">
              <w:rPr>
                <w:sz w:val="16"/>
                <w:szCs w:val="16"/>
              </w:rPr>
              <w:t>–1</w:t>
            </w:r>
          </w:p>
        </w:tc>
        <w:tc>
          <w:tcPr>
            <w:tcW w:w="787" w:type="dxa"/>
            <w:tcBorders>
              <w:bottom w:val="nil"/>
            </w:tcBorders>
          </w:tcPr>
          <w:p w:rsidR="00740DA7" w:rsidRPr="00E106F6" w:rsidRDefault="00740DA7">
            <w:pPr>
              <w:shd w:val="clear" w:color="000000" w:fill="auto"/>
              <w:spacing w:before="60" w:line="200" w:lineRule="exact"/>
              <w:jc w:val="right"/>
              <w:rPr>
                <w:sz w:val="16"/>
                <w:szCs w:val="16"/>
              </w:rPr>
            </w:pPr>
            <w:r w:rsidRPr="00E106F6">
              <w:rPr>
                <w:sz w:val="16"/>
                <w:szCs w:val="16"/>
              </w:rPr>
              <w:t>–1</w:t>
            </w:r>
          </w:p>
        </w:tc>
        <w:tc>
          <w:tcPr>
            <w:tcW w:w="787" w:type="dxa"/>
            <w:tcBorders>
              <w:bottom w:val="nil"/>
            </w:tcBorders>
          </w:tcPr>
          <w:p w:rsidR="00740DA7" w:rsidRPr="00E106F6" w:rsidRDefault="00740DA7">
            <w:pPr>
              <w:shd w:val="clear" w:color="000000" w:fill="auto"/>
              <w:spacing w:before="60" w:line="200" w:lineRule="exact"/>
              <w:jc w:val="right"/>
              <w:rPr>
                <w:sz w:val="16"/>
                <w:szCs w:val="16"/>
              </w:rPr>
            </w:pPr>
            <w:r w:rsidRPr="00E106F6">
              <w:rPr>
                <w:sz w:val="16"/>
                <w:szCs w:val="16"/>
              </w:rPr>
              <w:t>–1</w:t>
            </w:r>
          </w:p>
        </w:tc>
      </w:tr>
      <w:tr w:rsidR="00000000" w:rsidRPr="00E106F6">
        <w:trPr>
          <w:trHeight w:val="262"/>
        </w:trPr>
        <w:tc>
          <w:tcPr>
            <w:tcW w:w="510" w:type="dxa"/>
            <w:tcBorders>
              <w:top w:val="nil"/>
              <w:bottom w:val="single" w:sz="4" w:space="0" w:color="auto"/>
            </w:tcBorders>
          </w:tcPr>
          <w:p w:rsidR="00740DA7" w:rsidRPr="00E106F6" w:rsidRDefault="00740DA7">
            <w:pPr>
              <w:shd w:val="clear" w:color="000000" w:fill="auto"/>
              <w:spacing w:before="60" w:line="200" w:lineRule="exact"/>
              <w:rPr>
                <w:sz w:val="16"/>
                <w:szCs w:val="16"/>
              </w:rPr>
            </w:pPr>
            <w:r w:rsidRPr="00E106F6">
              <w:rPr>
                <w:sz w:val="16"/>
                <w:szCs w:val="16"/>
              </w:rPr>
              <w:t>6:3</w:t>
            </w:r>
          </w:p>
        </w:tc>
        <w:tc>
          <w:tcPr>
            <w:tcW w:w="3366" w:type="dxa"/>
            <w:tcBorders>
              <w:top w:val="nil"/>
              <w:bottom w:val="single" w:sz="4" w:space="0" w:color="auto"/>
            </w:tcBorders>
          </w:tcPr>
          <w:p w:rsidR="00740DA7" w:rsidRPr="00E106F6" w:rsidRDefault="00740DA7">
            <w:pPr>
              <w:shd w:val="clear" w:color="000000" w:fill="auto"/>
              <w:spacing w:before="60" w:line="200" w:lineRule="exact"/>
              <w:rPr>
                <w:sz w:val="16"/>
                <w:szCs w:val="16"/>
              </w:rPr>
            </w:pPr>
            <w:r w:rsidRPr="00E106F6">
              <w:rPr>
                <w:sz w:val="16"/>
                <w:szCs w:val="16"/>
              </w:rPr>
              <w:t>Överförs till UO4 Ny integritetsskyddsmyndighet</w:t>
            </w:r>
          </w:p>
        </w:tc>
        <w:tc>
          <w:tcPr>
            <w:tcW w:w="787" w:type="dxa"/>
            <w:tcBorders>
              <w:top w:val="nil"/>
              <w:bottom w:val="single" w:sz="4" w:space="0" w:color="auto"/>
            </w:tcBorders>
          </w:tcPr>
          <w:p w:rsidR="00740DA7" w:rsidRPr="00E106F6" w:rsidRDefault="00740DA7">
            <w:pPr>
              <w:shd w:val="clear" w:color="000000" w:fill="auto"/>
              <w:spacing w:before="60" w:line="200" w:lineRule="exact"/>
              <w:jc w:val="right"/>
              <w:rPr>
                <w:sz w:val="16"/>
                <w:szCs w:val="16"/>
              </w:rPr>
            </w:pPr>
            <w:r w:rsidRPr="00E106F6">
              <w:rPr>
                <w:sz w:val="16"/>
                <w:szCs w:val="16"/>
              </w:rPr>
              <w:t>–37,393</w:t>
            </w:r>
          </w:p>
        </w:tc>
        <w:tc>
          <w:tcPr>
            <w:tcW w:w="787" w:type="dxa"/>
            <w:tcBorders>
              <w:top w:val="nil"/>
              <w:bottom w:val="single" w:sz="4" w:space="0" w:color="auto"/>
            </w:tcBorders>
          </w:tcPr>
          <w:p w:rsidR="00740DA7" w:rsidRPr="00E106F6" w:rsidRDefault="00740DA7">
            <w:pPr>
              <w:shd w:val="clear" w:color="000000" w:fill="auto"/>
              <w:spacing w:before="60" w:line="200" w:lineRule="exact"/>
              <w:jc w:val="right"/>
              <w:rPr>
                <w:sz w:val="16"/>
                <w:szCs w:val="16"/>
              </w:rPr>
            </w:pPr>
            <w:r w:rsidRPr="00E106F6">
              <w:rPr>
                <w:sz w:val="16"/>
                <w:szCs w:val="16"/>
              </w:rPr>
              <w:t>–37,393</w:t>
            </w:r>
          </w:p>
        </w:tc>
        <w:tc>
          <w:tcPr>
            <w:tcW w:w="787" w:type="dxa"/>
            <w:tcBorders>
              <w:top w:val="nil"/>
              <w:bottom w:val="single" w:sz="4" w:space="0" w:color="auto"/>
            </w:tcBorders>
          </w:tcPr>
          <w:p w:rsidR="00740DA7" w:rsidRPr="00E106F6" w:rsidRDefault="00740DA7">
            <w:pPr>
              <w:shd w:val="clear" w:color="000000" w:fill="auto"/>
              <w:spacing w:before="60" w:line="200" w:lineRule="exact"/>
              <w:jc w:val="right"/>
              <w:rPr>
                <w:sz w:val="16"/>
                <w:szCs w:val="16"/>
              </w:rPr>
            </w:pPr>
            <w:r w:rsidRPr="00E106F6">
              <w:rPr>
                <w:sz w:val="16"/>
                <w:szCs w:val="16"/>
              </w:rPr>
              <w:t>–37,393</w:t>
            </w:r>
          </w:p>
        </w:tc>
      </w:tr>
    </w:tbl>
    <w:p w:rsidR="00740DA7" w:rsidRPr="00E106F6" w:rsidRDefault="00740DA7">
      <w:pPr>
        <w:shd w:val="clear" w:color="000000" w:fill="auto"/>
      </w:pPr>
    </w:p>
    <w:p w:rsidR="00740DA7" w:rsidRPr="00E106F6" w:rsidRDefault="00740DA7">
      <w:pPr>
        <w:pStyle w:val="Rubrik1"/>
        <w:shd w:val="clear" w:color="000000" w:fill="auto"/>
        <w:spacing w:before="360"/>
      </w:pPr>
      <w:bookmarkStart w:id="3" w:name="_Toc305011740"/>
      <w:r w:rsidRPr="00E106F6">
        <w:t>Ett smartare och effektivare regeringskansli för bättre styrning av landet</w:t>
      </w:r>
      <w:bookmarkEnd w:id="3"/>
    </w:p>
    <w:p w:rsidR="00740DA7" w:rsidRPr="00E106F6" w:rsidRDefault="00740DA7">
      <w:pPr>
        <w:shd w:val="clear" w:color="000000" w:fill="auto"/>
        <w:rPr>
          <w:i/>
          <w:szCs w:val="24"/>
        </w:rPr>
      </w:pPr>
      <w:r w:rsidRPr="00E106F6">
        <w:t>Regeringskansliets anslag har ökat från 5 493 miljoner kronor år 2006 till nu av regeringen föreslagna 6 251 miljoner kronor för år 2011. Detta är en ö</w:t>
      </w:r>
      <w:r w:rsidRPr="00E106F6">
        <w:t>k</w:t>
      </w:r>
      <w:r w:rsidRPr="00E106F6">
        <w:t>ning med nästan 15 procent under perioden. Samtidigt har antalet anställda minskat från 4 514 till 4471 (år 2010), antalet regeringsärenden minskat från 7 899 till 7 033 och de statliga utredningarna minskat från 118 till 107. Det som har ökat är bland annat antalet anställda på politikeravtalet (från 156 till 191) och exempelvis antalet diarieförda ärenden (från 85 335 till 105 158). Däremellan har Sverige varit ordförande i EU under ett halvår. Detta ensamt kan dock inte förklara den stora ökningen av an</w:t>
      </w:r>
      <w:r w:rsidRPr="00E106F6">
        <w:t xml:space="preserve">slaget, inte heller ökningen av anslagssparandet som vid 2010-års uppgång uppgick till över 800 miljoner kronor. Regeringen har inte kunnat förklara behovet av ett bibehållet anslag samtidigt som sparandet varit stort. Varken ärendemängden eller regeringens politiska agenda har kunnat förklara detta. Besparingar kan således ske utan neddragningar på utlandsmyndigheterna. Miljöpartiet vidhåller därför sitt inför höstbudgeten 2010 framförda förslag om en besparing på 300 miljoner kronor avseende anslaget för </w:t>
      </w:r>
      <w:r w:rsidRPr="00E106F6">
        <w:t>Regeringskansliet</w:t>
      </w:r>
      <w:r w:rsidRPr="00E106F6">
        <w:rPr>
          <w:i/>
        </w:rPr>
        <w:t xml:space="preserve">. </w:t>
      </w:r>
      <w:r w:rsidRPr="00E106F6">
        <w:t>Det är Miljöpartiets bedö</w:t>
      </w:r>
      <w:r w:rsidRPr="00E106F6">
        <w:t>m</w:t>
      </w:r>
      <w:r w:rsidRPr="00E106F6">
        <w:t>ning att besparingen kan ske utan att personal sägs upp</w:t>
      </w:r>
      <w:r w:rsidRPr="00E106F6">
        <w:rPr>
          <w:i/>
        </w:rPr>
        <w:t xml:space="preserve">, </w:t>
      </w:r>
      <w:r w:rsidRPr="00E106F6">
        <w:t>då det finns anslag</w:t>
      </w:r>
      <w:r w:rsidRPr="00E106F6">
        <w:t>s</w:t>
      </w:r>
      <w:r w:rsidRPr="00E106F6">
        <w:t>sparande.</w:t>
      </w:r>
    </w:p>
    <w:p w:rsidR="00740DA7" w:rsidRPr="00E106F6" w:rsidRDefault="00740DA7">
      <w:pPr>
        <w:pStyle w:val="Rubrik2"/>
        <w:shd w:val="clear" w:color="000000" w:fill="auto"/>
        <w:rPr>
          <w:sz w:val="28"/>
          <w:szCs w:val="28"/>
        </w:rPr>
      </w:pPr>
      <w:bookmarkStart w:id="4" w:name="_Toc305011741"/>
      <w:r w:rsidRPr="00E106F6">
        <w:rPr>
          <w:sz w:val="28"/>
          <w:szCs w:val="28"/>
        </w:rPr>
        <w:t>Ny integritetsskyddsmyndighet</w:t>
      </w:r>
      <w:bookmarkEnd w:id="4"/>
    </w:p>
    <w:p w:rsidR="00740DA7" w:rsidRPr="00E106F6" w:rsidRDefault="00740DA7">
      <w:pPr>
        <w:shd w:val="clear" w:color="000000" w:fill="auto"/>
      </w:pPr>
      <w:r w:rsidRPr="00E106F6">
        <w:t>Under utgiftsområde 4 förklarar Miljöpartiet närmare behovet av en ny inte</w:t>
      </w:r>
      <w:r w:rsidRPr="00E106F6">
        <w:t>g</w:t>
      </w:r>
      <w:r w:rsidRPr="00E106F6">
        <w:t>ritetsskyddsmyndighet. Denna kommer bland annat omfatta Datainspektionen och delar av Justitiekanslerns och länsstyrelsernas arbete. De medel som kan anses motsvara dessa myndigheters integritetsskyddsarbete överförs därför till utgiftsområde 4.</w:t>
      </w:r>
    </w:p>
    <w:p w:rsidR="00740DA7" w:rsidRPr="00E106F6" w:rsidRDefault="00740DA7">
      <w:pPr>
        <w:pStyle w:val="Rubrik2"/>
        <w:shd w:val="clear" w:color="000000" w:fill="auto"/>
      </w:pPr>
      <w:bookmarkStart w:id="5" w:name="_Toc305011742"/>
      <w:r w:rsidRPr="00E106F6">
        <w:t>Behov av en ny mediepolitik</w:t>
      </w:r>
      <w:bookmarkEnd w:id="5"/>
    </w:p>
    <w:p w:rsidR="00740DA7" w:rsidRPr="00E106F6" w:rsidRDefault="00740DA7">
      <w:pPr>
        <w:shd w:val="clear" w:color="000000" w:fill="auto"/>
      </w:pPr>
      <w:r w:rsidRPr="00E106F6">
        <w:t>Regeringen förslår i propositionen att koncessionsavgifterna för sändningstil</w:t>
      </w:r>
      <w:r w:rsidRPr="00E106F6">
        <w:t>l</w:t>
      </w:r>
      <w:r w:rsidRPr="00E106F6">
        <w:t>stånd för kommersiell radio skall sänkas med 12 miljoner kronor för år 2012 utan att ange närmare skäl. Miljöpartiet tolkar situationen som sådan att det handlar om en radiomarknad som har stora ekonomiska problem och som nu regeringen avser stötta på olika sätt. Detta kan inte vara rätt sätt att skapa en mediepolitik för ett modernt Sverige. Tvärtom borde regeringen tala om hur den vill utveckla mediepolitiken och hur den vill underlätta befolkningens möjligheter att på likvärdiga villkor ta del av nyhete</w:t>
      </w:r>
      <w:r w:rsidRPr="00E106F6">
        <w:t>r och information och att kommunicera med varandra, inom hela landet. Det handlar om att medieför</w:t>
      </w:r>
      <w:r w:rsidRPr="00E106F6">
        <w:t>e</w:t>
      </w:r>
      <w:r w:rsidRPr="00E106F6">
        <w:t>tagen i Sverige i dag har helt andra förutsättningar för sin verksamhet än som fanns för några år sedan. Dagens konsumenter konsumerar nyheter och i</w:t>
      </w:r>
      <w:r w:rsidRPr="00E106F6">
        <w:t>n</w:t>
      </w:r>
      <w:r w:rsidRPr="00E106F6">
        <w:t>formation på ett helt annat sätt än de gjorde för tio eller tjugo år sedan. Mot den bakgrunden anser Miljöpartiet att regeringens förslag till lag om ändring i radio- och tv-lagen ska avslås och att i stället en utredning bör tillsättas som förutsättningslöst ser ö</w:t>
      </w:r>
      <w:r w:rsidRPr="00E106F6">
        <w:t>ver förutsättningar för och behov av olika sorters m</w:t>
      </w:r>
      <w:r w:rsidRPr="00E106F6">
        <w:t>e</w:t>
      </w:r>
      <w:r w:rsidRPr="00E106F6">
        <w:t>dier inom hela landet och för hela landets befolkning. Detta bör riksdagen ge regeringen till känna.</w:t>
      </w:r>
    </w:p>
    <w:p w:rsidR="00740DA7" w:rsidRPr="00E106F6" w:rsidRDefault="00740DA7">
      <w:pPr>
        <w:pStyle w:val="Rubrik2"/>
        <w:shd w:val="clear" w:color="000000" w:fill="auto"/>
      </w:pPr>
      <w:bookmarkStart w:id="6" w:name="_Toc305011743"/>
      <w:r w:rsidRPr="00E106F6">
        <w:t>En ny nationell tillsynsorganisation</w:t>
      </w:r>
      <w:bookmarkEnd w:id="6"/>
    </w:p>
    <w:p w:rsidR="00740DA7" w:rsidRPr="00E106F6" w:rsidRDefault="00740DA7">
      <w:pPr>
        <w:shd w:val="clear" w:color="000000" w:fill="auto"/>
      </w:pPr>
      <w:r w:rsidRPr="00E106F6">
        <w:t>Den offentliga organisationen för tillsyn över den offentligdrivna verksamh</w:t>
      </w:r>
      <w:r w:rsidRPr="00E106F6">
        <w:t>e</w:t>
      </w:r>
      <w:r w:rsidRPr="00E106F6">
        <w:t>ten är splittrad såväl vad avser hur den utförs som av vem och hur den fina</w:t>
      </w:r>
      <w:r w:rsidRPr="00E106F6">
        <w:t>n</w:t>
      </w:r>
      <w:r w:rsidRPr="00E106F6">
        <w:t>sieras. För viss verksamhet saknas tillsyn, och det enda ordinarie tillsynsorg</w:t>
      </w:r>
      <w:r w:rsidRPr="00E106F6">
        <w:t>a</w:t>
      </w:r>
      <w:r w:rsidRPr="00E106F6">
        <w:t>net är Justitiekanslern. Det handlar exempelvis om Kriminalvården och M</w:t>
      </w:r>
      <w:r w:rsidRPr="00E106F6">
        <w:t>i</w:t>
      </w:r>
      <w:r w:rsidRPr="00E106F6">
        <w:t>grationsverkets verksamheter. Detta medför att kontrollen över verksamh</w:t>
      </w:r>
      <w:r w:rsidRPr="00E106F6">
        <w:t>e</w:t>
      </w:r>
      <w:r w:rsidRPr="00E106F6">
        <w:t>tens effektivitet och rätta utförande riskerar att brista och att enskildas förtr</w:t>
      </w:r>
      <w:r w:rsidRPr="00E106F6">
        <w:t>o</w:t>
      </w:r>
      <w:r w:rsidRPr="00E106F6">
        <w:t xml:space="preserve">ende för samhället minskar. Till detta kommer att Riksdagens ombudsmän – som är ett extraordinärt tillsynsorgan under riksdagen – </w:t>
      </w:r>
      <w:r w:rsidRPr="00E106F6">
        <w:t>under en lång period av år kommit att få en allt mer ansträngd ärendesituation, som riksdagen s</w:t>
      </w:r>
      <w:r w:rsidRPr="00E106F6">
        <w:t>e</w:t>
      </w:r>
      <w:r w:rsidRPr="00E106F6">
        <w:t>nast sökt underlätta genom ökade delegationsmöjligheter. Det är dock klart för Miljöpartiet att JO allt mer kommit att få en roll som ordinärt tillsynso</w:t>
      </w:r>
      <w:r w:rsidRPr="00E106F6">
        <w:t>r</w:t>
      </w:r>
      <w:r w:rsidRPr="00E106F6">
        <w:t>gan för verksamhetsområden där normal tillsyn inte finns eller är välkänd. Även inom andra områden finns behov av en översyn av tillsynsverksamheten (jfr Tillsynsutredningens förslag i SOU 2004:100 Tillsyn. Förslag om en tydligare och effektivare tillsyn). Ett ge</w:t>
      </w:r>
      <w:r w:rsidRPr="00E106F6">
        <w:t>nomförande av en enhetlig tillsynso</w:t>
      </w:r>
      <w:r w:rsidRPr="00E106F6">
        <w:t>r</w:t>
      </w:r>
      <w:r w:rsidRPr="00E106F6">
        <w:t>ganisation som medför att all offentlig verksamhet bedrivs under effektiv tillsyn kommer att dels leda till en kvalitativt förbättrad verksamhet, dels minska belastningen hos JO och Justitiekanslern.</w:t>
      </w:r>
    </w:p>
    <w:p w:rsidR="00740DA7" w:rsidRPr="00E106F6" w:rsidRDefault="00740DA7">
      <w:pPr>
        <w:pStyle w:val="Normaltindrag"/>
        <w:shd w:val="clear" w:color="000000" w:fill="auto"/>
      </w:pPr>
      <w:r w:rsidRPr="00E106F6">
        <w:t xml:space="preserve">Ett införande av en utökad mer enhetlig tillsynsorganisation behöver inte medföra utökade kostnader för det allmänna. Tillsyn finansieras delvis med skatt, delvis med avgifter. Ett införande av en ny tillsynsorganisation bedöms dock i sig övergångsvis medföra ökade kostnader </w:t>
      </w:r>
      <w:r w:rsidRPr="00E106F6">
        <w:t>om maximalt 10 miljoner kronor per år.</w:t>
      </w:r>
    </w:p>
    <w:p w:rsidR="00740DA7" w:rsidRPr="00E106F6" w:rsidRDefault="00740DA7">
      <w:pPr>
        <w:pStyle w:val="Rubrik2"/>
        <w:shd w:val="clear" w:color="000000" w:fill="auto"/>
      </w:pPr>
      <w:bookmarkStart w:id="7" w:name="_Toc305011744"/>
      <w:r w:rsidRPr="00E106F6">
        <w:t>Länsstyrelserna</w:t>
      </w:r>
      <w:bookmarkEnd w:id="7"/>
    </w:p>
    <w:p w:rsidR="00740DA7" w:rsidRPr="00E106F6" w:rsidRDefault="00740DA7">
      <w:pPr>
        <w:shd w:val="clear" w:color="000000" w:fill="auto"/>
      </w:pPr>
      <w:r w:rsidRPr="00E106F6">
        <w:t>Den statliga verksamheten på regional nivå genom länsstyrelserna har allt sämre förutsättningar för sitt arbete inom naturvård och miljöskydd, särskilt med miljömålsarbetet, men även för djurskydd. Den borgerliga regeringen har under sina år vid makten minskat anslaget för denna verksamhet. Det finns därutöver behov av ett stärkt statligt arbete med bostadsutveckling såväl i tillväxtområden som i områden med svagare utveckling. Samtidigt kommer det inom kort att finnas stora behov av nyanställningar av per</w:t>
      </w:r>
      <w:r w:rsidRPr="00E106F6">
        <w:t>sonal. Länsst</w:t>
      </w:r>
      <w:r w:rsidRPr="00E106F6">
        <w:t>y</w:t>
      </w:r>
      <w:r w:rsidRPr="00E106F6">
        <w:t>relsernas anslag förslås därför utökas med 125 miljoner kronor år 2012 och därefter 195 miljoner kronor för 2013 och 240 miljoner kronor för 2014. Av dessa medel föreslås för år 2012 ett belopp om 10 miljoner kronor gå till kvinnor- och mansjourer, 25 miljoner kronor till övergripande miljömålsarb</w:t>
      </w:r>
      <w:r w:rsidRPr="00E106F6">
        <w:t>e</w:t>
      </w:r>
      <w:r w:rsidRPr="00E106F6">
        <w:t>te, 5 miljoner kronor till giftfri miljö, 15 miljoner kronor till hav i balans, 5 miljoner kronor till levande sjöar och vattendrag, 5 miljoner kronor till myllrande våtmarker, 20 miljoner kronor til</w:t>
      </w:r>
      <w:r w:rsidRPr="00E106F6">
        <w:t>l skogsskydd samt 40 miljoner kronor till ökade och bättre djurskyddskontroller. Flera av dessa anslag för</w:t>
      </w:r>
      <w:r w:rsidRPr="00E106F6">
        <w:t>e</w:t>
      </w:r>
      <w:r w:rsidRPr="00E106F6">
        <w:t>slås ökas både 2013 och 2014, se tabellen.</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3"/>
        <w:gridCol w:w="3298"/>
        <w:gridCol w:w="721"/>
        <w:gridCol w:w="721"/>
        <w:gridCol w:w="721"/>
      </w:tblGrid>
      <w:tr w:rsidR="00000000" w:rsidRPr="00E106F6">
        <w:tc>
          <w:tcPr>
            <w:tcW w:w="680" w:type="dxa"/>
            <w:noWrap/>
            <w:vAlign w:val="bottom"/>
          </w:tcPr>
          <w:p w:rsidR="00740DA7" w:rsidRPr="00E106F6" w:rsidRDefault="00740DA7">
            <w:pPr>
              <w:shd w:val="clear" w:color="000000" w:fill="auto"/>
              <w:spacing w:before="60" w:line="200" w:lineRule="exact"/>
              <w:rPr>
                <w:sz w:val="16"/>
                <w:szCs w:val="16"/>
              </w:rPr>
            </w:pPr>
            <w:r w:rsidRPr="00E106F6">
              <w:rPr>
                <w:sz w:val="16"/>
                <w:szCs w:val="16"/>
              </w:rPr>
              <w:t>5:1</w:t>
            </w:r>
          </w:p>
        </w:tc>
        <w:tc>
          <w:tcPr>
            <w:tcW w:w="5080" w:type="dxa"/>
            <w:noWrap/>
            <w:vAlign w:val="bottom"/>
          </w:tcPr>
          <w:p w:rsidR="00740DA7" w:rsidRPr="00E106F6" w:rsidRDefault="00740DA7">
            <w:pPr>
              <w:shd w:val="clear" w:color="000000" w:fill="auto"/>
              <w:spacing w:before="60" w:line="200" w:lineRule="exact"/>
              <w:jc w:val="left"/>
              <w:rPr>
                <w:sz w:val="16"/>
                <w:szCs w:val="16"/>
              </w:rPr>
            </w:pPr>
            <w:r w:rsidRPr="00E106F6">
              <w:rPr>
                <w:sz w:val="16"/>
                <w:szCs w:val="16"/>
              </w:rPr>
              <w:t>Överförs till UO4 Ny integritetsskyddsmyndi</w:t>
            </w:r>
            <w:r w:rsidRPr="00E106F6">
              <w:rPr>
                <w:sz w:val="16"/>
                <w:szCs w:val="16"/>
              </w:rPr>
              <w:t>g</w:t>
            </w:r>
            <w:r w:rsidRPr="00E106F6">
              <w:rPr>
                <w:sz w:val="16"/>
                <w:szCs w:val="16"/>
              </w:rPr>
              <w:t>het</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-0,5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-0,5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-0,5</w:t>
            </w:r>
          </w:p>
        </w:tc>
      </w:tr>
      <w:tr w:rsidR="00000000" w:rsidRPr="00E106F6">
        <w:tc>
          <w:tcPr>
            <w:tcW w:w="680" w:type="dxa"/>
            <w:noWrap/>
            <w:vAlign w:val="bottom"/>
          </w:tcPr>
          <w:p w:rsidR="00740DA7" w:rsidRPr="00E106F6" w:rsidRDefault="00740DA7">
            <w:pPr>
              <w:shd w:val="clear" w:color="000000" w:fill="auto"/>
              <w:spacing w:before="60" w:line="200" w:lineRule="exact"/>
              <w:rPr>
                <w:sz w:val="16"/>
                <w:szCs w:val="16"/>
              </w:rPr>
            </w:pPr>
            <w:r w:rsidRPr="00E106F6">
              <w:rPr>
                <w:sz w:val="16"/>
                <w:szCs w:val="16"/>
              </w:rPr>
              <w:t>5:1</w:t>
            </w:r>
          </w:p>
        </w:tc>
        <w:tc>
          <w:tcPr>
            <w:tcW w:w="5080" w:type="dxa"/>
            <w:noWrap/>
            <w:vAlign w:val="bottom"/>
          </w:tcPr>
          <w:p w:rsidR="00740DA7" w:rsidRPr="00E106F6" w:rsidRDefault="00740DA7">
            <w:pPr>
              <w:shd w:val="clear" w:color="000000" w:fill="auto"/>
              <w:spacing w:before="60" w:line="200" w:lineRule="exact"/>
              <w:jc w:val="left"/>
              <w:rPr>
                <w:sz w:val="16"/>
                <w:szCs w:val="16"/>
              </w:rPr>
            </w:pPr>
            <w:r w:rsidRPr="00E106F6">
              <w:rPr>
                <w:sz w:val="16"/>
                <w:szCs w:val="16"/>
              </w:rPr>
              <w:t>Kvinnojourer</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+10</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+10</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+10</w:t>
            </w:r>
          </w:p>
        </w:tc>
      </w:tr>
      <w:tr w:rsidR="00000000" w:rsidRPr="00E106F6">
        <w:tc>
          <w:tcPr>
            <w:tcW w:w="680" w:type="dxa"/>
            <w:noWrap/>
            <w:vAlign w:val="bottom"/>
          </w:tcPr>
          <w:p w:rsidR="00740DA7" w:rsidRPr="00E106F6" w:rsidRDefault="00740DA7">
            <w:pPr>
              <w:shd w:val="clear" w:color="000000" w:fill="auto"/>
              <w:spacing w:before="60" w:line="200" w:lineRule="exact"/>
              <w:rPr>
                <w:sz w:val="16"/>
                <w:szCs w:val="16"/>
              </w:rPr>
            </w:pPr>
            <w:r w:rsidRPr="00E106F6">
              <w:rPr>
                <w:sz w:val="16"/>
                <w:szCs w:val="16"/>
              </w:rPr>
              <w:t>5:1</w:t>
            </w:r>
          </w:p>
        </w:tc>
        <w:tc>
          <w:tcPr>
            <w:tcW w:w="5080" w:type="dxa"/>
            <w:noWrap/>
            <w:vAlign w:val="bottom"/>
          </w:tcPr>
          <w:p w:rsidR="00740DA7" w:rsidRPr="00E106F6" w:rsidRDefault="00740DA7">
            <w:pPr>
              <w:shd w:val="clear" w:color="000000" w:fill="auto"/>
              <w:spacing w:before="60" w:line="200" w:lineRule="exact"/>
              <w:jc w:val="left"/>
              <w:rPr>
                <w:sz w:val="16"/>
                <w:szCs w:val="16"/>
              </w:rPr>
            </w:pPr>
            <w:r w:rsidRPr="00E106F6">
              <w:rPr>
                <w:sz w:val="16"/>
                <w:szCs w:val="16"/>
              </w:rPr>
              <w:t>Övergripande miljömålsarbete</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+25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+45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+55</w:t>
            </w:r>
          </w:p>
        </w:tc>
      </w:tr>
      <w:tr w:rsidR="00000000" w:rsidRPr="00E106F6">
        <w:tc>
          <w:tcPr>
            <w:tcW w:w="680" w:type="dxa"/>
            <w:noWrap/>
            <w:vAlign w:val="bottom"/>
          </w:tcPr>
          <w:p w:rsidR="00740DA7" w:rsidRPr="00E106F6" w:rsidRDefault="00740DA7">
            <w:pPr>
              <w:shd w:val="clear" w:color="000000" w:fill="auto"/>
              <w:spacing w:before="60" w:line="200" w:lineRule="exact"/>
              <w:rPr>
                <w:sz w:val="16"/>
                <w:szCs w:val="16"/>
              </w:rPr>
            </w:pPr>
            <w:r w:rsidRPr="00E106F6">
              <w:rPr>
                <w:sz w:val="16"/>
                <w:szCs w:val="16"/>
              </w:rPr>
              <w:t>5:1</w:t>
            </w:r>
          </w:p>
        </w:tc>
        <w:tc>
          <w:tcPr>
            <w:tcW w:w="5080" w:type="dxa"/>
            <w:noWrap/>
            <w:vAlign w:val="bottom"/>
          </w:tcPr>
          <w:p w:rsidR="00740DA7" w:rsidRPr="00E106F6" w:rsidRDefault="00740DA7">
            <w:pPr>
              <w:shd w:val="clear" w:color="000000" w:fill="auto"/>
              <w:spacing w:before="60" w:line="200" w:lineRule="exact"/>
              <w:jc w:val="left"/>
              <w:rPr>
                <w:sz w:val="16"/>
                <w:szCs w:val="16"/>
              </w:rPr>
            </w:pPr>
            <w:r w:rsidRPr="00E106F6">
              <w:rPr>
                <w:sz w:val="16"/>
                <w:szCs w:val="16"/>
              </w:rPr>
              <w:t>Giftfri miljö</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+10</w:t>
            </w:r>
          </w:p>
        </w:tc>
      </w:tr>
      <w:tr w:rsidR="00000000" w:rsidRPr="00E106F6">
        <w:tc>
          <w:tcPr>
            <w:tcW w:w="680" w:type="dxa"/>
            <w:noWrap/>
            <w:vAlign w:val="bottom"/>
          </w:tcPr>
          <w:p w:rsidR="00740DA7" w:rsidRPr="00E106F6" w:rsidRDefault="00740DA7">
            <w:pPr>
              <w:shd w:val="clear" w:color="000000" w:fill="auto"/>
              <w:spacing w:before="60" w:line="200" w:lineRule="exact"/>
              <w:rPr>
                <w:sz w:val="16"/>
                <w:szCs w:val="16"/>
              </w:rPr>
            </w:pPr>
            <w:r w:rsidRPr="00E106F6">
              <w:rPr>
                <w:sz w:val="16"/>
                <w:szCs w:val="16"/>
              </w:rPr>
              <w:t>5:1</w:t>
            </w:r>
          </w:p>
        </w:tc>
        <w:tc>
          <w:tcPr>
            <w:tcW w:w="5080" w:type="dxa"/>
            <w:noWrap/>
            <w:vAlign w:val="bottom"/>
          </w:tcPr>
          <w:p w:rsidR="00740DA7" w:rsidRPr="00E106F6" w:rsidRDefault="00740DA7">
            <w:pPr>
              <w:shd w:val="clear" w:color="000000" w:fill="auto"/>
              <w:spacing w:before="60" w:line="200" w:lineRule="exact"/>
              <w:jc w:val="left"/>
              <w:rPr>
                <w:sz w:val="16"/>
                <w:szCs w:val="16"/>
              </w:rPr>
            </w:pPr>
            <w:r w:rsidRPr="00E106F6">
              <w:rPr>
                <w:sz w:val="16"/>
                <w:szCs w:val="16"/>
              </w:rPr>
              <w:t>Hav i balans</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+15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+45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+60</w:t>
            </w:r>
          </w:p>
        </w:tc>
      </w:tr>
      <w:tr w:rsidR="00000000" w:rsidRPr="00E106F6">
        <w:tc>
          <w:tcPr>
            <w:tcW w:w="680" w:type="dxa"/>
            <w:noWrap/>
            <w:vAlign w:val="bottom"/>
          </w:tcPr>
          <w:p w:rsidR="00740DA7" w:rsidRPr="00E106F6" w:rsidRDefault="00740DA7">
            <w:pPr>
              <w:shd w:val="clear" w:color="000000" w:fill="auto"/>
              <w:spacing w:before="60" w:line="200" w:lineRule="exact"/>
              <w:rPr>
                <w:sz w:val="16"/>
                <w:szCs w:val="16"/>
              </w:rPr>
            </w:pPr>
            <w:r w:rsidRPr="00E106F6">
              <w:rPr>
                <w:sz w:val="16"/>
                <w:szCs w:val="16"/>
              </w:rPr>
              <w:t>5:1</w:t>
            </w:r>
          </w:p>
        </w:tc>
        <w:tc>
          <w:tcPr>
            <w:tcW w:w="5080" w:type="dxa"/>
            <w:noWrap/>
            <w:vAlign w:val="bottom"/>
          </w:tcPr>
          <w:p w:rsidR="00740DA7" w:rsidRPr="00E106F6" w:rsidRDefault="00740DA7">
            <w:pPr>
              <w:shd w:val="clear" w:color="000000" w:fill="auto"/>
              <w:spacing w:before="60" w:line="200" w:lineRule="exact"/>
              <w:jc w:val="left"/>
              <w:rPr>
                <w:sz w:val="16"/>
                <w:szCs w:val="16"/>
              </w:rPr>
            </w:pPr>
            <w:r w:rsidRPr="00E106F6">
              <w:rPr>
                <w:sz w:val="16"/>
                <w:szCs w:val="16"/>
              </w:rPr>
              <w:t>Levande sjöar och vattendrag</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+15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+25</w:t>
            </w:r>
          </w:p>
        </w:tc>
      </w:tr>
      <w:tr w:rsidR="00000000" w:rsidRPr="00E106F6">
        <w:tc>
          <w:tcPr>
            <w:tcW w:w="680" w:type="dxa"/>
            <w:noWrap/>
            <w:vAlign w:val="bottom"/>
          </w:tcPr>
          <w:p w:rsidR="00740DA7" w:rsidRPr="00E106F6" w:rsidRDefault="00740DA7">
            <w:pPr>
              <w:shd w:val="clear" w:color="000000" w:fill="auto"/>
              <w:spacing w:before="60" w:line="200" w:lineRule="exact"/>
              <w:rPr>
                <w:sz w:val="16"/>
                <w:szCs w:val="16"/>
              </w:rPr>
            </w:pPr>
            <w:r w:rsidRPr="00E106F6">
              <w:rPr>
                <w:sz w:val="16"/>
                <w:szCs w:val="16"/>
              </w:rPr>
              <w:t>5:1</w:t>
            </w:r>
          </w:p>
        </w:tc>
        <w:tc>
          <w:tcPr>
            <w:tcW w:w="5080" w:type="dxa"/>
            <w:noWrap/>
            <w:vAlign w:val="bottom"/>
          </w:tcPr>
          <w:p w:rsidR="00740DA7" w:rsidRPr="00E106F6" w:rsidRDefault="00740DA7">
            <w:pPr>
              <w:shd w:val="clear" w:color="000000" w:fill="auto"/>
              <w:spacing w:before="60" w:line="200" w:lineRule="exact"/>
              <w:jc w:val="left"/>
              <w:rPr>
                <w:sz w:val="16"/>
                <w:szCs w:val="16"/>
              </w:rPr>
            </w:pPr>
            <w:r w:rsidRPr="00E106F6">
              <w:rPr>
                <w:sz w:val="16"/>
                <w:szCs w:val="16"/>
              </w:rPr>
              <w:t>Myllrande våtmarker</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+15</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+20</w:t>
            </w:r>
          </w:p>
        </w:tc>
      </w:tr>
      <w:tr w:rsidR="00000000" w:rsidRPr="00E106F6">
        <w:tc>
          <w:tcPr>
            <w:tcW w:w="680" w:type="dxa"/>
            <w:noWrap/>
            <w:vAlign w:val="bottom"/>
          </w:tcPr>
          <w:p w:rsidR="00740DA7" w:rsidRPr="00E106F6" w:rsidRDefault="00740DA7">
            <w:pPr>
              <w:shd w:val="clear" w:color="000000" w:fill="auto"/>
              <w:spacing w:before="60" w:line="200" w:lineRule="exact"/>
              <w:rPr>
                <w:sz w:val="16"/>
                <w:szCs w:val="16"/>
              </w:rPr>
            </w:pPr>
            <w:r w:rsidRPr="00E106F6">
              <w:rPr>
                <w:sz w:val="16"/>
                <w:szCs w:val="16"/>
              </w:rPr>
              <w:t>5:1</w:t>
            </w:r>
          </w:p>
        </w:tc>
        <w:tc>
          <w:tcPr>
            <w:tcW w:w="5080" w:type="dxa"/>
            <w:noWrap/>
            <w:vAlign w:val="bottom"/>
          </w:tcPr>
          <w:p w:rsidR="00740DA7" w:rsidRPr="00E106F6" w:rsidRDefault="00740DA7">
            <w:pPr>
              <w:shd w:val="clear" w:color="000000" w:fill="auto"/>
              <w:spacing w:before="60" w:line="200" w:lineRule="exact"/>
              <w:jc w:val="left"/>
              <w:rPr>
                <w:sz w:val="16"/>
                <w:szCs w:val="16"/>
              </w:rPr>
            </w:pPr>
            <w:r w:rsidRPr="00E106F6">
              <w:rPr>
                <w:sz w:val="16"/>
                <w:szCs w:val="16"/>
              </w:rPr>
              <w:t>Skogsskydd</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+20</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+20</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+20</w:t>
            </w:r>
          </w:p>
        </w:tc>
      </w:tr>
      <w:tr w:rsidR="00000000" w:rsidRPr="00E106F6">
        <w:tc>
          <w:tcPr>
            <w:tcW w:w="680" w:type="dxa"/>
            <w:noWrap/>
            <w:vAlign w:val="bottom"/>
          </w:tcPr>
          <w:p w:rsidR="00740DA7" w:rsidRPr="00E106F6" w:rsidRDefault="00740DA7">
            <w:pPr>
              <w:shd w:val="clear" w:color="000000" w:fill="auto"/>
              <w:spacing w:before="60" w:line="200" w:lineRule="exact"/>
              <w:rPr>
                <w:sz w:val="16"/>
                <w:szCs w:val="16"/>
              </w:rPr>
            </w:pPr>
            <w:r w:rsidRPr="00E106F6">
              <w:rPr>
                <w:sz w:val="16"/>
                <w:szCs w:val="16"/>
              </w:rPr>
              <w:t>5:1</w:t>
            </w:r>
          </w:p>
        </w:tc>
        <w:tc>
          <w:tcPr>
            <w:tcW w:w="5080" w:type="dxa"/>
            <w:noWrap/>
            <w:vAlign w:val="bottom"/>
          </w:tcPr>
          <w:p w:rsidR="00740DA7" w:rsidRPr="00E106F6" w:rsidRDefault="00740DA7">
            <w:pPr>
              <w:shd w:val="clear" w:color="000000" w:fill="auto"/>
              <w:spacing w:before="60" w:line="200" w:lineRule="exact"/>
              <w:jc w:val="left"/>
              <w:rPr>
                <w:sz w:val="16"/>
                <w:szCs w:val="16"/>
              </w:rPr>
            </w:pPr>
            <w:r w:rsidRPr="00E106F6">
              <w:rPr>
                <w:sz w:val="16"/>
                <w:szCs w:val="16"/>
              </w:rPr>
              <w:t>Djurskyddskontroller</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+40</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+40</w:t>
            </w:r>
          </w:p>
        </w:tc>
        <w:tc>
          <w:tcPr>
            <w:tcW w:w="1040" w:type="dxa"/>
            <w:noWrap/>
            <w:vAlign w:val="bottom"/>
          </w:tcPr>
          <w:p w:rsidR="00740DA7" w:rsidRPr="00E106F6" w:rsidRDefault="00740DA7">
            <w:pPr>
              <w:shd w:val="clear" w:color="000000" w:fill="auto"/>
              <w:spacing w:before="60" w:line="200" w:lineRule="exact"/>
              <w:jc w:val="right"/>
              <w:rPr>
                <w:sz w:val="16"/>
                <w:szCs w:val="16"/>
              </w:rPr>
            </w:pPr>
            <w:r w:rsidRPr="00E106F6">
              <w:rPr>
                <w:sz w:val="16"/>
                <w:szCs w:val="16"/>
              </w:rPr>
              <w:t>+40</w:t>
            </w:r>
          </w:p>
        </w:tc>
      </w:tr>
    </w:tbl>
    <w:p w:rsidR="00740DA7" w:rsidRPr="00E106F6" w:rsidRDefault="00740DA7">
      <w:pPr>
        <w:pStyle w:val="Rubrik3"/>
        <w:shd w:val="clear" w:color="000000" w:fill="auto"/>
      </w:pPr>
      <w:bookmarkStart w:id="8" w:name="_Toc305011745"/>
      <w:r w:rsidRPr="00E106F6">
        <w:t>Kvinno- och mansjourer</w:t>
      </w:r>
      <w:bookmarkEnd w:id="8"/>
    </w:p>
    <w:p w:rsidR="00740DA7" w:rsidRPr="00E106F6" w:rsidRDefault="00740DA7">
      <w:pPr>
        <w:shd w:val="clear" w:color="000000" w:fill="auto"/>
      </w:pPr>
      <w:r w:rsidRPr="00E106F6">
        <w:t>Kvinno- och mansjourerna kan i dag få bidrag från länsstyrelser och komm</w:t>
      </w:r>
      <w:r w:rsidRPr="00E106F6">
        <w:t>u</w:t>
      </w:r>
      <w:r w:rsidRPr="00E106F6">
        <w:t>ner, men detta är kortsiktigt och saknar långsiktighet. Bidragen ges på årsb</w:t>
      </w:r>
      <w:r w:rsidRPr="00E106F6">
        <w:t>a</w:t>
      </w:r>
      <w:r w:rsidRPr="00E106F6">
        <w:t>sis. Detta medför att jourernas verksamhet inte kan planeras med någon rimlig visshet. Det statliga stödet är dessutom för litet, då den kommunala medfina</w:t>
      </w:r>
      <w:r w:rsidRPr="00E106F6">
        <w:t>n</w:t>
      </w:r>
      <w:r w:rsidRPr="00E106F6">
        <w:t>sieringen inte alltid ges. Mot denna bakgrund måste stödet utökas. Miljöpart</w:t>
      </w:r>
      <w:r w:rsidRPr="00E106F6">
        <w:t>i</w:t>
      </w:r>
      <w:r w:rsidRPr="00E106F6">
        <w:t>et anser att en ökning med 10 miljoner kronor är tillräcklig och att satsningen bör permanentas. Riksdagen bör ge regeringen till känna att förutsättningarna för stödet till jourverksamheten måste ändra</w:t>
      </w:r>
      <w:r w:rsidRPr="00E106F6">
        <w:t>s, så att verksamheten ges en långsiktigt stabil ekonomisk situation.</w:t>
      </w:r>
    </w:p>
    <w:p w:rsidR="00740DA7" w:rsidRPr="00E106F6" w:rsidRDefault="00740DA7">
      <w:pPr>
        <w:pStyle w:val="Rubrik2"/>
        <w:shd w:val="clear" w:color="000000" w:fill="auto"/>
      </w:pPr>
      <w:bookmarkStart w:id="9" w:name="_Toc305011746"/>
      <w:r w:rsidRPr="00E106F6">
        <w:t>Satsningar på den nationella samepolitiken</w:t>
      </w:r>
      <w:bookmarkEnd w:id="9"/>
    </w:p>
    <w:p w:rsidR="00740DA7" w:rsidRPr="00E106F6" w:rsidRDefault="00740DA7">
      <w:pPr>
        <w:shd w:val="clear" w:color="000000" w:fill="auto"/>
      </w:pPr>
      <w:r w:rsidRPr="00E106F6">
        <w:t>Den samiska kulturen i Sverige är hotad och Sametinget saknar resurser för dess värnande. Detta kan enligt oss ske bland annat genom att Sametinget erhåller ökat stöd för politiskt arbete, för biblioteksverksamhet och för u</w:t>
      </w:r>
      <w:r w:rsidRPr="00E106F6">
        <w:t>t</w:t>
      </w:r>
      <w:r w:rsidRPr="00E106F6">
        <w:t>vecklande av samisk litteratur och kulturhistoria, tillsammans med befintliga museer. Det är rimligt att Sametinget får utökade resurser för att kunna ful</w:t>
      </w:r>
      <w:r w:rsidRPr="00E106F6">
        <w:t>l</w:t>
      </w:r>
      <w:r w:rsidRPr="00E106F6">
        <w:t>göra sitt uppdrag, vilket medför behov av utbyggd intern organisation med utskott m.m., anställning av politiska sekreterare och dylikt. En utökning av anslaget med 7 miljoner kronor bedöms enligt myndighetens eget budgetu</w:t>
      </w:r>
      <w:r w:rsidRPr="00E106F6">
        <w:t>n</w:t>
      </w:r>
      <w:r w:rsidRPr="00E106F6">
        <w:t>derlag tillfyllest, vilket även inkluderar en viss höjning av partibidraget och en förstärkning av den samiska biblioteksverksamheten</w:t>
      </w:r>
      <w:r w:rsidRPr="00E106F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06F6">
        <w:trPr>
          <w:cantSplit/>
        </w:trPr>
        <w:tc>
          <w:tcPr>
            <w:tcW w:w="3046" w:type="dxa"/>
          </w:tcPr>
          <w:p w:rsidR="00740DA7" w:rsidRPr="00E106F6" w:rsidRDefault="00740DA7">
            <w:pPr>
              <w:pStyle w:val="UnderskriftDatum"/>
              <w:shd w:val="clear" w:color="000000" w:fill="auto"/>
              <w:spacing w:before="240"/>
            </w:pPr>
            <w:r w:rsidRPr="00E106F6">
              <w:t>Stockholm den 4 oktober 2011</w:t>
            </w:r>
          </w:p>
        </w:tc>
        <w:tc>
          <w:tcPr>
            <w:tcW w:w="3047" w:type="dxa"/>
          </w:tcPr>
          <w:p w:rsidR="00740DA7" w:rsidRPr="00E106F6" w:rsidRDefault="00740DA7">
            <w:pPr>
              <w:pStyle w:val="Underskrifter"/>
              <w:shd w:val="clear" w:color="000000" w:fill="auto"/>
              <w:spacing w:before="240"/>
            </w:pPr>
          </w:p>
        </w:tc>
      </w:tr>
      <w:tr w:rsidR="00000000" w:rsidRPr="00E106F6">
        <w:trPr>
          <w:cantSplit/>
        </w:trPr>
        <w:tc>
          <w:tcPr>
            <w:tcW w:w="3046" w:type="dxa"/>
          </w:tcPr>
          <w:p w:rsidR="00740DA7" w:rsidRPr="00E106F6" w:rsidRDefault="00740DA7">
            <w:pPr>
              <w:pStyle w:val="Underskrifter"/>
              <w:shd w:val="clear" w:color="000000" w:fill="auto"/>
            </w:pPr>
            <w:r w:rsidRPr="00E106F6">
              <w:t>Peter Eriksson (MP)</w:t>
            </w:r>
          </w:p>
        </w:tc>
        <w:tc>
          <w:tcPr>
            <w:tcW w:w="3046" w:type="dxa"/>
          </w:tcPr>
          <w:p w:rsidR="00740DA7" w:rsidRPr="00E106F6" w:rsidRDefault="00740DA7">
            <w:pPr>
              <w:pStyle w:val="Underskrifter"/>
              <w:shd w:val="clear" w:color="000000" w:fill="auto"/>
            </w:pPr>
          </w:p>
        </w:tc>
      </w:tr>
      <w:tr w:rsidR="00000000" w:rsidRPr="00E106F6">
        <w:trPr>
          <w:cantSplit/>
        </w:trPr>
        <w:tc>
          <w:tcPr>
            <w:tcW w:w="3046" w:type="dxa"/>
          </w:tcPr>
          <w:p w:rsidR="00740DA7" w:rsidRPr="00E106F6" w:rsidRDefault="00740DA7">
            <w:pPr>
              <w:pStyle w:val="Underskrifter"/>
              <w:shd w:val="clear" w:color="000000" w:fill="auto"/>
            </w:pPr>
            <w:r w:rsidRPr="00E106F6">
              <w:t>Jabar Amin (MP)</w:t>
            </w:r>
          </w:p>
        </w:tc>
        <w:tc>
          <w:tcPr>
            <w:tcW w:w="3046" w:type="dxa"/>
          </w:tcPr>
          <w:p w:rsidR="00740DA7" w:rsidRPr="00E106F6" w:rsidRDefault="00740DA7">
            <w:pPr>
              <w:pStyle w:val="Underskrifter"/>
              <w:shd w:val="clear" w:color="000000" w:fill="auto"/>
            </w:pPr>
            <w:r w:rsidRPr="00E106F6">
              <w:t>Valter Mutt (MP)</w:t>
            </w:r>
          </w:p>
        </w:tc>
      </w:tr>
    </w:tbl>
    <w:p w:rsidR="00740DA7" w:rsidRPr="00E106F6" w:rsidRDefault="00740DA7">
      <w:pPr>
        <w:pStyle w:val="Normaltindrag"/>
        <w:shd w:val="clear" w:color="000000" w:fill="auto"/>
      </w:pPr>
    </w:p>
    <w:sectPr w:rsidR="00740DA7" w:rsidRPr="00E106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DA7" w:rsidRPr="00E106F6" w:rsidRDefault="00740DA7">
      <w:r w:rsidRPr="00E106F6">
        <w:separator/>
      </w:r>
    </w:p>
  </w:endnote>
  <w:endnote w:type="continuationSeparator" w:id="0">
    <w:p w:rsidR="00740DA7" w:rsidRPr="00E106F6" w:rsidRDefault="00740DA7">
      <w:r w:rsidRPr="00E106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DA7" w:rsidRPr="00E106F6" w:rsidRDefault="00E106F6">
    <w:pPr>
      <w:pStyle w:val="Sidfot"/>
    </w:pPr>
    <w:r w:rsidRPr="00E106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920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DA7" w:rsidRDefault="00740D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DA7" w:rsidRDefault="00740D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DA7" w:rsidRPr="00E106F6" w:rsidRDefault="00E106F6">
    <w:pPr>
      <w:pStyle w:val="Sidfot"/>
    </w:pPr>
    <w:r w:rsidRPr="00E106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067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DA7" w:rsidRDefault="00740DA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DA7" w:rsidRDefault="00740DA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DA7" w:rsidRPr="00E106F6" w:rsidRDefault="00E106F6">
    <w:pPr>
      <w:pStyle w:val="Sidfot"/>
    </w:pPr>
    <w:r w:rsidRPr="00E106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486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DA7" w:rsidRDefault="00740D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DA7" w:rsidRDefault="00740D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DA7" w:rsidRPr="00E106F6" w:rsidRDefault="00740DA7">
      <w:r w:rsidRPr="00E106F6">
        <w:separator/>
      </w:r>
    </w:p>
  </w:footnote>
  <w:footnote w:type="continuationSeparator" w:id="0">
    <w:p w:rsidR="00740DA7" w:rsidRPr="00E106F6" w:rsidRDefault="00740DA7">
      <w:r w:rsidRPr="00E106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DA7" w:rsidRPr="00E106F6" w:rsidRDefault="00E106F6">
    <w:pPr>
      <w:pStyle w:val="Sidhuvud"/>
    </w:pPr>
    <w:r w:rsidRPr="00E106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159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DA7" w:rsidRDefault="00740D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DA7" w:rsidRDefault="00740D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DA7" w:rsidRPr="00E106F6" w:rsidRDefault="00E106F6">
    <w:pPr>
      <w:pStyle w:val="Sidhuvud"/>
    </w:pPr>
    <w:r w:rsidRPr="00E106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5405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DA7" w:rsidRDefault="00740D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DA7" w:rsidRDefault="00740D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DA7" w:rsidRPr="00E106F6" w:rsidRDefault="00740DA7">
    <w:pPr>
      <w:pStyle w:val="FSHNormal"/>
      <w:tabs>
        <w:tab w:val="right" w:pos="5840"/>
      </w:tabs>
    </w:pPr>
    <w:r w:rsidRPr="00E106F6">
      <w:br/>
    </w:r>
    <w:r w:rsidRPr="00E106F6">
      <w:fldChar w:fldCharType="begin" w:fldLock="1"/>
    </w:r>
    <w:r w:rsidRPr="00E106F6">
      <w:instrText xml:space="preserve"> DOCPROPERTY</w:instrText>
    </w:r>
    <w:r w:rsidRPr="00E106F6">
      <w:rPr>
        <w:sz w:val="18"/>
      </w:rPr>
      <w:instrText xml:space="preserve"> "YearUser" *\charformat </w:instrText>
    </w:r>
    <w:r w:rsidRPr="00E106F6">
      <w:fldChar w:fldCharType="separate"/>
    </w:r>
    <w:r w:rsidRPr="00E106F6">
      <w:t>2011/12</w:t>
    </w:r>
    <w:r w:rsidRPr="00E106F6">
      <w:fldChar w:fldCharType="end"/>
    </w:r>
    <w:r w:rsidRPr="00E106F6">
      <w:t xml:space="preserve"> </w:t>
    </w:r>
    <w:r w:rsidRPr="00E106F6">
      <w:tab/>
      <w:t xml:space="preserve">mnr: </w:t>
    </w:r>
    <w:r w:rsidRPr="00E106F6">
      <w:fldChar w:fldCharType="begin" w:fldLock="1"/>
    </w:r>
    <w:r w:rsidRPr="00E106F6">
      <w:instrText xml:space="preserve"> DOCPROPERTY</w:instrText>
    </w:r>
    <w:r w:rsidRPr="00E106F6">
      <w:rPr>
        <w:sz w:val="18"/>
      </w:rPr>
      <w:instrText xml:space="preserve"> "Motionsnummer" *\charformat </w:instrText>
    </w:r>
    <w:r w:rsidRPr="00E106F6">
      <w:fldChar w:fldCharType="separate"/>
    </w:r>
    <w:r w:rsidRPr="00E106F6">
      <w:t>K384</w:t>
    </w:r>
    <w:r w:rsidRPr="00E106F6">
      <w:fldChar w:fldCharType="end"/>
    </w:r>
    <w:r w:rsidRPr="00E106F6">
      <w:br/>
    </w:r>
    <w:r w:rsidRPr="00E106F6">
      <w:fldChar w:fldCharType="begin" w:fldLock="1"/>
    </w:r>
    <w:r w:rsidRPr="00E106F6">
      <w:instrText xml:space="preserve"> DOCPROPERTY</w:instrText>
    </w:r>
    <w:r w:rsidRPr="00E106F6">
      <w:rPr>
        <w:sz w:val="18"/>
      </w:rPr>
      <w:instrText xml:space="preserve"> "Samling" *\charformat </w:instrText>
    </w:r>
    <w:r w:rsidRPr="00E106F6">
      <w:fldChar w:fldCharType="end"/>
    </w:r>
    <w:r w:rsidRPr="00E106F6">
      <w:tab/>
      <w:t xml:space="preserve">pnr: </w:t>
    </w:r>
    <w:r w:rsidRPr="00E106F6">
      <w:fldChar w:fldCharType="begin" w:fldLock="1"/>
    </w:r>
    <w:r w:rsidRPr="00E106F6">
      <w:instrText xml:space="preserve"> DOCPROPERTY</w:instrText>
    </w:r>
    <w:r w:rsidRPr="00E106F6">
      <w:rPr>
        <w:sz w:val="18"/>
      </w:rPr>
      <w:instrText xml:space="preserve"> "Partinummer" *\charformat </w:instrText>
    </w:r>
    <w:r w:rsidRPr="00E106F6">
      <w:fldChar w:fldCharType="separate"/>
    </w:r>
    <w:r w:rsidRPr="00E106F6">
      <w:t>MP1020</w:t>
    </w:r>
    <w:r w:rsidRPr="00E106F6">
      <w:fldChar w:fldCharType="end"/>
    </w:r>
  </w:p>
  <w:p w:rsidR="00740DA7" w:rsidRPr="00E106F6" w:rsidRDefault="00740DA7">
    <w:pPr>
      <w:pStyle w:val="FSHRub1"/>
    </w:pPr>
    <w:r w:rsidRPr="00E106F6">
      <w:t>Motion till riksdagen</w:t>
    </w:r>
    <w:r w:rsidRPr="00E106F6">
      <w:br/>
    </w:r>
    <w:r w:rsidRPr="00E106F6">
      <w:fldChar w:fldCharType="begin" w:fldLock="1"/>
    </w:r>
    <w:r w:rsidRPr="00E106F6">
      <w:instrText xml:space="preserve"> DOCPROPERTY "YearUser" *\charformat </w:instrText>
    </w:r>
    <w:r w:rsidRPr="00E106F6">
      <w:fldChar w:fldCharType="separate"/>
    </w:r>
    <w:r w:rsidRPr="00E106F6">
      <w:t>2011/12</w:t>
    </w:r>
    <w:r w:rsidRPr="00E106F6">
      <w:fldChar w:fldCharType="end"/>
    </w:r>
    <w:r w:rsidRPr="00E106F6">
      <w:t>:</w:t>
    </w:r>
    <w:r w:rsidRPr="00E106F6">
      <w:fldChar w:fldCharType="begin" w:fldLock="1"/>
    </w:r>
    <w:r w:rsidRPr="00E106F6">
      <w:instrText xml:space="preserve"> DOCPROPERTY "Motionsnummer" *\charformat </w:instrText>
    </w:r>
    <w:r w:rsidRPr="00E106F6">
      <w:fldChar w:fldCharType="separate"/>
    </w:r>
    <w:r w:rsidRPr="00E106F6">
      <w:t>K384</w:t>
    </w:r>
    <w:r w:rsidRPr="00E106F6">
      <w:fldChar w:fldCharType="end"/>
    </w:r>
  </w:p>
  <w:p w:rsidR="00740DA7" w:rsidRPr="00E106F6" w:rsidRDefault="00740DA7">
    <w:pPr>
      <w:pStyle w:val="FSHNormalS5"/>
    </w:pPr>
    <w:r w:rsidRPr="00E106F6">
      <w:fldChar w:fldCharType="begin" w:fldLock="1"/>
    </w:r>
    <w:r w:rsidRPr="00E106F6">
      <w:instrText xml:space="preserve"> DOCPROPERTY "MotionarText" *\charformat </w:instrText>
    </w:r>
    <w:r w:rsidRPr="00E106F6">
      <w:fldChar w:fldCharType="separate"/>
    </w:r>
    <w:r w:rsidRPr="00E106F6">
      <w:t>av Peter Eriksson m.fl. (MP)</w:t>
    </w:r>
    <w:r w:rsidRPr="00E106F6">
      <w:fldChar w:fldCharType="end"/>
    </w:r>
    <w:r w:rsidRPr="00E106F6">
      <w:br/>
    </w:r>
    <w:r w:rsidRPr="00E106F6">
      <w:fldChar w:fldCharType="begin" w:fldLock="1"/>
    </w:r>
    <w:r w:rsidRPr="00E106F6">
      <w:instrText xml:space="preserve"> DOCPROPERTY "SvarFrasKort" *\charformat </w:instrText>
    </w:r>
    <w:r w:rsidRPr="00E106F6">
      <w:fldChar w:fldCharType="end"/>
    </w:r>
  </w:p>
  <w:p w:rsidR="00740DA7" w:rsidRPr="00E106F6" w:rsidRDefault="00740DA7">
    <w:pPr>
      <w:pStyle w:val="FSHTitel"/>
    </w:pPr>
    <w:r w:rsidRPr="00E106F6">
      <w:fldChar w:fldCharType="begin" w:fldLock="1"/>
    </w:r>
    <w:r w:rsidRPr="00E106F6">
      <w:instrText xml:space="preserve"> DOCPROPERTY</w:instrText>
    </w:r>
    <w:r w:rsidRPr="00E106F6">
      <w:rPr>
        <w:sz w:val="18"/>
      </w:rPr>
      <w:instrText xml:space="preserve"> "RubrikSvar" *\charformat </w:instrText>
    </w:r>
    <w:r w:rsidRPr="00E106F6">
      <w:fldChar w:fldCharType="separate"/>
    </w:r>
    <w:r w:rsidRPr="00E106F6">
      <w:t>Utgiftsområde 1 Rikets styrelse</w:t>
    </w:r>
    <w:r w:rsidRPr="00E106F6">
      <w:fldChar w:fldCharType="end"/>
    </w:r>
  </w:p>
  <w:p w:rsidR="00740DA7" w:rsidRPr="00E106F6" w:rsidRDefault="00740DA7">
    <w:pPr>
      <w:pStyle w:val="Normal00"/>
    </w:pPr>
  </w:p>
  <w:p w:rsidR="00740DA7" w:rsidRPr="00E106F6" w:rsidRDefault="00740D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554E13"/>
    <w:multiLevelType w:val="hybridMultilevel"/>
    <w:tmpl w:val="81C86A92"/>
    <w:lvl w:ilvl="0" w:tplc="5C56C2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4104567">
    <w:abstractNumId w:val="3"/>
  </w:num>
  <w:num w:numId="2" w16cid:durableId="1783064227">
    <w:abstractNumId w:val="2"/>
  </w:num>
  <w:num w:numId="3" w16cid:durableId="1496526915">
    <w:abstractNumId w:val="1"/>
  </w:num>
  <w:num w:numId="4" w16cid:durableId="801313758">
    <w:abstractNumId w:val="0"/>
  </w:num>
  <w:num w:numId="5" w16cid:durableId="1440223744">
    <w:abstractNumId w:val="7"/>
  </w:num>
  <w:num w:numId="6" w16cid:durableId="739324176">
    <w:abstractNumId w:val="6"/>
  </w:num>
  <w:num w:numId="7" w16cid:durableId="1694186270">
    <w:abstractNumId w:val="5"/>
  </w:num>
  <w:num w:numId="8" w16cid:durableId="995259267">
    <w:abstractNumId w:val="4"/>
  </w:num>
  <w:num w:numId="9" w16cid:durableId="1012343594">
    <w:abstractNumId w:val="8"/>
  </w:num>
  <w:num w:numId="10" w16cid:durableId="1308129729">
    <w:abstractNumId w:val="9"/>
  </w:num>
  <w:num w:numId="11" w16cid:durableId="632103278">
    <w:abstractNumId w:val="10"/>
  </w:num>
  <w:num w:numId="12" w16cid:durableId="504785184">
    <w:abstractNumId w:val="14"/>
  </w:num>
  <w:num w:numId="13" w16cid:durableId="924650117">
    <w:abstractNumId w:val="16"/>
  </w:num>
  <w:num w:numId="14" w16cid:durableId="832601730">
    <w:abstractNumId w:val="17"/>
  </w:num>
  <w:num w:numId="15" w16cid:durableId="635373236">
    <w:abstractNumId w:val="11"/>
  </w:num>
  <w:num w:numId="16" w16cid:durableId="1457259310">
    <w:abstractNumId w:val="19"/>
  </w:num>
  <w:num w:numId="17" w16cid:durableId="833296598">
    <w:abstractNumId w:val="18"/>
  </w:num>
  <w:num w:numId="18" w16cid:durableId="240067607">
    <w:abstractNumId w:val="15"/>
  </w:num>
  <w:num w:numId="19" w16cid:durableId="1017079702">
    <w:abstractNumId w:val="13"/>
  </w:num>
  <w:num w:numId="20" w16cid:durableId="1031688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2F2836E2-5BBA-4180-8502-C13703BA5ACD},{6B2C5332-DB5D-4847-A6DA-15B0EAFB8A28},{08C56B17-A14B-48F1-95B3-2C8A56B44D98}"/>
  </w:docVars>
  <w:rsids>
    <w:rsidRoot w:val="007E444A"/>
    <w:rsid w:val="00740DA7"/>
    <w:rsid w:val="007E444A"/>
    <w:rsid w:val="00E10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E62BA3-EC39-42E0-A366-2FCF6CB0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78938">
      <w:bodyDiv w:val="1"/>
      <w:marLeft w:val="0"/>
      <w:marRight w:val="0"/>
      <w:marTop w:val="0"/>
      <w:marBottom w:val="0"/>
      <w:divBdr>
        <w:top w:val="none" w:sz="0" w:space="0" w:color="auto"/>
        <w:left w:val="none" w:sz="0" w:space="0" w:color="auto"/>
        <w:bottom w:val="none" w:sz="0" w:space="0" w:color="auto"/>
        <w:right w:val="none" w:sz="0" w:space="0" w:color="auto"/>
      </w:divBdr>
    </w:div>
    <w:div w:id="527647788">
      <w:bodyDiv w:val="1"/>
      <w:marLeft w:val="0"/>
      <w:marRight w:val="0"/>
      <w:marTop w:val="0"/>
      <w:marBottom w:val="0"/>
      <w:divBdr>
        <w:top w:val="none" w:sz="0" w:space="0" w:color="auto"/>
        <w:left w:val="none" w:sz="0" w:space="0" w:color="auto"/>
        <w:bottom w:val="none" w:sz="0" w:space="0" w:color="auto"/>
        <w:right w:val="none" w:sz="0" w:space="0" w:color="auto"/>
      </w:divBdr>
    </w:div>
    <w:div w:id="1073629106">
      <w:bodyDiv w:val="1"/>
      <w:marLeft w:val="0"/>
      <w:marRight w:val="0"/>
      <w:marTop w:val="0"/>
      <w:marBottom w:val="0"/>
      <w:divBdr>
        <w:top w:val="none" w:sz="0" w:space="0" w:color="auto"/>
        <w:left w:val="none" w:sz="0" w:space="0" w:color="auto"/>
        <w:bottom w:val="none" w:sz="0" w:space="0" w:color="auto"/>
        <w:right w:val="none" w:sz="0" w:space="0" w:color="auto"/>
      </w:divBdr>
    </w:div>
    <w:div w:id="1161844883">
      <w:bodyDiv w:val="1"/>
      <w:marLeft w:val="0"/>
      <w:marRight w:val="0"/>
      <w:marTop w:val="0"/>
      <w:marBottom w:val="0"/>
      <w:divBdr>
        <w:top w:val="none" w:sz="0" w:space="0" w:color="auto"/>
        <w:left w:val="none" w:sz="0" w:space="0" w:color="auto"/>
        <w:bottom w:val="none" w:sz="0" w:space="0" w:color="auto"/>
        <w:right w:val="none" w:sz="0" w:space="0" w:color="auto"/>
      </w:divBdr>
    </w:div>
    <w:div w:id="1678076371">
      <w:bodyDiv w:val="1"/>
      <w:marLeft w:val="0"/>
      <w:marRight w:val="0"/>
      <w:marTop w:val="0"/>
      <w:marBottom w:val="0"/>
      <w:divBdr>
        <w:top w:val="none" w:sz="0" w:space="0" w:color="auto"/>
        <w:left w:val="none" w:sz="0" w:space="0" w:color="auto"/>
        <w:bottom w:val="none" w:sz="0" w:space="0" w:color="auto"/>
        <w:right w:val="none" w:sz="0" w:space="0" w:color="auto"/>
      </w:divBdr>
    </w:div>
    <w:div w:id="2073429112">
      <w:bodyDiv w:val="1"/>
      <w:marLeft w:val="0"/>
      <w:marRight w:val="0"/>
      <w:marTop w:val="0"/>
      <w:marBottom w:val="0"/>
      <w:divBdr>
        <w:top w:val="none" w:sz="0" w:space="0" w:color="auto"/>
        <w:left w:val="none" w:sz="0" w:space="0" w:color="auto"/>
        <w:bottom w:val="none" w:sz="0" w:space="0" w:color="auto"/>
        <w:right w:val="none" w:sz="0" w:space="0" w:color="auto"/>
      </w:divBdr>
    </w:div>
    <w:div w:id="20951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1453</Words>
  <Characters>8532</Characters>
  <Application>Microsoft Office Word</Application>
  <DocSecurity>4</DocSecurity>
  <Lines>304</Lines>
  <Paragraphs>199</Paragraphs>
  <ScaleCrop>false</ScaleCrop>
  <HeadingPairs>
    <vt:vector size="2" baseType="variant">
      <vt:variant>
        <vt:lpstr>Rubrik</vt:lpstr>
      </vt:variant>
      <vt:variant>
        <vt:i4>1</vt:i4>
      </vt:variant>
    </vt:vector>
  </HeadingPairs>
  <TitlesOfParts>
    <vt:vector size="1" baseType="lpstr">
      <vt:lpstr>MP1020</vt:lpstr>
    </vt:vector>
  </TitlesOfParts>
  <Company>Riksdagen</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MP1020</dc:title>
  <dc:subject>MP1020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2011-10-29T11:29:00Z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Eriksson m.fl. (MP)</vt:lpwstr>
  </property>
  <property fmtid="{D5CDD505-2E9C-101B-9397-08002B2CF9AE}" pid="26" name="MotionarLista">
    <vt:lpwstr>Eriksson, Peter (MP)\Amin, Jabar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Jabar Amin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20112012000000770080000010200075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20112012000000770080000010200075</vt:lpwstr>
  </property>
  <property fmtid="{D5CDD505-2E9C-101B-9397-08002B2CF9AE}" pid="50" name="nummer">
    <vt:lpwstr>384</vt:lpwstr>
  </property>
  <property fmtid="{D5CDD505-2E9C-101B-9397-08002B2CF9AE}" pid="51" name="utskottsbeteckning">
    <vt:lpwstr>K</vt:lpwstr>
  </property>
  <property fmtid="{D5CDD505-2E9C-101B-9397-08002B2CF9AE}" pid="52" name="GlobalUID">
    <vt:lpwstr>{33952E05-6720-477C-BBDF-A4DF6FEDE404}</vt:lpwstr>
  </property>
  <property fmtid="{D5CDD505-2E9C-101B-9397-08002B2CF9AE}" pid="53" name="Överföringar">
    <vt:i4>0</vt:i4>
  </property>
  <property fmtid="{D5CDD505-2E9C-101B-9397-08002B2CF9AE}" pid="54" name="Checksum">
    <vt:lpwstr>*0018327593884*</vt:lpwstr>
  </property>
  <property fmtid="{D5CDD505-2E9C-101B-9397-08002B2CF9AE}" pid="55" name="skuggnummer">
    <vt:lpwstr>2925</vt:lpwstr>
  </property>
  <property fmtid="{D5CDD505-2E9C-101B-9397-08002B2CF9AE}" pid="56" name="urixVersion">
    <vt:lpwstr>4.5.0.25</vt:lpwstr>
  </property>
  <property fmtid="{D5CDD505-2E9C-101B-9397-08002B2CF9AE}" pid="57" name="urixOrigin">
    <vt:lpwstr>120611 10:43:48.866</vt:lpwstr>
  </property>
  <property fmtid="{D5CDD505-2E9C-101B-9397-08002B2CF9AE}" pid="58" name="urixGuid">
    <vt:lpwstr>{CB65260D-5102-4770-901A-DBDDD25812BE}</vt:lpwstr>
  </property>
</Properties>
</file>