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1DE0EE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BE00A3">
              <w:rPr>
                <w:b/>
                <w:lang w:eastAsia="en-US"/>
              </w:rPr>
              <w:t>13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22FE39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BE00A3">
              <w:rPr>
                <w:lang w:eastAsia="en-US"/>
              </w:rPr>
              <w:t>11-29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86BC6A9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BE00A3">
              <w:rPr>
                <w:color w:val="000000" w:themeColor="text1"/>
                <w:lang w:eastAsia="en-US"/>
              </w:rPr>
              <w:t>11.30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33741D67" w:rsidR="000304C1" w:rsidRDefault="00BE00A3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Sysselsättningsfrågor, </w:t>
            </w:r>
            <w:r w:rsidRPr="00BE00A3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socialpolitiska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hälso- och sjukvårdsfrågor samt konsumentfrågor </w:t>
            </w:r>
          </w:p>
          <w:p w14:paraId="23E1DDE2" w14:textId="62815F35" w:rsidR="00FC60D4" w:rsidRDefault="00DD7C43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="00BE00A3">
              <w:rPr>
                <w:rFonts w:eastAsiaTheme="minorHAnsi"/>
                <w:color w:val="000000"/>
                <w:lang w:eastAsia="en-US"/>
              </w:rPr>
              <w:t xml:space="preserve"> Anna Tenje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samt medarbetare från</w:t>
            </w:r>
            <w:r w:rsidR="006A265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E00A3">
              <w:rPr>
                <w:rFonts w:eastAsiaTheme="minorHAnsi"/>
                <w:color w:val="000000"/>
                <w:lang w:eastAsia="en-US"/>
              </w:rPr>
              <w:t>Social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BA7414"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EF544D">
              <w:rPr>
                <w:rFonts w:eastAsiaTheme="minorHAnsi"/>
                <w:color w:val="000000"/>
                <w:lang w:eastAsia="en-US"/>
              </w:rPr>
              <w:t>Statsrådsberedningen informerade och samrådde inför möte i rådet den</w:t>
            </w:r>
            <w:r w:rsidR="00BE00A3">
              <w:rPr>
                <w:rFonts w:eastAsiaTheme="minorHAnsi"/>
                <w:color w:val="000000"/>
                <w:lang w:eastAsia="en-US"/>
              </w:rPr>
              <w:t xml:space="preserve"> 2–3 december 2024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70F57D2" w14:textId="62A8D7EC" w:rsidR="00EF544D" w:rsidRDefault="00EF544D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118BAE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68B92DC5" w14:textId="74FF72C2" w:rsidR="004A07B9" w:rsidRPr="00375AE7" w:rsidRDefault="004A07B9" w:rsidP="004A07B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375AE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20–21 juni 2024</w:t>
            </w:r>
            <w:r w:rsidR="00375AE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75AE7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-Återrapport från informellt ministermöte den 18–19 november 2024</w:t>
            </w:r>
            <w:r w:rsidR="00375AE7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 </w:t>
            </w:r>
          </w:p>
          <w:p w14:paraId="39178857" w14:textId="78CAD76B" w:rsidR="00375AE7" w:rsidRPr="00317EAA" w:rsidRDefault="00375AE7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Pr="00375AE7">
              <w:rPr>
                <w:rFonts w:eastAsiaTheme="minorHAnsi"/>
                <w:b/>
                <w:bCs/>
                <w:color w:val="000000"/>
                <w:lang w:eastAsia="en-US"/>
              </w:rPr>
              <w:t>Övergripande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lösningar </w:t>
            </w:r>
            <w:r w:rsidR="00317EA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på demografiska utmaningar: Stödja föräldrar och frigöra ungas och äldre generationers outnyttjande potential </w:t>
            </w:r>
            <w:r w:rsidR="00317EA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17EAA">
              <w:rPr>
                <w:rFonts w:eastAsiaTheme="minorHAnsi"/>
                <w:color w:val="000000"/>
                <w:lang w:eastAsia="en-US"/>
              </w:rPr>
              <w:t xml:space="preserve">Ordförande konstaterade att det fanns stöd för regeringens inriktning. </w:t>
            </w:r>
            <w:r w:rsidR="00317EAA">
              <w:rPr>
                <w:rFonts w:eastAsiaTheme="minorHAnsi"/>
                <w:color w:val="000000"/>
                <w:lang w:eastAsia="en-US"/>
              </w:rPr>
              <w:br/>
            </w:r>
            <w:r w:rsidR="00317EAA">
              <w:rPr>
                <w:rFonts w:eastAsiaTheme="minorHAnsi"/>
                <w:color w:val="000000"/>
                <w:lang w:eastAsia="en-US"/>
              </w:rPr>
              <w:br/>
            </w:r>
            <w:r w:rsidR="00317EAA">
              <w:rPr>
                <w:rFonts w:eastAsiaTheme="minorHAnsi"/>
                <w:b/>
                <w:bCs/>
                <w:color w:val="000000"/>
                <w:lang w:eastAsia="en-US"/>
              </w:rPr>
              <w:t>-Slutsatser om att säkerställa balans mellan arbete och privatliv och jämställdhet för alla generationer mot bakgrund av demografiska utmaningar</w:t>
            </w:r>
            <w:r w:rsidR="00317EA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17EAA">
              <w:rPr>
                <w:rFonts w:eastAsiaTheme="minorHAnsi"/>
                <w:color w:val="000000"/>
                <w:lang w:eastAsia="en-US"/>
              </w:rPr>
              <w:t xml:space="preserve">Ordförande konstaterade att det fanns stöd för regeringens ståndpunkt. </w:t>
            </w:r>
            <w:r w:rsidR="00317EAA">
              <w:rPr>
                <w:rFonts w:eastAsiaTheme="minorHAnsi"/>
                <w:color w:val="000000"/>
                <w:lang w:eastAsia="en-US"/>
              </w:rPr>
              <w:br/>
              <w:t xml:space="preserve">V- och MP-ledamöterna anmälde avvikande ståndpunkt. </w:t>
            </w:r>
          </w:p>
          <w:p w14:paraId="20C3B814" w14:textId="5A2ADAC4" w:rsidR="00375AE7" w:rsidRPr="00765302" w:rsidRDefault="00375AE7" w:rsidP="004A07B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6EBB2158" w14:textId="6C267492" w:rsidR="00DE380E" w:rsidRDefault="006A295A" w:rsidP="006A295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295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</w:t>
            </w:r>
            <w:r w:rsidRPr="00BE00A3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hälso- och sjukvårdsfrågor samt konsumentfrågor </w:t>
            </w:r>
          </w:p>
          <w:p w14:paraId="1BFB2A8D" w14:textId="21519EFC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6A295A">
              <w:rPr>
                <w:rFonts w:eastAsiaTheme="minorHAnsi"/>
                <w:color w:val="000000"/>
                <w:lang w:eastAsia="en-US"/>
              </w:rPr>
              <w:t>sekreterare Katarina Lundahl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6A295A">
              <w:rPr>
                <w:rFonts w:eastAsiaTheme="minorHAnsi"/>
                <w:color w:val="000000"/>
                <w:lang w:eastAsia="en-US"/>
              </w:rPr>
              <w:t>Arbetsmarknads</w:t>
            </w:r>
            <w:r>
              <w:rPr>
                <w:rFonts w:eastAsiaTheme="minorHAnsi"/>
                <w:color w:val="000000"/>
                <w:lang w:eastAsia="en-US"/>
              </w:rPr>
              <w:t>departementet och Statsrådsberedningen informerade och samrådde inför möte i rådet den</w:t>
            </w:r>
            <w:r w:rsidR="006A295A">
              <w:rPr>
                <w:rFonts w:eastAsiaTheme="minorHAnsi"/>
                <w:color w:val="000000"/>
                <w:lang w:eastAsia="en-US"/>
              </w:rPr>
              <w:t xml:space="preserve"> 2–3 december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0D9C273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A980640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534865C" w14:textId="77777777" w:rsidR="00DE380E" w:rsidRDefault="00DE380E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7B1371B4" w14:textId="4714DEF1" w:rsidR="00DE380E" w:rsidRPr="004A07B9" w:rsidRDefault="00DE380E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</w:t>
            </w:r>
            <w:r w:rsidR="00CD5776">
              <w:rPr>
                <w:rFonts w:eastAsiaTheme="minorHAnsi"/>
                <w:b/>
                <w:bCs/>
                <w:color w:val="000000"/>
                <w:lang w:eastAsia="en-US"/>
              </w:rPr>
              <w:t>den</w:t>
            </w:r>
            <w:r w:rsidR="00AA451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20–21 juni 2024</w:t>
            </w:r>
            <w:r w:rsidR="00AA451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A4510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-Återrapport från möte i rådet den 16 juli 2024</w:t>
            </w:r>
            <w:r w:rsidR="00AA451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A4510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-Återrapport från informellt ministermöte den 9–10 oktober 2024</w:t>
            </w:r>
          </w:p>
          <w:p w14:paraId="323AC205" w14:textId="33FDF104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0943BF9D" w14:textId="77777777" w:rsidR="001C20C1" w:rsidRDefault="00DE380E" w:rsidP="00A92437">
            <w:pPr>
              <w:rPr>
                <w:rFonts w:eastAsiaTheme="minorHAnsi"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AA451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Praktikantdirektivet </w:t>
            </w:r>
            <w:r w:rsidR="00AA451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A4510"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2D0CF131" w14:textId="77777777" w:rsidR="00A92437" w:rsidRDefault="00A92437" w:rsidP="00A924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087CA15" w14:textId="53B30CFE" w:rsidR="00A92437" w:rsidRDefault="00A92437" w:rsidP="00A924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-Den europeiska planeringsterminen 2025: Prioriteringar i sysselsättnings- och socialpolitiken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Ordförande konstaterade att det fanns stöd för regeringens </w:t>
            </w:r>
            <w:r w:rsidR="001A1486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1EC7A3B" w14:textId="77777777" w:rsidR="00A92437" w:rsidRDefault="00A92437" w:rsidP="00A92437">
            <w:pPr>
              <w:rPr>
                <w:rFonts w:eastAsiaTheme="minorHAnsi"/>
                <w:color w:val="000000"/>
                <w:lang w:eastAsia="en-US"/>
              </w:rPr>
            </w:pPr>
          </w:p>
          <w:p w14:paraId="2946B2FD" w14:textId="77777777" w:rsidR="00A92437" w:rsidRDefault="00A92437" w:rsidP="00A924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-Rådets beslut om riktlinjer för medlemsstaternas sysselsättningspolitik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6C615CF7" w14:textId="6E38593A" w:rsidR="00A92437" w:rsidRDefault="00A92437" w:rsidP="00A92437">
            <w:pPr>
              <w:rPr>
                <w:rFonts w:eastAsiaTheme="minorHAnsi"/>
                <w:color w:val="000000"/>
                <w:lang w:eastAsia="en-US"/>
              </w:rPr>
            </w:pPr>
          </w:p>
          <w:p w14:paraId="02C3FCB0" w14:textId="14506580" w:rsidR="00A92437" w:rsidRDefault="007C7892" w:rsidP="00A924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-Bedömning av ramen för social konvergens som genomförts på pilotbasis inom ramen för den europeiska planeringsterminen 2024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-Sysselsättningskommitténs översyn av genomförandet av rekommendationen om individuella utbildningskonton: huvudbudskap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6B529C6A" w14:textId="5B478232" w:rsidR="007C7892" w:rsidRDefault="007C7892" w:rsidP="00A924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15AA362" w14:textId="6BBF00EE" w:rsidR="007C7892" w:rsidRDefault="007C7892" w:rsidP="00A924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-Rådets rekommendation om förstärkta kvalitetskriterier för praktikprogram </w:t>
            </w:r>
          </w:p>
          <w:p w14:paraId="19939A7B" w14:textId="4E9A2970" w:rsidR="007C7892" w:rsidRDefault="007C7892" w:rsidP="00A924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B3495D7" w14:textId="3C1846BA" w:rsidR="007C7892" w:rsidRDefault="007C7892" w:rsidP="00A924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-Slutsatser om arbetskrafts- och kompetensbrist i EU: mobilisering av outnyttjad arbetskraftspotential i Europeiska unionen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0A5E29BC" w14:textId="3B56D863" w:rsidR="007C7892" w:rsidRPr="007C7892" w:rsidRDefault="007C7892" w:rsidP="00A924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-Slutsatser om att stärka kvinnors och flickors psykiska hälsa och främja jämställdhet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2773F521" w14:textId="6361D628" w:rsidR="005C5238" w:rsidRPr="00A92437" w:rsidRDefault="005C5238" w:rsidP="00A924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E00A3" w:rsidRPr="00DF4413" w14:paraId="7283D049" w14:textId="77777777" w:rsidTr="00910104">
        <w:trPr>
          <w:trHeight w:val="568"/>
        </w:trPr>
        <w:tc>
          <w:tcPr>
            <w:tcW w:w="567" w:type="dxa"/>
          </w:tcPr>
          <w:p w14:paraId="5A322882" w14:textId="1F09FB12" w:rsidR="00BE00A3" w:rsidRDefault="00BE00A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3FF11AB6" w14:textId="611DB891" w:rsidR="00BE00A3" w:rsidRDefault="006A295A" w:rsidP="00BE00A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Sysselsättningsfrågor, </w:t>
            </w:r>
            <w:r w:rsidRPr="00BE00A3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socialpolitiska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hälso- och sjukvårdsfrågor samt konsumentfrågor </w:t>
            </w:r>
          </w:p>
          <w:p w14:paraId="1F9A9435" w14:textId="0CB3B17C" w:rsidR="00BE00A3" w:rsidRDefault="00BE00A3" w:rsidP="00BE00A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6A295A">
              <w:rPr>
                <w:rFonts w:eastAsiaTheme="minorHAnsi"/>
                <w:color w:val="000000"/>
                <w:lang w:eastAsia="en-US"/>
              </w:rPr>
              <w:t>sekreterare Minna Ljunggren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6A295A">
              <w:rPr>
                <w:rFonts w:eastAsiaTheme="minorHAnsi"/>
                <w:color w:val="000000"/>
                <w:lang w:eastAsia="en-US"/>
              </w:rPr>
              <w:t>Social</w:t>
            </w:r>
            <w:r>
              <w:rPr>
                <w:rFonts w:eastAsiaTheme="minorHAnsi"/>
                <w:color w:val="000000"/>
                <w:lang w:eastAsia="en-US"/>
              </w:rPr>
              <w:t>departementet</w:t>
            </w:r>
            <w:r w:rsidR="006A295A">
              <w:rPr>
                <w:rFonts w:eastAsiaTheme="minorHAnsi"/>
                <w:color w:val="000000"/>
                <w:lang w:eastAsia="en-US"/>
              </w:rPr>
              <w:t>, Arbetsmarknadsdepartementet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och Statsrådsberedningen informerade och samrådde inför möte i rådet den</w:t>
            </w:r>
            <w:r w:rsidR="006A295A">
              <w:rPr>
                <w:rFonts w:eastAsiaTheme="minorHAnsi"/>
                <w:color w:val="000000"/>
                <w:lang w:eastAsia="en-US"/>
              </w:rPr>
              <w:t xml:space="preserve"> 2–3 december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083471CD" w14:textId="77777777" w:rsidR="00BE00A3" w:rsidRDefault="00BE00A3" w:rsidP="00BE00A3">
            <w:pPr>
              <w:rPr>
                <w:rFonts w:eastAsiaTheme="minorHAnsi"/>
                <w:color w:val="000000"/>
                <w:lang w:eastAsia="en-US"/>
              </w:rPr>
            </w:pPr>
          </w:p>
          <w:p w14:paraId="5EFE6FF5" w14:textId="77777777" w:rsidR="00BE00A3" w:rsidRDefault="00BE00A3" w:rsidP="00BE00A3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6219E377" w14:textId="77777777" w:rsidR="00BE00A3" w:rsidRDefault="00BE00A3" w:rsidP="00BE00A3">
            <w:pPr>
              <w:rPr>
                <w:rFonts w:eastAsiaTheme="minorHAnsi"/>
                <w:color w:val="000000"/>
                <w:lang w:eastAsia="en-US"/>
              </w:rPr>
            </w:pPr>
          </w:p>
          <w:p w14:paraId="163847CA" w14:textId="50E1EE3A" w:rsidR="00BE00A3" w:rsidRPr="004A07B9" w:rsidRDefault="00BE00A3" w:rsidP="00BE00A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2F42A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27–28 november 2024</w:t>
            </w:r>
          </w:p>
          <w:p w14:paraId="0826D805" w14:textId="77777777" w:rsidR="00BE00A3" w:rsidRDefault="00BE00A3" w:rsidP="00BE00A3">
            <w:pPr>
              <w:rPr>
                <w:rFonts w:eastAsiaTheme="minorHAnsi"/>
                <w:color w:val="000000"/>
                <w:lang w:eastAsia="en-US"/>
              </w:rPr>
            </w:pPr>
          </w:p>
          <w:p w14:paraId="5539DDCE" w14:textId="40416ECC" w:rsidR="00BE00A3" w:rsidRDefault="00BE00A3" w:rsidP="00BE00A3">
            <w:pPr>
              <w:rPr>
                <w:rFonts w:eastAsiaTheme="minorHAnsi"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2F42AB">
              <w:rPr>
                <w:rFonts w:eastAsiaTheme="minorHAnsi"/>
                <w:b/>
                <w:bCs/>
                <w:color w:val="000000"/>
                <w:lang w:eastAsia="en-US"/>
              </w:rPr>
              <w:t>Slutsatser om att främja social inkludering av personer med funktionsnedsättning genom sysselsättning, skälig anpassning och rehabilitering</w:t>
            </w:r>
            <w:r w:rsidR="002F42A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F42AB"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2944603A" w14:textId="3F2C5BED" w:rsidR="002F42AB" w:rsidRDefault="002F42AB" w:rsidP="00BE00A3">
            <w:pPr>
              <w:rPr>
                <w:rFonts w:eastAsiaTheme="minorHAnsi"/>
                <w:color w:val="000000"/>
                <w:lang w:eastAsia="en-US"/>
              </w:rPr>
            </w:pPr>
          </w:p>
          <w:p w14:paraId="5148D798" w14:textId="1A1C16D2" w:rsidR="00BE00A3" w:rsidRPr="00E16D56" w:rsidRDefault="002F42AB" w:rsidP="00DE380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-Slutsatser om förbättrad tillgång till möjliggörande tjänster och arbetsförmedling för att främja social inkludering av personer som löper risk för fattigdom eller social utestängnin</w:t>
            </w:r>
            <w:r w:rsidR="00E16D56">
              <w:rPr>
                <w:rFonts w:eastAsiaTheme="minorHAnsi"/>
                <w:b/>
                <w:bCs/>
                <w:color w:val="000000"/>
                <w:lang w:eastAsia="en-US"/>
              </w:rPr>
              <w:t>g, inbegripet romer, genom att minska territoriella ojämlikheter</w:t>
            </w:r>
            <w:r w:rsidR="00E16D5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16D56"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  <w:r w:rsidR="00E16D56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BE00A3" w:rsidRPr="00DF4413" w14:paraId="1C78A3A2" w14:textId="77777777" w:rsidTr="00910104">
        <w:trPr>
          <w:trHeight w:val="568"/>
        </w:trPr>
        <w:tc>
          <w:tcPr>
            <w:tcW w:w="567" w:type="dxa"/>
          </w:tcPr>
          <w:p w14:paraId="2C8536A4" w14:textId="4A643A0B" w:rsidR="00BE00A3" w:rsidRDefault="00BE00A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7B7B90E1" w14:textId="77777777" w:rsidR="006A295A" w:rsidRDefault="006A295A" w:rsidP="006A295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295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Sysselsättningsfrågor, socialpolitiska frågor, </w:t>
            </w:r>
            <w:r w:rsidRPr="006A295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hälso- och sjukvårdsfrågor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konsumentfrågor </w:t>
            </w:r>
          </w:p>
          <w:p w14:paraId="4E7202B2" w14:textId="0BA33402" w:rsidR="006A295A" w:rsidRDefault="006A295A" w:rsidP="006A295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Acko Ankarberg Johansson samt medarbetare från Arbetsmarknadsdepartementet och Statsrådsberedningen informerade och samrådde inför möte i rådet den 2–3 december 2024. </w:t>
            </w:r>
          </w:p>
          <w:p w14:paraId="06DE435B" w14:textId="77777777" w:rsidR="006A295A" w:rsidRDefault="006A295A" w:rsidP="006A295A">
            <w:pPr>
              <w:rPr>
                <w:rFonts w:eastAsiaTheme="minorHAnsi"/>
                <w:color w:val="000000"/>
                <w:lang w:eastAsia="en-US"/>
              </w:rPr>
            </w:pPr>
          </w:p>
          <w:p w14:paraId="17CAA1A0" w14:textId="77777777" w:rsidR="006A295A" w:rsidRDefault="006A295A" w:rsidP="006A295A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53A72701" w14:textId="77777777" w:rsidR="006A295A" w:rsidRDefault="006A295A" w:rsidP="006A295A">
            <w:pPr>
              <w:rPr>
                <w:rFonts w:eastAsiaTheme="minorHAnsi"/>
                <w:color w:val="000000"/>
                <w:lang w:eastAsia="en-US"/>
              </w:rPr>
            </w:pPr>
          </w:p>
          <w:p w14:paraId="4E902DD3" w14:textId="323C57FB" w:rsidR="006A295A" w:rsidRPr="004A07B9" w:rsidRDefault="006A295A" w:rsidP="006A295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E16D5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20–21 juni 2024</w:t>
            </w:r>
            <w:r w:rsidR="00E16D5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16D56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-Återrapport från informellt ministermöte den 24–25 juli 2024</w:t>
            </w:r>
          </w:p>
          <w:p w14:paraId="0C3AD70A" w14:textId="77777777" w:rsidR="006A295A" w:rsidRDefault="006A295A" w:rsidP="006A295A">
            <w:pPr>
              <w:rPr>
                <w:rFonts w:eastAsiaTheme="minorHAnsi"/>
                <w:color w:val="000000"/>
                <w:lang w:eastAsia="en-US"/>
              </w:rPr>
            </w:pPr>
          </w:p>
          <w:p w14:paraId="756C6BCD" w14:textId="77484DDA" w:rsidR="00DE6D69" w:rsidRPr="00DE6D69" w:rsidRDefault="006A295A" w:rsidP="00DE6D6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E16D56">
              <w:rPr>
                <w:rFonts w:eastAsiaTheme="minorHAnsi"/>
                <w:b/>
                <w:bCs/>
                <w:color w:val="000000"/>
                <w:lang w:eastAsia="en-US"/>
              </w:rPr>
              <w:t>Läkemedelspaketet</w:t>
            </w:r>
            <w:r w:rsidR="00DE6D6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E6D69">
              <w:rPr>
                <w:b/>
                <w:bCs/>
              </w:rPr>
              <w:br/>
            </w:r>
            <w:r w:rsidR="001F52F5">
              <w:rPr>
                <w:b/>
                <w:bCs/>
              </w:rPr>
              <w:t>a)</w:t>
            </w:r>
            <w:r w:rsidR="00DE6D69">
              <w:rPr>
                <w:b/>
                <w:bCs/>
              </w:rPr>
              <w:t xml:space="preserve"> </w:t>
            </w:r>
            <w:r w:rsidR="00E16D56" w:rsidRPr="00E16D56">
              <w:rPr>
                <w:b/>
                <w:bCs/>
              </w:rPr>
              <w:t>Direktivet om unionsregler för humanläkemedel</w:t>
            </w:r>
            <w:r w:rsidR="00DE6D69">
              <w:rPr>
                <w:b/>
                <w:bCs/>
              </w:rPr>
              <w:br/>
            </w:r>
          </w:p>
          <w:p w14:paraId="11AE5D99" w14:textId="7E5A7706" w:rsidR="00E16D56" w:rsidRDefault="00DE6D69" w:rsidP="00DE6D69">
            <w:pPr>
              <w:pStyle w:val="Listaniv2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E16D56">
              <w:rPr>
                <w:b/>
                <w:bCs/>
              </w:rPr>
              <w:t xml:space="preserve">Förordningen om inrättande av unionsförfaranden </w:t>
            </w:r>
            <w:r w:rsidR="00017043">
              <w:rPr>
                <w:b/>
                <w:bCs/>
              </w:rPr>
              <w:t>för godkännande av och tillsyn över humanläkemedel och om fastställande av regler för Europeiska läkemedelsmyndigheten</w:t>
            </w:r>
            <w:r w:rsidR="00017043">
              <w:rPr>
                <w:b/>
                <w:bCs/>
              </w:rPr>
              <w:br/>
            </w:r>
          </w:p>
          <w:p w14:paraId="1755E807" w14:textId="17064C8F" w:rsidR="00017043" w:rsidRPr="00017043" w:rsidRDefault="00017043" w:rsidP="00017043">
            <w:pPr>
              <w:pStyle w:val="Listaniv2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-Den europeiska hälsounionen mot bakgrund av rapporten om EU:s framtida konkurrenskraft</w:t>
            </w:r>
            <w:r>
              <w:rPr>
                <w:b/>
                <w:bCs/>
              </w:rPr>
              <w:br/>
            </w:r>
            <w:r>
              <w:rPr>
                <w:color w:val="000000"/>
              </w:rPr>
              <w:t xml:space="preserve">Ordförande konstaterade att det fanns stöd för regeringens </w:t>
            </w:r>
            <w:r w:rsidR="001A1486">
              <w:rPr>
                <w:color w:val="000000"/>
              </w:rPr>
              <w:t>inriktning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>S-,V- och MP-ledamöterna anmälde avvikande ståndpunk</w:t>
            </w:r>
            <w:r w:rsidR="00B25CAD">
              <w:rPr>
                <w:color w:val="000000"/>
              </w:rPr>
              <w:t>t.</w:t>
            </w:r>
            <w:r>
              <w:rPr>
                <w:color w:val="000000"/>
              </w:rPr>
              <w:br/>
            </w:r>
            <w:r>
              <w:br/>
            </w:r>
            <w:r>
              <w:rPr>
                <w:b/>
                <w:bCs/>
              </w:rPr>
              <w:t xml:space="preserve">-Slutsatser om förbättrad organdonation och organtransplantation </w:t>
            </w:r>
          </w:p>
          <w:p w14:paraId="45E348FA" w14:textId="77777777" w:rsidR="00BE00A3" w:rsidRDefault="00017043" w:rsidP="00DE380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582DB9F6" w14:textId="77777777" w:rsidR="00017043" w:rsidRDefault="00017043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305A0D4E" w14:textId="77777777" w:rsidR="00E14BA2" w:rsidRDefault="00E14BA2" w:rsidP="00E14BA2">
            <w:pPr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D90A197" w14:textId="09BD40DB" w:rsidR="00E14BA2" w:rsidRPr="00E14BA2" w:rsidRDefault="00E14BA2" w:rsidP="00E14BA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>-</w:t>
            </w:r>
            <w:r w:rsidRPr="00E14BA2">
              <w:rPr>
                <w:b/>
                <w:bCs/>
              </w:rPr>
              <w:t>Medicintekniska produkter och</w:t>
            </w:r>
            <w:r>
              <w:t xml:space="preserve"> </w:t>
            </w:r>
            <w:r w:rsidRPr="00E14BA2">
              <w:rPr>
                <w:b/>
                <w:bCs/>
              </w:rPr>
              <w:t>medicintekniska produkter för in vitro-diagnostik</w:t>
            </w:r>
            <w:r>
              <w:t>.</w:t>
            </w:r>
            <w:r w:rsidRPr="00E14BA2">
              <w:rPr>
                <w:b/>
                <w:bCs/>
              </w:rPr>
              <w:t xml:space="preserve"> </w:t>
            </w:r>
          </w:p>
          <w:p w14:paraId="5B12B198" w14:textId="77777777" w:rsidR="00E14BA2" w:rsidRDefault="00E14BA2" w:rsidP="00E14BA2">
            <w:pPr>
              <w:rPr>
                <w:i/>
                <w:iCs/>
              </w:rPr>
            </w:pPr>
          </w:p>
          <w:p w14:paraId="4D7D8253" w14:textId="0C6A25F7" w:rsidR="00E14BA2" w:rsidRPr="00E14BA2" w:rsidRDefault="00E14BA2" w:rsidP="00E14BA2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-</w:t>
            </w:r>
            <w:r w:rsidRPr="00E14BA2">
              <w:rPr>
                <w:b/>
                <w:bCs/>
              </w:rPr>
              <w:t>Ta itu med försäljningen av otillåtna läkemedel till europeiska medborgare</w:t>
            </w:r>
          </w:p>
          <w:p w14:paraId="0D8E0593" w14:textId="62FD8A95" w:rsidR="00E14BA2" w:rsidRPr="00E14BA2" w:rsidRDefault="00E14BA2" w:rsidP="00E14BA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E00A3" w:rsidRPr="00DF4413" w14:paraId="16341B7D" w14:textId="77777777" w:rsidTr="00910104">
        <w:trPr>
          <w:trHeight w:val="568"/>
        </w:trPr>
        <w:tc>
          <w:tcPr>
            <w:tcW w:w="567" w:type="dxa"/>
          </w:tcPr>
          <w:p w14:paraId="3EEBCB24" w14:textId="4D7B2DFC" w:rsidR="00BE00A3" w:rsidRDefault="006A295A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15AC14B6" w14:textId="77777777" w:rsidR="006A295A" w:rsidRDefault="006A295A" w:rsidP="006A295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295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Sysselsättningsfrågor, socialpolitiska frågor, </w:t>
            </w:r>
            <w:r w:rsidRPr="006A295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hälso- och sjukvårdsfrågor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konsumentfrågor </w:t>
            </w:r>
          </w:p>
          <w:p w14:paraId="4A896A05" w14:textId="42309CFA" w:rsidR="00BE00A3" w:rsidRDefault="000A0916" w:rsidP="000E116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Socialminister Jakob Forssmed samt medarbetare från Socialdepartementet och Statsrådsberedningen informerade och samrådde inför möte i rådet den 2–3 december 2024. </w:t>
            </w:r>
          </w:p>
          <w:p w14:paraId="056291A5" w14:textId="77777777" w:rsidR="000A0916" w:rsidRDefault="000A0916" w:rsidP="00DE380E">
            <w:pPr>
              <w:rPr>
                <w:rFonts w:eastAsiaTheme="minorHAnsi"/>
                <w:color w:val="000000"/>
                <w:lang w:eastAsia="en-US"/>
              </w:rPr>
            </w:pPr>
          </w:p>
          <w:p w14:paraId="0347BAED" w14:textId="423E145E" w:rsidR="002C58E4" w:rsidRPr="00DE6D69" w:rsidRDefault="000A0916" w:rsidP="002C58E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  <w:r w:rsidR="002C58E4">
              <w:rPr>
                <w:rFonts w:eastAsiaTheme="minorHAnsi"/>
                <w:color w:val="000000"/>
                <w:lang w:eastAsia="en-US"/>
              </w:rPr>
              <w:br/>
            </w:r>
            <w:r w:rsidR="002C58E4">
              <w:rPr>
                <w:rFonts w:eastAsiaTheme="minorHAnsi"/>
                <w:color w:val="000000"/>
                <w:lang w:eastAsia="en-US"/>
              </w:rPr>
              <w:br/>
            </w:r>
            <w:r w:rsidR="002C58E4" w:rsidRPr="00DE380E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</w:t>
            </w:r>
            <w:r w:rsidR="002C58E4">
              <w:rPr>
                <w:rFonts w:eastAsiaTheme="minorHAnsi"/>
                <w:b/>
                <w:bCs/>
                <w:color w:val="000000"/>
                <w:lang w:eastAsia="en-US"/>
              </w:rPr>
              <w:t>Rådets rekommendation om rök- och aerosolfria miljöer</w:t>
            </w:r>
            <w:r w:rsidR="002C58E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C58E4">
              <w:rPr>
                <w:rFonts w:eastAsiaTheme="minorHAnsi"/>
                <w:color w:val="000000"/>
                <w:lang w:eastAsia="en-US"/>
              </w:rPr>
              <w:t>Ordföranden konstaterade att det fanns stöd för regeringens st</w:t>
            </w:r>
            <w:r w:rsidR="0097218F">
              <w:rPr>
                <w:rFonts w:eastAsiaTheme="minorHAnsi"/>
                <w:color w:val="000000"/>
                <w:lang w:eastAsia="en-US"/>
              </w:rPr>
              <w:t>ån</w:t>
            </w:r>
            <w:r w:rsidR="002C58E4">
              <w:rPr>
                <w:rFonts w:eastAsiaTheme="minorHAnsi"/>
                <w:color w:val="000000"/>
                <w:lang w:eastAsia="en-US"/>
              </w:rPr>
              <w:t xml:space="preserve">dpunkt. </w:t>
            </w:r>
            <w:r w:rsidR="002C58E4">
              <w:rPr>
                <w:rFonts w:eastAsiaTheme="minorHAnsi"/>
                <w:color w:val="000000"/>
                <w:lang w:eastAsia="en-US"/>
              </w:rPr>
              <w:br/>
              <w:t xml:space="preserve">S-,V- och MP-ledamöterna anmälde avvikande ståndpunkt. </w:t>
            </w:r>
            <w:r w:rsidR="002C58E4">
              <w:rPr>
                <w:rFonts w:eastAsiaTheme="minorHAnsi"/>
                <w:color w:val="000000"/>
                <w:lang w:eastAsia="en-US"/>
              </w:rPr>
              <w:br/>
            </w:r>
            <w:r w:rsidR="002C58E4">
              <w:rPr>
                <w:rFonts w:eastAsiaTheme="minorHAnsi"/>
                <w:color w:val="000000"/>
                <w:lang w:eastAsia="en-US"/>
              </w:rPr>
              <w:br/>
            </w:r>
            <w:r w:rsidR="002C58E4">
              <w:rPr>
                <w:rFonts w:eastAsiaTheme="minorHAnsi"/>
                <w:b/>
                <w:bCs/>
                <w:color w:val="000000"/>
                <w:lang w:eastAsia="en-US"/>
              </w:rPr>
              <w:t>-Slutsatser om förbättrad hjärt- och</w:t>
            </w:r>
            <w:r w:rsidR="002C4D1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C58E4">
              <w:rPr>
                <w:rFonts w:eastAsiaTheme="minorHAnsi"/>
                <w:b/>
                <w:bCs/>
                <w:color w:val="000000"/>
                <w:lang w:eastAsia="en-US"/>
              </w:rPr>
              <w:t>kärlhälsa i Europeiska unionen</w:t>
            </w:r>
            <w:r w:rsidR="002C58E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C58E4">
              <w:rPr>
                <w:rFonts w:eastAsiaTheme="minorHAnsi"/>
                <w:color w:val="000000"/>
                <w:lang w:eastAsia="en-US"/>
              </w:rPr>
              <w:t>Ordföranden konstaterade att det fanns stöd för regeringens st</w:t>
            </w:r>
            <w:r w:rsidR="0097218F">
              <w:rPr>
                <w:rFonts w:eastAsiaTheme="minorHAnsi"/>
                <w:color w:val="000000"/>
                <w:lang w:eastAsia="en-US"/>
              </w:rPr>
              <w:t>ånd</w:t>
            </w:r>
            <w:r w:rsidR="002C58E4">
              <w:rPr>
                <w:rFonts w:eastAsiaTheme="minorHAnsi"/>
                <w:color w:val="000000"/>
                <w:lang w:eastAsia="en-US"/>
              </w:rPr>
              <w:t xml:space="preserve">punkt. </w:t>
            </w:r>
            <w:r w:rsidR="002C58E4">
              <w:rPr>
                <w:rFonts w:eastAsiaTheme="minorHAnsi"/>
                <w:color w:val="000000"/>
                <w:lang w:eastAsia="en-US"/>
              </w:rPr>
              <w:br/>
              <w:t>S-,V- och MP-ledamöterna anmälde avvikande ståndpunkt.</w:t>
            </w:r>
          </w:p>
          <w:p w14:paraId="76DCF872" w14:textId="5F6DB348" w:rsidR="000A0916" w:rsidRPr="000A0916" w:rsidRDefault="000A0916" w:rsidP="002C58E4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A0916" w:rsidRPr="00DF4413" w14:paraId="0C0896DD" w14:textId="77777777" w:rsidTr="00910104">
        <w:trPr>
          <w:trHeight w:val="568"/>
        </w:trPr>
        <w:tc>
          <w:tcPr>
            <w:tcW w:w="567" w:type="dxa"/>
          </w:tcPr>
          <w:p w14:paraId="1E016CF6" w14:textId="71E4E680" w:rsidR="000A0916" w:rsidRDefault="000A0916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71DF4923" w14:textId="77777777" w:rsidR="000A0916" w:rsidRDefault="000A0916" w:rsidP="006A295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</w:t>
            </w:r>
            <w:r w:rsidRPr="000A091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 och energifrågor</w:t>
            </w:r>
          </w:p>
          <w:p w14:paraId="1CAD2B68" w14:textId="77777777" w:rsidR="000E116C" w:rsidRDefault="000A0916" w:rsidP="000A091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Statsrådet Erik Slottner</w:t>
            </w:r>
            <w:r w:rsidR="000E116C">
              <w:rPr>
                <w:rFonts w:eastAsiaTheme="minorHAnsi"/>
                <w:lang w:eastAsia="en-US"/>
              </w:rPr>
              <w:t xml:space="preserve"> samt medarbetare från Finansdepartementet samt Statsrådsberedningen informerade och samrådde inför möte i rådet den 6 december 2024. </w:t>
            </w:r>
          </w:p>
          <w:p w14:paraId="1D586A91" w14:textId="77777777" w:rsidR="000E116C" w:rsidRDefault="000E116C" w:rsidP="000A0916">
            <w:pPr>
              <w:rPr>
                <w:rFonts w:eastAsiaTheme="minorHAnsi"/>
                <w:lang w:eastAsia="en-US"/>
              </w:rPr>
            </w:pPr>
          </w:p>
          <w:p w14:paraId="0C011B6E" w14:textId="0EDE3CB0" w:rsidR="000E116C" w:rsidRPr="00DE6D69" w:rsidRDefault="000E116C" w:rsidP="000E116C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21860F26" w14:textId="480C7F02" w:rsidR="000E116C" w:rsidRDefault="000E116C" w:rsidP="000E116C">
            <w:pPr>
              <w:rPr>
                <w:rFonts w:eastAsiaTheme="minorHAnsi"/>
                <w:color w:val="000000"/>
                <w:lang w:eastAsia="en-US"/>
              </w:rPr>
            </w:pPr>
          </w:p>
          <w:p w14:paraId="713C7908" w14:textId="742CCEC8" w:rsidR="002C58E4" w:rsidRPr="004A07B9" w:rsidRDefault="002C58E4" w:rsidP="002C58E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21 maj 2024</w:t>
            </w:r>
          </w:p>
          <w:p w14:paraId="37FC202B" w14:textId="77777777" w:rsidR="002C58E4" w:rsidRDefault="002C58E4" w:rsidP="002C58E4">
            <w:pPr>
              <w:rPr>
                <w:rFonts w:eastAsiaTheme="minorHAnsi"/>
                <w:color w:val="000000"/>
                <w:lang w:eastAsia="en-US"/>
              </w:rPr>
            </w:pPr>
          </w:p>
          <w:p w14:paraId="5E6AD9A0" w14:textId="3428E831" w:rsidR="002C58E4" w:rsidRPr="000A0916" w:rsidRDefault="002C58E4" w:rsidP="002C58E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F73B8B">
              <w:rPr>
                <w:rFonts w:eastAsiaTheme="minorHAnsi"/>
                <w:b/>
                <w:bCs/>
                <w:color w:val="000000"/>
                <w:lang w:eastAsia="en-US"/>
              </w:rPr>
              <w:t>Slutsatser om vitboken Hur hanterar vi Europas behov av digital infrastruktur?</w:t>
            </w:r>
            <w:r w:rsidR="00F73B8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73B8B">
              <w:rPr>
                <w:rFonts w:eastAsiaTheme="minorHAnsi"/>
                <w:color w:val="000000"/>
                <w:lang w:eastAsia="en-US"/>
              </w:rPr>
              <w:t>Ordföranden konstaterade att det fanns stöd för regeringens st</w:t>
            </w:r>
            <w:r w:rsidR="00931F92">
              <w:rPr>
                <w:rFonts w:eastAsiaTheme="minorHAnsi"/>
                <w:color w:val="000000"/>
                <w:lang w:eastAsia="en-US"/>
              </w:rPr>
              <w:t>ånd</w:t>
            </w:r>
            <w:r w:rsidR="00F73B8B">
              <w:rPr>
                <w:rFonts w:eastAsiaTheme="minorHAnsi"/>
                <w:color w:val="000000"/>
                <w:lang w:eastAsia="en-US"/>
              </w:rPr>
              <w:t>punkt.</w:t>
            </w:r>
          </w:p>
          <w:p w14:paraId="1756ABA8" w14:textId="77777777" w:rsidR="00DE6D69" w:rsidRDefault="00DE6D69" w:rsidP="002C58E4">
            <w:pPr>
              <w:rPr>
                <w:rFonts w:eastAsiaTheme="minorHAnsi"/>
                <w:lang w:eastAsia="en-US"/>
              </w:rPr>
            </w:pPr>
          </w:p>
          <w:p w14:paraId="219F8EC0" w14:textId="77777777" w:rsidR="00F73B8B" w:rsidRDefault="00D83F64" w:rsidP="002C58E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-Mål för det digitala decenniet 2030 mot bakgrund av den senaste tidens tekniska förändringar </w:t>
            </w:r>
            <w:r>
              <w:rPr>
                <w:rFonts w:eastAsiaTheme="minorHAnsi"/>
                <w:b/>
                <w:bCs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37BDEBB7" w14:textId="18B712D8" w:rsidR="00D83F64" w:rsidRPr="00D83F64" w:rsidRDefault="00D83F64" w:rsidP="002C58E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br/>
            </w:r>
            <w:r w:rsidR="00EB110B">
              <w:rPr>
                <w:rFonts w:eastAsiaTheme="minorHAnsi"/>
                <w:b/>
                <w:bCs/>
                <w:lang w:eastAsia="en-US"/>
              </w:rPr>
              <w:t xml:space="preserve">Övriga frågor </w:t>
            </w:r>
            <w:r w:rsidR="00EB110B">
              <w:rPr>
                <w:rFonts w:eastAsiaTheme="minorHAnsi"/>
                <w:b/>
                <w:bCs/>
                <w:lang w:eastAsia="en-US"/>
              </w:rPr>
              <w:br/>
              <w:t xml:space="preserve">-Roaming – EU:s kandidatländer (med särskilt fokus på Ukraina, Moldavien, Georgien och </w:t>
            </w:r>
            <w:r w:rsidR="00D10120">
              <w:rPr>
                <w:rFonts w:eastAsiaTheme="minorHAnsi"/>
                <w:b/>
                <w:bCs/>
                <w:lang w:eastAsia="en-US"/>
              </w:rPr>
              <w:t>v</w:t>
            </w:r>
            <w:r w:rsidR="00EB110B">
              <w:rPr>
                <w:rFonts w:eastAsiaTheme="minorHAnsi"/>
                <w:b/>
                <w:bCs/>
                <w:lang w:eastAsia="en-US"/>
              </w:rPr>
              <w:t>ästra Balkan</w:t>
            </w:r>
            <w:r w:rsidR="00D10120">
              <w:rPr>
                <w:rFonts w:eastAsiaTheme="minorHAnsi"/>
                <w:b/>
                <w:bCs/>
                <w:lang w:eastAsia="en-US"/>
              </w:rPr>
              <w:t>)</w:t>
            </w:r>
            <w:r w:rsidR="00EB110B">
              <w:rPr>
                <w:rFonts w:eastAsiaTheme="minorHAnsi"/>
                <w:b/>
                <w:bCs/>
                <w:lang w:eastAsia="en-US"/>
              </w:rPr>
              <w:br/>
            </w:r>
          </w:p>
        </w:tc>
      </w:tr>
      <w:tr w:rsidR="000A0916" w:rsidRPr="00DF4413" w14:paraId="426A6A54" w14:textId="77777777" w:rsidTr="00910104">
        <w:trPr>
          <w:trHeight w:val="568"/>
        </w:trPr>
        <w:tc>
          <w:tcPr>
            <w:tcW w:w="567" w:type="dxa"/>
          </w:tcPr>
          <w:p w14:paraId="276E4704" w14:textId="4452E388" w:rsidR="000A0916" w:rsidRDefault="000A0916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371" w:type="dxa"/>
          </w:tcPr>
          <w:p w14:paraId="33A9983C" w14:textId="77777777" w:rsidR="000E116C" w:rsidRDefault="000E116C" w:rsidP="000E116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</w:t>
            </w:r>
            <w:r w:rsidRPr="000A091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 och energifrågor</w:t>
            </w:r>
          </w:p>
          <w:p w14:paraId="0C41FF88" w14:textId="77E9CBB5" w:rsidR="000E116C" w:rsidRDefault="000E116C" w:rsidP="000E116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Statsrådet Carl-Oskar Bohlin samt medarbetare från Finansdepartementet samt Statsrådsberedningen informerade och samrådde inför möte i rådet den </w:t>
            </w:r>
            <w:r w:rsidR="00FA486B">
              <w:rPr>
                <w:rFonts w:eastAsiaTheme="minorHAnsi"/>
                <w:lang w:eastAsia="en-US"/>
              </w:rPr>
              <w:t xml:space="preserve">6 </w:t>
            </w:r>
            <w:r>
              <w:rPr>
                <w:rFonts w:eastAsiaTheme="minorHAnsi"/>
                <w:lang w:eastAsia="en-US"/>
              </w:rPr>
              <w:t xml:space="preserve">december 2024. </w:t>
            </w:r>
          </w:p>
          <w:p w14:paraId="5AF4ADB1" w14:textId="77777777" w:rsidR="000E116C" w:rsidRDefault="000E116C" w:rsidP="000E116C">
            <w:pPr>
              <w:rPr>
                <w:rFonts w:eastAsiaTheme="minorHAnsi"/>
                <w:lang w:eastAsia="en-US"/>
              </w:rPr>
            </w:pPr>
          </w:p>
          <w:p w14:paraId="3358C784" w14:textId="27ABCF3C" w:rsidR="000E116C" w:rsidRPr="00F73B8B" w:rsidRDefault="000E116C" w:rsidP="000E116C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6FEAD1F7" w14:textId="77777777" w:rsidR="000E116C" w:rsidRDefault="000E116C" w:rsidP="000E116C">
            <w:pPr>
              <w:rPr>
                <w:rFonts w:eastAsiaTheme="minorHAnsi"/>
                <w:color w:val="000000"/>
                <w:lang w:eastAsia="en-US"/>
              </w:rPr>
            </w:pPr>
          </w:p>
          <w:p w14:paraId="1E85E7B8" w14:textId="2F0BEF46" w:rsidR="000E116C" w:rsidRPr="000A0916" w:rsidRDefault="000E116C" w:rsidP="000E116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F73B8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Slutsatser om Enisa </w:t>
            </w:r>
            <w:r w:rsidR="00F73B8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73B8B">
              <w:rPr>
                <w:rFonts w:eastAsiaTheme="minorHAnsi"/>
                <w:color w:val="000000"/>
                <w:lang w:eastAsia="en-US"/>
              </w:rPr>
              <w:t>Ordföranden konstaterade att det fanns stöd för regeringens st</w:t>
            </w:r>
            <w:r w:rsidR="002C4D1C">
              <w:rPr>
                <w:rFonts w:eastAsiaTheme="minorHAnsi"/>
                <w:color w:val="000000"/>
                <w:lang w:eastAsia="en-US"/>
              </w:rPr>
              <w:t>ån</w:t>
            </w:r>
            <w:r w:rsidR="00F73B8B">
              <w:rPr>
                <w:rFonts w:eastAsiaTheme="minorHAnsi"/>
                <w:color w:val="000000"/>
                <w:lang w:eastAsia="en-US"/>
              </w:rPr>
              <w:t>dpunkt.</w:t>
            </w:r>
          </w:p>
          <w:p w14:paraId="4CA71F59" w14:textId="77777777" w:rsidR="000A0916" w:rsidRPr="006A295A" w:rsidRDefault="000A0916" w:rsidP="006A295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A486B" w:rsidRPr="00DF4413" w14:paraId="3473011A" w14:textId="77777777" w:rsidTr="00910104">
        <w:trPr>
          <w:trHeight w:val="568"/>
        </w:trPr>
        <w:tc>
          <w:tcPr>
            <w:tcW w:w="567" w:type="dxa"/>
          </w:tcPr>
          <w:p w14:paraId="3427FE6A" w14:textId="0E35D314" w:rsidR="00FA486B" w:rsidRDefault="00FA486B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8</w:t>
            </w:r>
          </w:p>
        </w:tc>
        <w:tc>
          <w:tcPr>
            <w:tcW w:w="7371" w:type="dxa"/>
          </w:tcPr>
          <w:p w14:paraId="1162500D" w14:textId="77777777" w:rsidR="00FA486B" w:rsidRDefault="00FA486B" w:rsidP="00FA486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A486B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Transport-,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FA486B">
              <w:rPr>
                <w:rFonts w:eastAsiaTheme="minorHAnsi"/>
                <w:b/>
                <w:bCs/>
                <w:color w:val="000000"/>
                <w:lang w:eastAsia="en-US"/>
              </w:rPr>
              <w:t>telekommunikations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 och energifrågor</w:t>
            </w:r>
          </w:p>
          <w:p w14:paraId="03A5BF32" w14:textId="17B1437F" w:rsidR="00FA486B" w:rsidRDefault="00FA486B" w:rsidP="00FA48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Statssekreterare Johan Davidson samt medarbetare från Landsbygds- och infrastrukturdepartementet samt Justitiedeparteme</w:t>
            </w:r>
            <w:r w:rsidR="00FE393D">
              <w:rPr>
                <w:rFonts w:eastAsiaTheme="minorHAnsi"/>
                <w:lang w:eastAsia="en-US"/>
              </w:rPr>
              <w:t>n</w:t>
            </w:r>
            <w:r>
              <w:rPr>
                <w:rFonts w:eastAsiaTheme="minorHAnsi"/>
                <w:lang w:eastAsia="en-US"/>
              </w:rPr>
              <w:t xml:space="preserve">tet informerade och samrådde inför möte i rådet den 5 december 2024. </w:t>
            </w:r>
          </w:p>
          <w:p w14:paraId="08A484AF" w14:textId="77777777" w:rsidR="00FA486B" w:rsidRDefault="00FA486B" w:rsidP="00FA486B">
            <w:pPr>
              <w:rPr>
                <w:rFonts w:eastAsiaTheme="minorHAnsi"/>
                <w:lang w:eastAsia="en-US"/>
              </w:rPr>
            </w:pPr>
          </w:p>
          <w:p w14:paraId="2A82E4CC" w14:textId="77777777" w:rsidR="00FA486B" w:rsidRDefault="00FA486B" w:rsidP="00FA486B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7A903AED" w14:textId="77777777" w:rsidR="00FA486B" w:rsidRDefault="00FA486B" w:rsidP="00FA486B">
            <w:pPr>
              <w:rPr>
                <w:rFonts w:eastAsiaTheme="minorHAnsi"/>
                <w:color w:val="000000"/>
                <w:lang w:eastAsia="en-US"/>
              </w:rPr>
            </w:pPr>
          </w:p>
          <w:p w14:paraId="0A31879E" w14:textId="5831435D" w:rsidR="00FA486B" w:rsidRPr="004A07B9" w:rsidRDefault="00FA486B" w:rsidP="00FA486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D83F6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18 juni 2024</w:t>
            </w:r>
          </w:p>
          <w:p w14:paraId="292C7312" w14:textId="77777777" w:rsidR="00FA486B" w:rsidRDefault="00FA486B" w:rsidP="00FA486B">
            <w:pPr>
              <w:rPr>
                <w:rFonts w:eastAsiaTheme="minorHAnsi"/>
                <w:color w:val="000000"/>
                <w:lang w:eastAsia="en-US"/>
              </w:rPr>
            </w:pPr>
          </w:p>
          <w:p w14:paraId="294735A2" w14:textId="1B60C4B0" w:rsidR="00FA486B" w:rsidRDefault="00FA486B" w:rsidP="00FA486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E380E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D83F64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19–20 september 2024</w:t>
            </w:r>
            <w:r w:rsidR="00D83F6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A664337" w14:textId="1823AE0A" w:rsidR="00D83F64" w:rsidRDefault="00D83F64" w:rsidP="00FA486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8E4FE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Direktivet om diskvalifikationer </w:t>
            </w:r>
            <w:r w:rsidR="008E4FE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E4FE5">
              <w:rPr>
                <w:rFonts w:eastAsiaTheme="minorHAnsi"/>
                <w:color w:val="000000"/>
                <w:lang w:eastAsia="en-US"/>
              </w:rPr>
              <w:lastRenderedPageBreak/>
              <w:t xml:space="preserve">Ordföranden konstaterade att det fanns stöd för regeringens ståndpunkt. </w:t>
            </w:r>
            <w:r w:rsidR="008E4FE5">
              <w:rPr>
                <w:rFonts w:eastAsiaTheme="minorHAnsi"/>
                <w:color w:val="000000"/>
                <w:lang w:eastAsia="en-US"/>
              </w:rPr>
              <w:br/>
            </w:r>
          </w:p>
          <w:p w14:paraId="2BD86DC1" w14:textId="101109A3" w:rsidR="008E4FE5" w:rsidRDefault="008E4FE5" w:rsidP="00FA486B">
            <w:pPr>
              <w:rPr>
                <w:rFonts w:eastAsiaTheme="minorHAnsi"/>
                <w:color w:val="000000"/>
                <w:lang w:eastAsia="en-US"/>
              </w:rPr>
            </w:pPr>
            <w:r w:rsidRPr="008E4FE5">
              <w:rPr>
                <w:rFonts w:eastAsiaTheme="minorHAnsi"/>
                <w:b/>
                <w:bCs/>
                <w:color w:val="000000"/>
                <w:lang w:eastAsia="en-US"/>
              </w:rPr>
              <w:t>-Direktivet om ändring av rådets direktiv 92/106/EEG om kombinerade transporter</w:t>
            </w:r>
            <w:r w:rsidRPr="008E4FE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</w:t>
            </w:r>
            <w:r w:rsidR="004E6006">
              <w:rPr>
                <w:rFonts w:eastAsiaTheme="minorHAnsi"/>
                <w:color w:val="000000"/>
                <w:lang w:eastAsia="en-US"/>
              </w:rPr>
              <w:t>n</w:t>
            </w:r>
            <w:r>
              <w:rPr>
                <w:rFonts w:eastAsiaTheme="minorHAnsi"/>
                <w:color w:val="000000"/>
                <w:lang w:eastAsia="en-US"/>
              </w:rPr>
              <w:t xml:space="preserve">staterade att det fanns stöd för regeringens inriktning. </w:t>
            </w:r>
          </w:p>
          <w:p w14:paraId="01DBCA94" w14:textId="67F73142" w:rsidR="008E4FE5" w:rsidRDefault="008E4FE5" w:rsidP="00FA486B">
            <w:pPr>
              <w:rPr>
                <w:rFonts w:eastAsiaTheme="minorHAnsi"/>
                <w:color w:val="000000"/>
                <w:lang w:eastAsia="en-US"/>
              </w:rPr>
            </w:pPr>
          </w:p>
          <w:p w14:paraId="1129923D" w14:textId="04432C2F" w:rsidR="008E4FE5" w:rsidRDefault="008E4FE5" w:rsidP="00FA486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efterlevnaden av passagerares rättigheter i unionen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MP-ledamoten anmälde avvikande ståndpunkt.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2002AFC3" w14:textId="712AD00C" w:rsidR="008E4FE5" w:rsidRPr="008E4FE5" w:rsidRDefault="008E4FE5" w:rsidP="00FA486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passagerares rättigheter i samband med multimodala resor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351C79A" w14:textId="77777777" w:rsidR="00FA486B" w:rsidRDefault="00FA486B" w:rsidP="000E116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B0A226" w14:textId="77777777" w:rsidR="008E4FE5" w:rsidRDefault="008E4FE5" w:rsidP="000E116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-Flygpassagerares rättigheter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3E91BA38" w14:textId="6D65ADE6" w:rsidR="008E4FE5" w:rsidRDefault="008E4FE5" w:rsidP="000E116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837C8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r w:rsidR="00D837C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3146802" w14:textId="77777777" w:rsidR="00D837C8" w:rsidRDefault="00D837C8" w:rsidP="000E116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-Gemensamt icke-officiellt dokument om Fonden för ett sammanlänkat Europa (FSE) III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5DCF9E75" w14:textId="77777777" w:rsidR="00D837C8" w:rsidRDefault="00D837C8" w:rsidP="000E116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-Det kommande ordförandeskapets arbetsprogram </w:t>
            </w:r>
          </w:p>
          <w:p w14:paraId="7D5802DE" w14:textId="573D1807" w:rsidR="00D837C8" w:rsidRPr="008E4FE5" w:rsidRDefault="00D837C8" w:rsidP="000E116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44052DF5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E00A3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371" w:type="dxa"/>
          </w:tcPr>
          <w:p w14:paraId="25A2FEC6" w14:textId="6C00329D" w:rsidR="00D67BB9" w:rsidRDefault="00BA741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7B5A1228" w14:textId="77D39BE2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</w:t>
            </w:r>
            <w:r w:rsidR="001C20C1">
              <w:rPr>
                <w:rFonts w:eastAsiaTheme="minorHAnsi"/>
                <w:color w:val="000000"/>
                <w:lang w:eastAsia="en-US"/>
              </w:rPr>
              <w:t xml:space="preserve"> från sammanträd</w:t>
            </w:r>
            <w:r w:rsidR="00C32D4C">
              <w:rPr>
                <w:rFonts w:eastAsiaTheme="minorHAnsi"/>
                <w:color w:val="000000"/>
                <w:lang w:eastAsia="en-US"/>
              </w:rPr>
              <w:t>e</w:t>
            </w:r>
            <w:r w:rsidR="00FA486B">
              <w:rPr>
                <w:rFonts w:eastAsiaTheme="minorHAnsi"/>
                <w:color w:val="000000"/>
                <w:lang w:eastAsia="en-US"/>
              </w:rPr>
              <w:t xml:space="preserve">t den 22 november 2024 </w:t>
            </w:r>
            <w:r w:rsidR="004A07B9">
              <w:rPr>
                <w:rFonts w:eastAsiaTheme="minorHAnsi"/>
                <w:color w:val="000000"/>
                <w:lang w:eastAsia="en-US"/>
              </w:rPr>
              <w:t xml:space="preserve">samt </w:t>
            </w:r>
            <w:r>
              <w:rPr>
                <w:rFonts w:eastAsiaTheme="minorHAnsi"/>
                <w:color w:val="000000"/>
                <w:lang w:eastAsia="en-US"/>
              </w:rPr>
              <w:t>uppteckningar</w:t>
            </w:r>
            <w:r w:rsidR="004A07B9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lang w:eastAsia="en-US"/>
              </w:rPr>
              <w:t>sammanträ</w:t>
            </w:r>
            <w:r w:rsidR="00FA486B">
              <w:rPr>
                <w:rFonts w:eastAsiaTheme="minorHAnsi"/>
                <w:color w:val="000000"/>
                <w:lang w:eastAsia="en-US"/>
              </w:rPr>
              <w:t xml:space="preserve">dena </w:t>
            </w:r>
            <w:r>
              <w:rPr>
                <w:rFonts w:eastAsiaTheme="minorHAnsi"/>
                <w:color w:val="000000"/>
                <w:lang w:eastAsia="en-US"/>
              </w:rPr>
              <w:t>den</w:t>
            </w:r>
            <w:r w:rsidR="00FA486B">
              <w:rPr>
                <w:rFonts w:eastAsiaTheme="minorHAnsi"/>
                <w:color w:val="000000"/>
                <w:lang w:eastAsia="en-US"/>
              </w:rPr>
              <w:t xml:space="preserve"> 15 november 2024 justerades.</w:t>
            </w:r>
          </w:p>
          <w:p w14:paraId="09388C76" w14:textId="77777777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0CDA7563" w14:textId="1C76F0E2" w:rsidR="004A07B9" w:rsidRPr="00E34740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 w:rsidR="00CF47BB">
              <w:rPr>
                <w:rFonts w:eastAsiaTheme="minorHAnsi"/>
                <w:color w:val="000000"/>
                <w:lang w:eastAsia="en-US"/>
              </w:rPr>
              <w:t xml:space="preserve"> 22 november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  (återfinns i bilaga 2).  </w:t>
            </w:r>
          </w:p>
          <w:p w14:paraId="59DAEC15" w14:textId="5DD36C2F" w:rsidR="00765302" w:rsidRPr="00E34740" w:rsidRDefault="00765302" w:rsidP="00E3474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707FB84B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3CA5FA9" w14:textId="77777777" w:rsidR="00765302" w:rsidRPr="00C107EB" w:rsidRDefault="00765302" w:rsidP="00C107EB">
            <w:pPr>
              <w:rPr>
                <w:bCs/>
              </w:rPr>
            </w:pP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4F5B661" w14:textId="241462F8" w:rsidR="00690694" w:rsidRPr="00FB792F" w:rsidRDefault="00BD1382" w:rsidP="00475C46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  <w:r w:rsidR="00475C46">
        <w:rPr>
          <w:b/>
          <w:snapToGrid w:val="0"/>
          <w:lang w:eastAsia="en-US"/>
        </w:rPr>
        <w:lastRenderedPageBreak/>
        <w:t xml:space="preserve">    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  <w:r w:rsidR="00475C46">
        <w:rPr>
          <w:b/>
          <w:snapToGrid w:val="0"/>
          <w:lang w:eastAsia="en-US"/>
        </w:rPr>
        <w:br/>
      </w:r>
      <w:r w:rsidR="00475C46">
        <w:rPr>
          <w:b/>
          <w:snapToGrid w:val="0"/>
          <w:lang w:eastAsia="en-US"/>
        </w:rPr>
        <w:br/>
      </w:r>
    </w:p>
    <w:p w14:paraId="73299E33" w14:textId="67182370" w:rsidR="006F13FC" w:rsidRDefault="00475C46" w:rsidP="00475C46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Aline Vinberg</w:t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425BEDD" w:rsidR="00D67773" w:rsidRDefault="00D67773" w:rsidP="00475C46">
      <w:pPr>
        <w:tabs>
          <w:tab w:val="left" w:pos="1701"/>
        </w:tabs>
        <w:spacing w:line="252" w:lineRule="auto"/>
        <w:ind w:left="72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BE00A3">
        <w:rPr>
          <w:b/>
          <w:snapToGrid w:val="0"/>
          <w:lang w:eastAsia="en-US"/>
        </w:rPr>
        <w:t>6 december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7B4F4321" w:rsidR="005C12CA" w:rsidRDefault="00475C46" w:rsidP="00475C46">
      <w:pPr>
        <w:tabs>
          <w:tab w:val="left" w:pos="1701"/>
        </w:tabs>
        <w:spacing w:line="252" w:lineRule="auto"/>
        <w:ind w:left="72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</w:t>
      </w:r>
      <w:r w:rsidR="00BE00A3">
        <w:rPr>
          <w:b/>
          <w:snapToGrid w:val="0"/>
          <w:lang w:eastAsia="en-US"/>
        </w:rPr>
        <w:t xml:space="preserve">Ordförande </w:t>
      </w:r>
      <w:r w:rsidR="00CD5776">
        <w:rPr>
          <w:b/>
          <w:snapToGrid w:val="0"/>
          <w:lang w:eastAsia="en-US"/>
        </w:rPr>
        <w:t>Erik Ottoson</w:t>
      </w:r>
    </w:p>
    <w:p w14:paraId="75D33F0B" w14:textId="564B4FE4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7777777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1DB0F63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605D23">
              <w:rPr>
                <w:b/>
                <w:color w:val="000000"/>
                <w:szCs w:val="22"/>
                <w:lang w:val="en-GB" w:eastAsia="en-US"/>
              </w:rPr>
              <w:t>-4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28E250E2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605D23">
              <w:rPr>
                <w:b/>
                <w:color w:val="000000"/>
                <w:szCs w:val="22"/>
                <w:lang w:val="en-GB" w:eastAsia="en-US"/>
              </w:rPr>
              <w:t>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Ottosson (M) (Ordförande)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9B0C14C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0D45AAB9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0CF48A55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44B32CA9" w:rsidR="00351D87" w:rsidRPr="0053205B" w:rsidRDefault="00605D23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1C6B8CF6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28C524BD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650B880A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2E1F3C3B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066EDD33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F56678A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6628A0C7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30CF1D9B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648475FC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14AFA28C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3FACD56C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0D721424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</w:t>
            </w:r>
            <w:r w:rsidR="001D398A">
              <w:rPr>
                <w:color w:val="000000"/>
                <w:szCs w:val="22"/>
                <w:lang w:val="en-GB" w:eastAsia="en-US"/>
              </w:rPr>
              <w:t>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8751B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8751B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8751BD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8751BD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8751BD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8751BD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8751BD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8751BD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8751BD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30FB832B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50EA774A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3BE3C5D7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4DEF2A73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2C298BF1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6B3C4C13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033F6DFE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336B4AC4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36202277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09D6F0DF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15E352FC" w:rsidR="00351D87" w:rsidRPr="00DE5153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4CF35B52" w:rsidR="00351D87" w:rsidRPr="000C12B6" w:rsidRDefault="00605D2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Rud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0258383C" w:rsidR="00351D87" w:rsidRPr="000C12B6" w:rsidRDefault="00894A2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</w:t>
            </w:r>
            <w:r w:rsidR="001D398A">
              <w:rPr>
                <w:color w:val="000000"/>
                <w:szCs w:val="22"/>
                <w:lang w:val="en-GB" w:eastAsia="en-US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8E92F9E" w:rsidR="00351D87" w:rsidRPr="00DE5153" w:rsidRDefault="001F5E7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24D4C2DA" w:rsidR="00351D87" w:rsidRPr="00DE5153" w:rsidRDefault="001F5E78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299B9CE7" w:rsidR="00351D87" w:rsidRPr="00DE5153" w:rsidRDefault="00894A2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51DF0689" w:rsidR="00351D87" w:rsidRPr="00DE5153" w:rsidRDefault="00894A2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10720601" w:rsidR="00351D87" w:rsidRPr="001D398A" w:rsidRDefault="001D398A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1D398A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5776E3A7" w:rsidR="00351D87" w:rsidRPr="00AF78AD" w:rsidRDefault="001D398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D398A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5140CF39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1D398A">
              <w:rPr>
                <w:color w:val="000000" w:themeColor="text1"/>
                <w:sz w:val="20"/>
                <w:lang w:eastAsia="en-US"/>
              </w:rPr>
              <w:t xml:space="preserve"> 10.30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1D398A">
              <w:rPr>
                <w:color w:val="000000" w:themeColor="text1"/>
                <w:sz w:val="20"/>
                <w:lang w:eastAsia="en-US"/>
              </w:rPr>
              <w:t xml:space="preserve"> 10.30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1F47A36E" w14:textId="306B4209" w:rsidR="00651619" w:rsidRPr="00737CCC" w:rsidRDefault="00717981" w:rsidP="00E65E0F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907B69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 w:rsidR="00907B69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F365E8">
        <w:rPr>
          <w:b/>
          <w:color w:val="000000"/>
          <w:lang w:eastAsia="en-US"/>
        </w:rPr>
        <w:t>13</w:t>
      </w:r>
      <w:r>
        <w:rPr>
          <w:b/>
          <w:color w:val="000000"/>
          <w:lang w:eastAsia="en-US"/>
        </w:rPr>
        <w:br/>
      </w:r>
    </w:p>
    <w:p w14:paraId="69D75C88" w14:textId="77777777" w:rsidR="00D46BB8" w:rsidRDefault="00D46BB8" w:rsidP="00D46BB8">
      <w:pPr>
        <w:rPr>
          <w:b/>
          <w:bCs/>
        </w:rPr>
      </w:pPr>
    </w:p>
    <w:p w14:paraId="5C49094F" w14:textId="387B361A" w:rsidR="00D46BB8" w:rsidRPr="00737CCC" w:rsidRDefault="00D46BB8" w:rsidP="00D46BB8">
      <w:pPr>
        <w:rPr>
          <w:b/>
          <w:bCs/>
          <w:sz w:val="22"/>
          <w:szCs w:val="22"/>
        </w:rPr>
      </w:pPr>
      <w:r w:rsidRPr="00737CCC">
        <w:rPr>
          <w:b/>
          <w:bCs/>
        </w:rPr>
        <w:t>Skriftligt samråd med EU-nämnden om beslut avseende Europeiska rådets beslut om utnämning av ny EU-kommission</w:t>
      </w:r>
    </w:p>
    <w:p w14:paraId="78F7063E" w14:textId="77777777" w:rsidR="00D46BB8" w:rsidRPr="00D46BB8" w:rsidRDefault="00D46BB8" w:rsidP="00D46BB8">
      <w:r w:rsidRPr="00D46BB8">
        <w:t>Samrådet avslutades den 28 november 2024. Det fanns stöd för regeringens ståndpunkter.</w:t>
      </w:r>
    </w:p>
    <w:p w14:paraId="37B783F7" w14:textId="77777777" w:rsidR="00D46BB8" w:rsidRDefault="00D46BB8" w:rsidP="00D46BB8">
      <w:pPr>
        <w:rPr>
          <w:sz w:val="22"/>
          <w:szCs w:val="22"/>
        </w:rPr>
      </w:pPr>
    </w:p>
    <w:p w14:paraId="164E75EC" w14:textId="77777777" w:rsidR="00D46BB8" w:rsidRPr="006F230B" w:rsidRDefault="00D46BB8" w:rsidP="00D46BB8">
      <w:pPr>
        <w:rPr>
          <w:sz w:val="22"/>
          <w:szCs w:val="22"/>
          <w:u w:val="single"/>
        </w:rPr>
      </w:pPr>
      <w:r w:rsidRPr="006F230B">
        <w:rPr>
          <w:sz w:val="22"/>
          <w:szCs w:val="22"/>
          <w:u w:val="single"/>
        </w:rPr>
        <w:t>Följande avvikande ståndpunkt har anmälts från Vänsterpartiet:</w:t>
      </w:r>
    </w:p>
    <w:p w14:paraId="5B0E9462" w14:textId="77777777" w:rsidR="00D46BB8" w:rsidRPr="006F230B" w:rsidRDefault="00D46BB8" w:rsidP="00D46BB8">
      <w:pPr>
        <w:rPr>
          <w:sz w:val="22"/>
          <w:szCs w:val="22"/>
        </w:rPr>
      </w:pPr>
    </w:p>
    <w:p w14:paraId="595F4F8A" w14:textId="4777313C" w:rsidR="00D46BB8" w:rsidRDefault="00D46BB8" w:rsidP="00D46BB8">
      <w:pPr>
        <w:rPr>
          <w:sz w:val="22"/>
          <w:szCs w:val="22"/>
        </w:rPr>
      </w:pPr>
      <w:r w:rsidRPr="006F230B">
        <w:rPr>
          <w:sz w:val="22"/>
          <w:szCs w:val="22"/>
        </w:rPr>
        <w:t>”Sverige borde rösta nej till kommissionen”</w:t>
      </w:r>
    </w:p>
    <w:p w14:paraId="42A8B605" w14:textId="5D5BB4E2" w:rsidR="00D93087" w:rsidRDefault="00D93087" w:rsidP="00D46BB8">
      <w:pPr>
        <w:rPr>
          <w:sz w:val="22"/>
          <w:szCs w:val="22"/>
        </w:rPr>
      </w:pPr>
    </w:p>
    <w:p w14:paraId="22371E7E" w14:textId="2FEA3984" w:rsidR="00D93087" w:rsidRDefault="00D93087" w:rsidP="00D46BB8">
      <w:pPr>
        <w:rPr>
          <w:b/>
          <w:bCs/>
        </w:rPr>
      </w:pPr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48</w:t>
      </w:r>
    </w:p>
    <w:p w14:paraId="0E1BC323" w14:textId="28C14010" w:rsidR="00D93087" w:rsidRDefault="00D93087" w:rsidP="00D93087">
      <w:r>
        <w:t>Samrådet avslutades den 28 november 2024. Det fanns stöd för regeringens ståndpunkter. Inga avvikande ståndpunkter har anmälts.</w:t>
      </w:r>
    </w:p>
    <w:p w14:paraId="1E707BC5" w14:textId="77777777" w:rsidR="00D46BB8" w:rsidRPr="0037060A" w:rsidRDefault="00D46BB8" w:rsidP="0037060A">
      <w:pPr>
        <w:widowControl/>
        <w:rPr>
          <w:sz w:val="22"/>
          <w:szCs w:val="22"/>
        </w:rPr>
      </w:pPr>
    </w:p>
    <w:p w14:paraId="777085A1" w14:textId="5B142F66" w:rsidR="007D2384" w:rsidRDefault="007D2384" w:rsidP="007D2384">
      <w:r>
        <w:rPr>
          <w:b/>
          <w:bCs/>
        </w:rPr>
        <w:t xml:space="preserve">Skriftligt samråd med EU-nämnden avseende </w:t>
      </w:r>
      <w:r w:rsidR="00737CCC">
        <w:rPr>
          <w:b/>
          <w:bCs/>
        </w:rPr>
        <w:t>tre annoteringar på utrikesområdet</w:t>
      </w:r>
      <w:r w:rsidRPr="0037060A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t xml:space="preserve">Samrådet avslutades den </w:t>
      </w:r>
      <w:r w:rsidR="00737CCC">
        <w:t xml:space="preserve">27 november </w:t>
      </w:r>
      <w:r>
        <w:t>2024. Det fanns stöd för regeringens ståndpunkter. Inga avvikande ståndpunkter har anmälts.</w:t>
      </w:r>
    </w:p>
    <w:p w14:paraId="26D2119F" w14:textId="1DD10EEA" w:rsidR="000765E6" w:rsidRDefault="000765E6" w:rsidP="003A5A88">
      <w:pPr>
        <w:widowControl/>
        <w:rPr>
          <w:sz w:val="22"/>
          <w:szCs w:val="22"/>
        </w:rPr>
      </w:pPr>
    </w:p>
    <w:p w14:paraId="006D4C77" w14:textId="77777777" w:rsidR="00737CCC" w:rsidRDefault="00737CCC" w:rsidP="00737CCC">
      <w:pPr>
        <w:pStyle w:val="Liststycke"/>
        <w:widowControl/>
        <w:numPr>
          <w:ilvl w:val="0"/>
          <w:numId w:val="38"/>
        </w:numPr>
        <w:contextualSpacing w:val="0"/>
        <w:rPr>
          <w:sz w:val="22"/>
          <w:szCs w:val="22"/>
        </w:rPr>
      </w:pPr>
      <w:r>
        <w:t>Antagande av rådsbeslut om ändring av beslut 2010/452/Gusp om Europeiska unionens övervakningsuppdrag i Georgien, EUMM Georgia</w:t>
      </w:r>
    </w:p>
    <w:p w14:paraId="7C1B22FB" w14:textId="77777777" w:rsidR="00737CCC" w:rsidRDefault="00737CCC" w:rsidP="00737CCC">
      <w:pPr>
        <w:pStyle w:val="Liststycke"/>
        <w:widowControl/>
        <w:numPr>
          <w:ilvl w:val="0"/>
          <w:numId w:val="38"/>
        </w:numPr>
        <w:contextualSpacing w:val="0"/>
      </w:pPr>
      <w:r>
        <w:t>Antagande av rådsbeslut om ändring av rådets beslut samt genomförandeförordning om restriktiva åtgärder mot allvarliga kränkningar av och brott mot de mänskliga rättigheterna</w:t>
      </w:r>
    </w:p>
    <w:p w14:paraId="3819E867" w14:textId="77777777" w:rsidR="00737CCC" w:rsidRDefault="00737CCC" w:rsidP="00737CCC">
      <w:pPr>
        <w:pStyle w:val="Liststycke"/>
        <w:widowControl/>
        <w:numPr>
          <w:ilvl w:val="0"/>
          <w:numId w:val="38"/>
        </w:numPr>
        <w:contextualSpacing w:val="0"/>
      </w:pPr>
      <w:r>
        <w:t>Antagande av rådsbeslut om ändring av rådets beslut (Gusp) 2017/1775 om restriktiva åtgärder med hänsyn till situationen i Mali</w:t>
      </w:r>
    </w:p>
    <w:p w14:paraId="4DF328DD" w14:textId="77777777" w:rsidR="00737CCC" w:rsidRDefault="00737CCC" w:rsidP="000765E6">
      <w:pPr>
        <w:rPr>
          <w:b/>
          <w:bCs/>
        </w:rPr>
      </w:pPr>
    </w:p>
    <w:p w14:paraId="025B3427" w14:textId="77777777" w:rsidR="000765E6" w:rsidRDefault="000765E6" w:rsidP="000765E6">
      <w:r>
        <w:rPr>
          <w:b/>
          <w:bCs/>
        </w:rPr>
        <w:t>Skriftligt samråd med EU-nämnden avseende kompletterande lista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47</w:t>
      </w:r>
      <w:r>
        <w:rPr>
          <w:b/>
          <w:bCs/>
        </w:rPr>
        <w:br/>
      </w:r>
      <w:r>
        <w:t>Samrådet avslutades den 22 november 2024. Det fanns stöd för regeringens ståndpunkter. Inga avvikande ståndpunkter har anmälts.</w:t>
      </w:r>
    </w:p>
    <w:p w14:paraId="0120D707" w14:textId="77777777" w:rsidR="000765E6" w:rsidRPr="003A5A88" w:rsidRDefault="000765E6" w:rsidP="003A5A88">
      <w:pPr>
        <w:widowControl/>
        <w:rPr>
          <w:sz w:val="22"/>
          <w:szCs w:val="22"/>
        </w:rPr>
      </w:pPr>
    </w:p>
    <w:sectPr w:rsidR="000765E6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22FF" w14:textId="77777777" w:rsidR="00D20546" w:rsidRDefault="00D20546" w:rsidP="00011EB2">
      <w:r>
        <w:separator/>
      </w:r>
    </w:p>
  </w:endnote>
  <w:endnote w:type="continuationSeparator" w:id="0">
    <w:p w14:paraId="1FCBFD6B" w14:textId="77777777" w:rsidR="00D20546" w:rsidRDefault="00D2054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CF24" w14:textId="77777777" w:rsidR="00D20546" w:rsidRDefault="00D20546" w:rsidP="00011EB2">
      <w:r>
        <w:separator/>
      </w:r>
    </w:p>
  </w:footnote>
  <w:footnote w:type="continuationSeparator" w:id="0">
    <w:p w14:paraId="4FDF1B29" w14:textId="77777777" w:rsidR="00D20546" w:rsidRDefault="00D2054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232"/>
    <w:multiLevelType w:val="hybridMultilevel"/>
    <w:tmpl w:val="95F20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33C73"/>
    <w:multiLevelType w:val="hybridMultilevel"/>
    <w:tmpl w:val="6F769E12"/>
    <w:lvl w:ilvl="0" w:tplc="9E4E9278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2094"/>
    <w:multiLevelType w:val="hybridMultilevel"/>
    <w:tmpl w:val="6DEEA080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B4F48DA8">
      <w:start w:val="1"/>
      <w:numFmt w:val="lowerLetter"/>
      <w:pStyle w:val="Listaniv2"/>
      <w:lvlText w:val="%2)"/>
      <w:lvlJc w:val="left"/>
      <w:pPr>
        <w:ind w:left="4482" w:hanging="360"/>
      </w:pPr>
      <w:rPr>
        <w:b/>
        <w:bCs/>
      </w:r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01D5A"/>
    <w:multiLevelType w:val="hybridMultilevel"/>
    <w:tmpl w:val="9912F294"/>
    <w:lvl w:ilvl="0" w:tplc="46C66C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D0499"/>
    <w:multiLevelType w:val="hybridMultilevel"/>
    <w:tmpl w:val="49A6FBEC"/>
    <w:lvl w:ilvl="0" w:tplc="23F23F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"/>
  </w:num>
  <w:num w:numId="28">
    <w:abstractNumId w:val="8"/>
  </w:num>
  <w:num w:numId="29">
    <w:abstractNumId w:val="32"/>
  </w:num>
  <w:num w:numId="30">
    <w:abstractNumId w:val="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2"/>
  </w:num>
  <w:num w:numId="35">
    <w:abstractNumId w:val="35"/>
  </w:num>
  <w:num w:numId="36">
    <w:abstractNumId w:val="34"/>
  </w:num>
  <w:num w:numId="37">
    <w:abstractNumId w:val="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704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5E6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916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16C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5F40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486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398A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2F5"/>
    <w:rsid w:val="001F5A28"/>
    <w:rsid w:val="001F5E7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4D1C"/>
    <w:rsid w:val="002C5856"/>
    <w:rsid w:val="002C5894"/>
    <w:rsid w:val="002C58E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566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2AB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EAA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AE7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513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C46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006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480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238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5D23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295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30B"/>
    <w:rsid w:val="006F24B8"/>
    <w:rsid w:val="006F4051"/>
    <w:rsid w:val="006F4CAB"/>
    <w:rsid w:val="006F55CF"/>
    <w:rsid w:val="006F590C"/>
    <w:rsid w:val="006F5A80"/>
    <w:rsid w:val="006F6093"/>
    <w:rsid w:val="006F657E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37CC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12E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C7892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1BD"/>
    <w:rsid w:val="00875376"/>
    <w:rsid w:val="008757FD"/>
    <w:rsid w:val="00875A95"/>
    <w:rsid w:val="008761B2"/>
    <w:rsid w:val="00876288"/>
    <w:rsid w:val="0087677C"/>
    <w:rsid w:val="00877D74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A2F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4FE5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1F92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18F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437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510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4D9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CAD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00A3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0B9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7BB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120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0546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BB8"/>
    <w:rsid w:val="00D46EAA"/>
    <w:rsid w:val="00D46F04"/>
    <w:rsid w:val="00D470C2"/>
    <w:rsid w:val="00D47967"/>
    <w:rsid w:val="00D523A5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37C8"/>
    <w:rsid w:val="00D83F64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087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6D6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BA2"/>
    <w:rsid w:val="00E14F95"/>
    <w:rsid w:val="00E15027"/>
    <w:rsid w:val="00E15242"/>
    <w:rsid w:val="00E155E2"/>
    <w:rsid w:val="00E159A6"/>
    <w:rsid w:val="00E15A5C"/>
    <w:rsid w:val="00E15ADF"/>
    <w:rsid w:val="00E16D56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110B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1EB9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65E8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B8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86B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93D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</TotalTime>
  <Pages>10</Pages>
  <Words>1775</Words>
  <Characters>11417</Characters>
  <Application>Microsoft Office Word</Application>
  <DocSecurity>0</DocSecurity>
  <Lines>1427</Lines>
  <Paragraphs>321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23</cp:revision>
  <cp:lastPrinted>2023-12-19T08:01:00Z</cp:lastPrinted>
  <dcterms:created xsi:type="dcterms:W3CDTF">2024-12-05T10:21:00Z</dcterms:created>
  <dcterms:modified xsi:type="dcterms:W3CDTF">2024-12-05T14:32:00Z</dcterms:modified>
</cp:coreProperties>
</file>