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BBD" w:rsidRPr="00EF1BBD" w:rsidRDefault="00EF1BBD">
      <w:pPr>
        <w:pStyle w:val="Frslagsrubrik"/>
      </w:pPr>
      <w:r w:rsidRPr="00EF1BBD">
        <w:t>Förslag till riksdagsbeslut</w:t>
      </w:r>
    </w:p>
    <w:p w:rsidR="00EF1BBD" w:rsidRPr="00EF1BBD" w:rsidRDefault="00EF1BBD">
      <w:pPr>
        <w:pStyle w:val="Hemstlatt"/>
      </w:pPr>
      <w:r w:rsidRPr="00EF1BBD">
        <w:t xml:space="preserve">Riksdagen tillkännager för regeringen som sin mening vad som anförs i motionen om </w:t>
      </w:r>
      <w:r w:rsidRPr="00EF1BBD">
        <w:rPr>
          <w:szCs w:val="24"/>
        </w:rPr>
        <w:t>att patientens medgivande alltid måste inhä</w:t>
      </w:r>
      <w:r w:rsidRPr="00EF1BBD">
        <w:rPr>
          <w:szCs w:val="24"/>
        </w:rPr>
        <w:t>m</w:t>
      </w:r>
      <w:r w:rsidRPr="00EF1BBD">
        <w:rPr>
          <w:szCs w:val="24"/>
        </w:rPr>
        <w:t>tas för inrapportering till det nationella patientregistret (PAR) och andra regi</w:t>
      </w:r>
      <w:r w:rsidRPr="00EF1BBD">
        <w:rPr>
          <w:szCs w:val="24"/>
        </w:rPr>
        <w:t>s</w:t>
      </w:r>
      <w:r w:rsidRPr="00EF1BBD">
        <w:rPr>
          <w:szCs w:val="24"/>
        </w:rPr>
        <w:t>ter om diagnos och åtgärd, både individrelaterad och icke individrelat</w:t>
      </w:r>
      <w:r w:rsidRPr="00EF1BBD">
        <w:rPr>
          <w:szCs w:val="24"/>
        </w:rPr>
        <w:t>e</w:t>
      </w:r>
      <w:r w:rsidRPr="00EF1BBD">
        <w:rPr>
          <w:szCs w:val="24"/>
        </w:rPr>
        <w:t>rad.</w:t>
      </w:r>
    </w:p>
    <w:p w:rsidR="00EF1BBD" w:rsidRPr="00EF1BBD" w:rsidRDefault="00EF1BBD">
      <w:pPr>
        <w:pStyle w:val="Rubrik1"/>
      </w:pPr>
      <w:r w:rsidRPr="00EF1BBD">
        <w:t>Motivering</w:t>
      </w:r>
    </w:p>
    <w:p w:rsidR="00EF1BBD" w:rsidRPr="00EF1BBD" w:rsidRDefault="00EF1BBD">
      <w:r w:rsidRPr="00EF1BBD">
        <w:t>En sjukdomsdiagnos och behandling är något mellan patient och läkare, o</w:t>
      </w:r>
      <w:r w:rsidRPr="00EF1BBD">
        <w:t>m</w:t>
      </w:r>
      <w:r w:rsidRPr="00EF1BBD">
        <w:t>gärdat av strikta sekretessbestämmelser. Pat</w:t>
      </w:r>
      <w:r w:rsidRPr="00EF1BBD">
        <w:t>i</w:t>
      </w:r>
      <w:r w:rsidRPr="00EF1BBD">
        <w:t>enten bestämmer själv för vem han/hon vill berätta om sin sjukdom. Så fungerade det förr och så tror många att det fu</w:t>
      </w:r>
      <w:r w:rsidRPr="00EF1BBD">
        <w:t>n</w:t>
      </w:r>
      <w:r w:rsidRPr="00EF1BBD">
        <w:t>gerar fortfarande.</w:t>
      </w:r>
    </w:p>
    <w:p w:rsidR="00EF1BBD" w:rsidRPr="00EF1BBD" w:rsidRDefault="00EF1BBD">
      <w:pPr>
        <w:pStyle w:val="Normaltindrag"/>
      </w:pPr>
      <w:r w:rsidRPr="00EF1BBD">
        <w:t>Alla läkare i den öppna specialiserade vården har emellertid sedan 2002 skyldighet enligt lag att tillsammans med patientens personuppgifter rapport</w:t>
      </w:r>
      <w:r w:rsidRPr="00EF1BBD">
        <w:t>e</w:t>
      </w:r>
      <w:r w:rsidRPr="00EF1BBD">
        <w:t>ra in diagnos och åtgä</w:t>
      </w:r>
      <w:r w:rsidRPr="00EF1BBD">
        <w:t>r</w:t>
      </w:r>
      <w:r w:rsidRPr="00EF1BBD">
        <w:t>der till det nationella patientregistret.</w:t>
      </w:r>
    </w:p>
    <w:p w:rsidR="00EF1BBD" w:rsidRPr="00EF1BBD" w:rsidRDefault="00EF1BBD">
      <w:pPr>
        <w:pStyle w:val="Normaltindrag"/>
      </w:pPr>
      <w:r w:rsidRPr="00EF1BBD">
        <w:t>Det svenska patientregistret, PAR, är ett individbaserat regi</w:t>
      </w:r>
      <w:r w:rsidRPr="00EF1BBD">
        <w:t>s</w:t>
      </w:r>
      <w:r w:rsidRPr="00EF1BBD">
        <w:t>ter som täcker hela befolknin</w:t>
      </w:r>
      <w:r w:rsidRPr="00EF1BBD">
        <w:t>g</w:t>
      </w:r>
      <w:r w:rsidRPr="00EF1BBD">
        <w:t>ens konsumtion av slutenvård och läkarbesök i specialiserad öppenvård. Utvidgning av ra</w:t>
      </w:r>
      <w:r w:rsidRPr="00EF1BBD">
        <w:t>p</w:t>
      </w:r>
      <w:r w:rsidRPr="00EF1BBD">
        <w:t>porteringsskyldighet till primärvården planeras.</w:t>
      </w:r>
    </w:p>
    <w:p w:rsidR="00EF1BBD" w:rsidRPr="00EF1BBD" w:rsidRDefault="00EF1BBD">
      <w:pPr>
        <w:pStyle w:val="Normaltindrag"/>
      </w:pPr>
      <w:r w:rsidRPr="00EF1BBD">
        <w:t>I utvecklingsplanen för det nationella patientregistret konst</w:t>
      </w:r>
      <w:r w:rsidRPr="00EF1BBD">
        <w:t>a</w:t>
      </w:r>
      <w:r w:rsidRPr="00EF1BBD">
        <w:t>teras dock att en av de stora fr</w:t>
      </w:r>
      <w:r w:rsidRPr="00EF1BBD">
        <w:t>å</w:t>
      </w:r>
      <w:r w:rsidRPr="00EF1BBD">
        <w:t>gorna är om säkerheten kan bibehållas i en rapportering via nätet. I Datainspektionens ra</w:t>
      </w:r>
      <w:r w:rsidRPr="00EF1BBD">
        <w:t>p</w:t>
      </w:r>
      <w:r w:rsidRPr="00EF1BBD">
        <w:t>port 2003:4 konstateras att information till eller från ett vårdregister som överförs via ett trådlöst system måste sky</w:t>
      </w:r>
      <w:r w:rsidRPr="00EF1BBD">
        <w:t>d</w:t>
      </w:r>
      <w:r w:rsidRPr="00EF1BBD">
        <w:t>das för avlyssning, och ett antal åtgärder däru</w:t>
      </w:r>
      <w:r w:rsidRPr="00EF1BBD">
        <w:t>t</w:t>
      </w:r>
      <w:r w:rsidRPr="00EF1BBD">
        <w:t>över räknas upp, som måste övervägas för att få en fullgod säkerhet.</w:t>
      </w:r>
    </w:p>
    <w:p w:rsidR="00EF1BBD" w:rsidRPr="00EF1BBD" w:rsidRDefault="00EF1BBD">
      <w:pPr>
        <w:pStyle w:val="Normaltindrag"/>
      </w:pPr>
      <w:r w:rsidRPr="00EF1BBD">
        <w:t>Enligt min mening är det tveksamt att ha ett stort heltäckande och samlat informationsregi</w:t>
      </w:r>
      <w:r w:rsidRPr="00EF1BBD">
        <w:t>s</w:t>
      </w:r>
      <w:r w:rsidRPr="00EF1BBD">
        <w:t>ter över så känsliga uppgifter som diagnos och behandling länkat till personnummer. Risken för dataintrång och stöld av up</w:t>
      </w:r>
      <w:r w:rsidRPr="00EF1BBD">
        <w:t>p</w:t>
      </w:r>
      <w:r w:rsidRPr="00EF1BBD">
        <w:t>gifter kan inte negligeras.</w:t>
      </w:r>
    </w:p>
    <w:p w:rsidR="00EF1BBD" w:rsidRPr="00EF1BBD" w:rsidRDefault="00EF1BBD">
      <w:pPr>
        <w:pStyle w:val="Normaltindrag"/>
      </w:pPr>
      <w:r w:rsidRPr="00EF1BBD">
        <w:lastRenderedPageBreak/>
        <w:t>Ett heltäckande elektroniskt patientregister ger storartade möjligheter för planering, st</w:t>
      </w:r>
      <w:r w:rsidRPr="00EF1BBD">
        <w:t>a</w:t>
      </w:r>
      <w:r w:rsidRPr="00EF1BBD">
        <w:t>tistik och forskning av olika slag, som kan komma befolkningen till godo. Möjlighete</w:t>
      </w:r>
      <w:r w:rsidRPr="00EF1BBD">
        <w:t>r</w:t>
      </w:r>
      <w:r w:rsidRPr="00EF1BBD">
        <w:t>na lockar och bländar. Den strikta sekretessen och det förtroende patienten givit till l</w:t>
      </w:r>
      <w:r w:rsidRPr="00EF1BBD">
        <w:t>ä</w:t>
      </w:r>
      <w:r w:rsidRPr="00EF1BBD">
        <w:t>karen i vetskap om dennes tystnadsplikt har fått ge vika för samhällsny</w:t>
      </w:r>
      <w:r w:rsidRPr="00EF1BBD">
        <w:t>t</w:t>
      </w:r>
      <w:r w:rsidRPr="00EF1BBD">
        <w:t>tan.</w:t>
      </w:r>
    </w:p>
    <w:p w:rsidR="00EF1BBD" w:rsidRPr="00EF1BBD" w:rsidRDefault="00EF1BBD">
      <w:pPr>
        <w:pStyle w:val="Normaltindrag"/>
      </w:pPr>
      <w:r w:rsidRPr="00EF1BBD">
        <w:t>En balans mellan dessa två intressen kan dock uppnås genom ett register över icke indivi</w:t>
      </w:r>
      <w:r w:rsidRPr="00EF1BBD">
        <w:t>d</w:t>
      </w:r>
      <w:r w:rsidRPr="00EF1BBD">
        <w:t>baserade diagnoser och åtgärder, men med angivande av ålder och kön.</w:t>
      </w:r>
    </w:p>
    <w:p w:rsidR="00EF1BBD" w:rsidRPr="00EF1BBD" w:rsidRDefault="00EF1BBD">
      <w:pPr>
        <w:pStyle w:val="Normaltindrag"/>
      </w:pPr>
      <w:r w:rsidRPr="00EF1BBD">
        <w:t>Patienten skall kunna välja mellan att medge inrapportering med angiva</w:t>
      </w:r>
      <w:r w:rsidRPr="00EF1BBD">
        <w:t>n</w:t>
      </w:r>
      <w:r w:rsidRPr="00EF1BBD">
        <w:t>de av personnu</w:t>
      </w:r>
      <w:r w:rsidRPr="00EF1BBD">
        <w:t>m</w:t>
      </w:r>
      <w:r w:rsidRPr="00EF1BBD">
        <w:t>mer, utan personnummer, dvs. ej individrelaterat, eller välja att helt motsätta sig en inrappo</w:t>
      </w:r>
      <w:r w:rsidRPr="00EF1BBD">
        <w:t>r</w:t>
      </w:r>
      <w:r w:rsidRPr="00EF1BBD">
        <w:t>tering.</w:t>
      </w:r>
    </w:p>
    <w:p w:rsidR="00EF1BBD" w:rsidRPr="00EF1BBD" w:rsidRDefault="00EF1BBD">
      <w:pPr>
        <w:pStyle w:val="Normaltindrag"/>
      </w:pPr>
      <w:r w:rsidRPr="00EF1BBD">
        <w:t>Patienten skall råda över sin person och över vilka uppgifter som lämnas vidare av behandlande läkare till olika register. Jag anser därför att den e</w:t>
      </w:r>
      <w:r w:rsidRPr="00EF1BBD">
        <w:t>n</w:t>
      </w:r>
      <w:r w:rsidRPr="00EF1BBD">
        <w:t>skilde, i likhet med vad som fas</w:t>
      </w:r>
      <w:r w:rsidRPr="00EF1BBD">
        <w:t>t</w:t>
      </w:r>
      <w:r w:rsidRPr="00EF1BBD">
        <w:t>slås i patientdatalagen, 6 kap. 2 § och 7 kap. 2 §, alltid skall informeras om inrapporteringen och även ha mö</w:t>
      </w:r>
      <w:r w:rsidRPr="00EF1BBD">
        <w:t>j</w:t>
      </w:r>
      <w:r w:rsidRPr="00EF1BBD">
        <w:t>lighet att motsätta sig en inrapportering.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1BBD">
        <w:trPr>
          <w:cantSplit/>
        </w:trPr>
        <w:tc>
          <w:tcPr>
            <w:tcW w:w="3046" w:type="dxa"/>
          </w:tcPr>
          <w:p w:rsidR="00EF1BBD" w:rsidRPr="00EF1BBD" w:rsidRDefault="00EF1BBD">
            <w:pPr>
              <w:pStyle w:val="UnderskriftDatum"/>
              <w:spacing w:before="240"/>
            </w:pPr>
            <w:r w:rsidRPr="00EF1BBD">
              <w:t>Stockholm den 1 oktober 2009</w:t>
            </w:r>
          </w:p>
        </w:tc>
        <w:tc>
          <w:tcPr>
            <w:tcW w:w="3047" w:type="dxa"/>
          </w:tcPr>
          <w:p w:rsidR="00EF1BBD" w:rsidRPr="00EF1BBD" w:rsidRDefault="00EF1BBD">
            <w:pPr>
              <w:pStyle w:val="Underskrifter"/>
              <w:spacing w:before="240"/>
            </w:pPr>
          </w:p>
        </w:tc>
      </w:tr>
      <w:tr w:rsidR="00000000" w:rsidRPr="00EF1BBD">
        <w:trPr>
          <w:cantSplit/>
        </w:trPr>
        <w:tc>
          <w:tcPr>
            <w:tcW w:w="3046" w:type="dxa"/>
          </w:tcPr>
          <w:p w:rsidR="00EF1BBD" w:rsidRPr="00EF1BBD" w:rsidRDefault="00EF1BBD">
            <w:pPr>
              <w:pStyle w:val="Underskrifter"/>
            </w:pPr>
            <w:r w:rsidRPr="00EF1BBD">
              <w:t>Marianne Watz (m)</w:t>
            </w:r>
          </w:p>
        </w:tc>
        <w:tc>
          <w:tcPr>
            <w:tcW w:w="3046" w:type="dxa"/>
          </w:tcPr>
          <w:p w:rsidR="00EF1BBD" w:rsidRPr="00EF1BBD" w:rsidRDefault="00EF1BBD">
            <w:pPr>
              <w:pStyle w:val="Underskrifter"/>
            </w:pPr>
          </w:p>
        </w:tc>
      </w:tr>
    </w:tbl>
    <w:p w:rsidR="00EF1BBD" w:rsidRPr="00EF1BBD" w:rsidRDefault="00EF1BBD">
      <w:pPr>
        <w:pStyle w:val="Normaltindrag"/>
      </w:pPr>
    </w:p>
    <w:sectPr w:rsidR="00000000" w:rsidRPr="00EF1B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BBD" w:rsidRPr="00EF1BBD" w:rsidRDefault="00EF1BBD">
      <w:r w:rsidRPr="00EF1BBD">
        <w:separator/>
      </w:r>
    </w:p>
  </w:endnote>
  <w:endnote w:type="continuationSeparator" w:id="0">
    <w:p w:rsidR="00EF1BBD" w:rsidRPr="00EF1BBD" w:rsidRDefault="00EF1BBD">
      <w:r w:rsidRPr="00EF1B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BD" w:rsidRPr="00EF1BBD" w:rsidRDefault="00EF1BBD">
    <w:pPr>
      <w:pStyle w:val="Sidfot"/>
    </w:pPr>
    <w:r w:rsidRPr="00EF1B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3045704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BD" w:rsidRDefault="00EF1BB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1BBD" w:rsidRDefault="00EF1BB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BD" w:rsidRPr="00EF1BBD" w:rsidRDefault="00EF1BBD">
    <w:pPr>
      <w:pStyle w:val="Sidfot"/>
    </w:pPr>
    <w:r w:rsidRPr="00EF1B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69091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BD" w:rsidRDefault="00EF1B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BBD" w:rsidRDefault="00EF1B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BD" w:rsidRPr="00EF1BBD" w:rsidRDefault="00EF1BBD">
    <w:pPr>
      <w:pStyle w:val="Sidfot"/>
    </w:pPr>
    <w:r w:rsidRPr="00EF1B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291848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BD" w:rsidRDefault="00EF1BB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BBD" w:rsidRDefault="00EF1BB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BBD" w:rsidRPr="00EF1BBD" w:rsidRDefault="00EF1BBD">
      <w:r w:rsidRPr="00EF1BBD">
        <w:separator/>
      </w:r>
    </w:p>
  </w:footnote>
  <w:footnote w:type="continuationSeparator" w:id="0">
    <w:p w:rsidR="00EF1BBD" w:rsidRPr="00EF1BBD" w:rsidRDefault="00EF1BBD">
      <w:r w:rsidRPr="00EF1B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BD" w:rsidRPr="00EF1BBD" w:rsidRDefault="00EF1BBD">
    <w:pPr>
      <w:pStyle w:val="Sidhuvud"/>
    </w:pPr>
    <w:r w:rsidRPr="00EF1B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4249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BD" w:rsidRDefault="00EF1BB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1BBD" w:rsidRDefault="00EF1BB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BD" w:rsidRPr="00EF1BBD" w:rsidRDefault="00EF1BBD">
    <w:pPr>
      <w:pStyle w:val="Sidhuvud"/>
    </w:pPr>
    <w:r w:rsidRPr="00EF1B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645754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BD" w:rsidRDefault="00EF1BB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So591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1BBD" w:rsidRDefault="00EF1BB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So591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BD" w:rsidRPr="00EF1BBD" w:rsidRDefault="00EF1BBD">
    <w:pPr>
      <w:pStyle w:val="FSHNormal"/>
      <w:tabs>
        <w:tab w:val="right" w:pos="5840"/>
      </w:tabs>
    </w:pPr>
    <w:r w:rsidRPr="00EF1BBD">
      <w:br/>
    </w:r>
    <w:r w:rsidRPr="00EF1BBD">
      <w:fldChar w:fldCharType="begin" w:fldLock="1"/>
    </w:r>
    <w:r w:rsidRPr="00EF1BBD">
      <w:instrText xml:space="preserve"> DOCPROPERTY</w:instrText>
    </w:r>
    <w:r w:rsidRPr="00EF1BBD">
      <w:rPr>
        <w:sz w:val="18"/>
      </w:rPr>
      <w:instrText xml:space="preserve"> "YearUser" *\charformat </w:instrText>
    </w:r>
    <w:r w:rsidRPr="00EF1BBD">
      <w:fldChar w:fldCharType="separate"/>
    </w:r>
    <w:r w:rsidRPr="00EF1BBD">
      <w:t>2009/10</w:t>
    </w:r>
    <w:r w:rsidRPr="00EF1BBD">
      <w:fldChar w:fldCharType="end"/>
    </w:r>
    <w:r w:rsidRPr="00EF1BBD">
      <w:t xml:space="preserve"> </w:t>
    </w:r>
    <w:r w:rsidRPr="00EF1BBD">
      <w:tab/>
      <w:t xml:space="preserve">mnr: </w:t>
    </w:r>
    <w:r w:rsidRPr="00EF1BBD">
      <w:fldChar w:fldCharType="begin" w:fldLock="1"/>
    </w:r>
    <w:r w:rsidRPr="00EF1BBD">
      <w:instrText xml:space="preserve"> DOCPROPERTY</w:instrText>
    </w:r>
    <w:r w:rsidRPr="00EF1BBD">
      <w:rPr>
        <w:sz w:val="18"/>
      </w:rPr>
      <w:instrText xml:space="preserve"> "Motionsnummer" *\charformat </w:instrText>
    </w:r>
    <w:r w:rsidRPr="00EF1BBD">
      <w:fldChar w:fldCharType="separate"/>
    </w:r>
    <w:r w:rsidRPr="00EF1BBD">
      <w:t>So591</w:t>
    </w:r>
    <w:r w:rsidRPr="00EF1BBD">
      <w:fldChar w:fldCharType="end"/>
    </w:r>
    <w:r w:rsidRPr="00EF1BBD">
      <w:br/>
    </w:r>
    <w:r w:rsidRPr="00EF1BBD">
      <w:fldChar w:fldCharType="begin" w:fldLock="1"/>
    </w:r>
    <w:r w:rsidRPr="00EF1BBD">
      <w:instrText xml:space="preserve"> DOCPROPERTY</w:instrText>
    </w:r>
    <w:r w:rsidRPr="00EF1BBD">
      <w:rPr>
        <w:sz w:val="18"/>
      </w:rPr>
      <w:instrText xml:space="preserve"> "Samling" *\charformat </w:instrText>
    </w:r>
    <w:r w:rsidRPr="00EF1BBD">
      <w:fldChar w:fldCharType="end"/>
    </w:r>
    <w:r w:rsidRPr="00EF1BBD">
      <w:tab/>
      <w:t xml:space="preserve">pnr: </w:t>
    </w:r>
    <w:r w:rsidRPr="00EF1BBD">
      <w:fldChar w:fldCharType="begin" w:fldLock="1"/>
    </w:r>
    <w:r w:rsidRPr="00EF1BBD">
      <w:instrText xml:space="preserve"> DOCPROPERTY</w:instrText>
    </w:r>
    <w:r w:rsidRPr="00EF1BBD">
      <w:rPr>
        <w:sz w:val="18"/>
      </w:rPr>
      <w:instrText xml:space="preserve"> "Partinummer" *\charformat </w:instrText>
    </w:r>
    <w:r w:rsidRPr="00EF1BBD">
      <w:fldChar w:fldCharType="separate"/>
    </w:r>
    <w:r w:rsidRPr="00EF1BBD">
      <w:t>m1800</w:t>
    </w:r>
    <w:r w:rsidRPr="00EF1BBD">
      <w:fldChar w:fldCharType="end"/>
    </w:r>
  </w:p>
  <w:p w:rsidR="00EF1BBD" w:rsidRPr="00EF1BBD" w:rsidRDefault="00EF1BBD">
    <w:pPr>
      <w:pStyle w:val="FSHRub1"/>
    </w:pPr>
    <w:r w:rsidRPr="00EF1BBD">
      <w:t>Motion till riksdagen</w:t>
    </w:r>
    <w:r w:rsidRPr="00EF1BBD">
      <w:br/>
    </w:r>
    <w:r w:rsidRPr="00EF1BBD">
      <w:fldChar w:fldCharType="begin" w:fldLock="1"/>
    </w:r>
    <w:r w:rsidRPr="00EF1BBD">
      <w:instrText xml:space="preserve"> DOCPROPERTY "YearUser" *\charformat </w:instrText>
    </w:r>
    <w:r w:rsidRPr="00EF1BBD">
      <w:fldChar w:fldCharType="separate"/>
    </w:r>
    <w:r w:rsidRPr="00EF1BBD">
      <w:t>2009/10</w:t>
    </w:r>
    <w:r w:rsidRPr="00EF1BBD">
      <w:fldChar w:fldCharType="end"/>
    </w:r>
    <w:r w:rsidRPr="00EF1BBD">
      <w:t>:</w:t>
    </w:r>
    <w:r w:rsidRPr="00EF1BBD">
      <w:fldChar w:fldCharType="begin" w:fldLock="1"/>
    </w:r>
    <w:r w:rsidRPr="00EF1BBD">
      <w:instrText xml:space="preserve"> DOCPROPERTY "Motionsnummer" *\charformat </w:instrText>
    </w:r>
    <w:r w:rsidRPr="00EF1BBD">
      <w:fldChar w:fldCharType="separate"/>
    </w:r>
    <w:r w:rsidRPr="00EF1BBD">
      <w:t>So591</w:t>
    </w:r>
    <w:r w:rsidRPr="00EF1BBD">
      <w:fldChar w:fldCharType="end"/>
    </w:r>
  </w:p>
  <w:p w:rsidR="00EF1BBD" w:rsidRPr="00EF1BBD" w:rsidRDefault="00EF1BBD">
    <w:pPr>
      <w:pStyle w:val="FSHNormalS5"/>
    </w:pPr>
    <w:r w:rsidRPr="00EF1BBD">
      <w:fldChar w:fldCharType="begin" w:fldLock="1"/>
    </w:r>
    <w:r w:rsidRPr="00EF1BBD">
      <w:instrText xml:space="preserve"> DOCPROPERTY "MotionarText" *\charformat </w:instrText>
    </w:r>
    <w:r w:rsidRPr="00EF1BBD">
      <w:fldChar w:fldCharType="separate"/>
    </w:r>
    <w:r w:rsidRPr="00EF1BBD">
      <w:t>av Marianne Watz (m)</w:t>
    </w:r>
    <w:r w:rsidRPr="00EF1BBD">
      <w:fldChar w:fldCharType="end"/>
    </w:r>
    <w:r w:rsidRPr="00EF1BBD">
      <w:br/>
    </w:r>
    <w:r w:rsidRPr="00EF1BBD">
      <w:fldChar w:fldCharType="begin" w:fldLock="1"/>
    </w:r>
    <w:r w:rsidRPr="00EF1BBD">
      <w:instrText xml:space="preserve"> DOCPROPERTY "SvarFrasKort" *\charformat </w:instrText>
    </w:r>
    <w:r w:rsidRPr="00EF1BBD">
      <w:fldChar w:fldCharType="end"/>
    </w:r>
  </w:p>
  <w:p w:rsidR="00EF1BBD" w:rsidRPr="00EF1BBD" w:rsidRDefault="00EF1BBD">
    <w:pPr>
      <w:pStyle w:val="FSHTitel"/>
    </w:pPr>
    <w:r w:rsidRPr="00EF1BBD">
      <w:fldChar w:fldCharType="begin" w:fldLock="1"/>
    </w:r>
    <w:r w:rsidRPr="00EF1BBD">
      <w:instrText xml:space="preserve"> DOCPROPERTY</w:instrText>
    </w:r>
    <w:r w:rsidRPr="00EF1BBD">
      <w:rPr>
        <w:sz w:val="18"/>
      </w:rPr>
      <w:instrText xml:space="preserve"> "RubrikSvar" *\charformat </w:instrText>
    </w:r>
    <w:r w:rsidRPr="00EF1BBD">
      <w:fldChar w:fldCharType="separate"/>
    </w:r>
    <w:r w:rsidRPr="00EF1BBD">
      <w:t>Inrapportering till nationella patientregistret</w:t>
    </w:r>
    <w:r w:rsidRPr="00EF1BBD">
      <w:fldChar w:fldCharType="end"/>
    </w:r>
  </w:p>
  <w:p w:rsidR="00EF1BBD" w:rsidRPr="00EF1BBD" w:rsidRDefault="00EF1BBD">
    <w:pPr>
      <w:pStyle w:val="Normal00"/>
    </w:pPr>
  </w:p>
  <w:p w:rsidR="00EF1BBD" w:rsidRPr="00EF1BBD" w:rsidRDefault="00EF1B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37315681">
    <w:abstractNumId w:val="8"/>
  </w:num>
  <w:num w:numId="2" w16cid:durableId="767966337">
    <w:abstractNumId w:val="9"/>
  </w:num>
  <w:num w:numId="3" w16cid:durableId="1722092823">
    <w:abstractNumId w:val="8"/>
  </w:num>
  <w:num w:numId="4" w16cid:durableId="1699893534">
    <w:abstractNumId w:val="9"/>
  </w:num>
  <w:num w:numId="5" w16cid:durableId="707921975">
    <w:abstractNumId w:val="16"/>
  </w:num>
  <w:num w:numId="6" w16cid:durableId="1208488210">
    <w:abstractNumId w:val="10"/>
  </w:num>
  <w:num w:numId="7" w16cid:durableId="172689807">
    <w:abstractNumId w:val="13"/>
  </w:num>
  <w:num w:numId="8" w16cid:durableId="1421218828">
    <w:abstractNumId w:val="15"/>
  </w:num>
  <w:num w:numId="9" w16cid:durableId="1206942548">
    <w:abstractNumId w:val="8"/>
  </w:num>
  <w:num w:numId="10" w16cid:durableId="479924843">
    <w:abstractNumId w:val="3"/>
  </w:num>
  <w:num w:numId="11" w16cid:durableId="961962103">
    <w:abstractNumId w:val="2"/>
  </w:num>
  <w:num w:numId="12" w16cid:durableId="66416119">
    <w:abstractNumId w:val="1"/>
  </w:num>
  <w:num w:numId="13" w16cid:durableId="1627542044">
    <w:abstractNumId w:val="0"/>
  </w:num>
  <w:num w:numId="14" w16cid:durableId="1061637473">
    <w:abstractNumId w:val="9"/>
  </w:num>
  <w:num w:numId="15" w16cid:durableId="1407189258">
    <w:abstractNumId w:val="7"/>
  </w:num>
  <w:num w:numId="16" w16cid:durableId="103157401">
    <w:abstractNumId w:val="6"/>
  </w:num>
  <w:num w:numId="17" w16cid:durableId="1150295475">
    <w:abstractNumId w:val="5"/>
  </w:num>
  <w:num w:numId="18" w16cid:durableId="546335911">
    <w:abstractNumId w:val="4"/>
  </w:num>
  <w:num w:numId="19" w16cid:durableId="373964907">
    <w:abstractNumId w:val="13"/>
  </w:num>
  <w:num w:numId="20" w16cid:durableId="177161437">
    <w:abstractNumId w:val="10"/>
  </w:num>
  <w:num w:numId="21" w16cid:durableId="172457330">
    <w:abstractNumId w:val="15"/>
  </w:num>
  <w:num w:numId="22" w16cid:durableId="1264915676">
    <w:abstractNumId w:val="11"/>
  </w:num>
  <w:num w:numId="23" w16cid:durableId="1768841697">
    <w:abstractNumId w:val="18"/>
  </w:num>
  <w:num w:numId="24" w16cid:durableId="1362899148">
    <w:abstractNumId w:val="17"/>
  </w:num>
  <w:num w:numId="25" w16cid:durableId="1280722749">
    <w:abstractNumId w:val="14"/>
  </w:num>
  <w:num w:numId="26" w16cid:durableId="1053114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E325E95C-8995-4351-AA40-475A50324400}"/>
  </w:docVars>
  <w:rsids>
    <w:rsidRoot w:val="00682BA7"/>
    <w:rsid w:val="00682BA7"/>
    <w:rsid w:val="00E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E49632B-17C7-42FE-9C34-9374136E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2370</Characters>
  <Application>Microsoft Office Word</Application>
  <DocSecurity>4</DocSecurity>
  <Lines>46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2010-01-12T13:22:00Z</cp:lastPrinted>
  <dcterms:created xsi:type="dcterms:W3CDTF">2025-12-17T21:38:00Z</dcterms:created>
  <dcterms:modified xsi:type="dcterms:W3CDTF">2025-12-17T21:38:00Z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Inrapportering till nationella patientregistret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Inrapportering till nationella patientregistret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Watz (m)</vt:lpwstr>
  </property>
  <property fmtid="{D5CDD505-2E9C-101B-9397-08002B2CF9AE}" pid="26" name="MotionarLista">
    <vt:lpwstr>Watz,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Watz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So591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20092010000000000109000018000069</vt:lpwstr>
  </property>
  <property fmtid="{D5CDD505-2E9C-101B-9397-08002B2CF9AE}" pid="47" name="datum">
    <vt:lpwstr>091001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20092010000000000109000018000069</vt:lpwstr>
  </property>
  <property fmtid="{D5CDD505-2E9C-101B-9397-08002B2CF9AE}" pid="50" name="nummer">
    <vt:lpwstr>591</vt:lpwstr>
  </property>
  <property fmtid="{D5CDD505-2E9C-101B-9397-08002B2CF9AE}" pid="51" name="utskottsbeteckning">
    <vt:lpwstr>So</vt:lpwstr>
  </property>
  <property fmtid="{D5CDD505-2E9C-101B-9397-08002B2CF9AE}" pid="52" name="GlobalUID">
    <vt:lpwstr>{8FF97FE9-0C9B-4062-8A3F-1D79472CEF4E}</vt:lpwstr>
  </property>
  <property fmtid="{D5CDD505-2E9C-101B-9397-08002B2CF9AE}" pid="53" name="Överföringar">
    <vt:i4>0</vt:i4>
  </property>
  <property fmtid="{D5CDD505-2E9C-101B-9397-08002B2CF9AE}" pid="54" name="Checksum">
    <vt:lpwstr>*0020881820009*</vt:lpwstr>
  </property>
  <property fmtid="{D5CDD505-2E9C-101B-9397-08002B2CF9AE}" pid="55" name="skuggnummer">
    <vt:lpwstr>3249</vt:lpwstr>
  </property>
  <property fmtid="{D5CDD505-2E9C-101B-9397-08002B2CF9AE}" pid="56" name="urixVersion">
    <vt:lpwstr>4.0.0.9</vt:lpwstr>
  </property>
  <property fmtid="{D5CDD505-2E9C-101B-9397-08002B2CF9AE}" pid="57" name="urixOrigin">
    <vt:lpwstr>100112 14:22:47.345</vt:lpwstr>
  </property>
  <property fmtid="{D5CDD505-2E9C-101B-9397-08002B2CF9AE}" pid="58" name="urixGuid">
    <vt:lpwstr>{68938768-DC34-4346-A91C-17D5BED01B43}</vt:lpwstr>
  </property>
</Properties>
</file>