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9F3854E1-FF17-4584-B705-E62E153B28A1}"/>
</file>

<file path=customXml/itemProps3.xml><?xml version="1.0" encoding="utf-8"?>
<ds:datastoreItem xmlns:ds="http://schemas.openxmlformats.org/officeDocument/2006/customXml" ds:itemID="{473F2BE5-D640-4083-A8D6-53DA546D8B57}"/>
</file>

<file path=customXml/itemProps4.xml><?xml version="1.0" encoding="utf-8"?>
<ds:datastoreItem xmlns:ds="http://schemas.openxmlformats.org/officeDocument/2006/customXml" ds:itemID="{5F408242-3A20-4846-8620-1BD742B36758}"/>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