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0489F">
        <w:tblPrEx>
          <w:tblCellMar>
            <w:top w:w="0" w:type="dxa"/>
            <w:bottom w:w="0" w:type="dxa"/>
          </w:tblCellMar>
        </w:tblPrEx>
        <w:trPr>
          <w:cantSplit/>
          <w:trHeight w:val="1720"/>
        </w:trPr>
        <w:tc>
          <w:tcPr>
            <w:tcW w:w="6024" w:type="dxa"/>
            <w:gridSpan w:val="2"/>
          </w:tcPr>
          <w:p w:rsidR="00F832AB" w:rsidRPr="00C0489F" w:rsidRDefault="00F832AB">
            <w:pPr>
              <w:pStyle w:val="HuvudRubrik"/>
            </w:pPr>
            <w:r w:rsidRPr="00C0489F">
              <w:t>Försvarsutskottets yttrande</w:t>
            </w:r>
          </w:p>
          <w:p w:rsidR="00F832AB" w:rsidRPr="00C0489F" w:rsidRDefault="00F832AB">
            <w:pPr>
              <w:pStyle w:val="HuvudRubrikRad2"/>
            </w:pPr>
            <w:bookmarkStart w:id="0" w:name="BetänkandeNr"/>
            <w:bookmarkEnd w:id="0"/>
            <w:r w:rsidRPr="00C0489F">
              <w:t>2004/05:FöU1y</w:t>
            </w:r>
          </w:p>
        </w:tc>
        <w:tc>
          <w:tcPr>
            <w:tcW w:w="1418" w:type="dxa"/>
            <w:tcBorders>
              <w:bottom w:val="nil"/>
            </w:tcBorders>
          </w:tcPr>
          <w:p w:rsidR="00F832AB" w:rsidRPr="00C0489F" w:rsidRDefault="00C0489F">
            <w:pPr>
              <w:spacing w:line="230" w:lineRule="auto"/>
              <w:jc w:val="center"/>
            </w:pPr>
            <w:r w:rsidRPr="00C0489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832AB" w:rsidRPr="00C0489F" w:rsidRDefault="00F832AB">
            <w:pPr>
              <w:pStyle w:val="Normaltindrag"/>
              <w:jc w:val="center"/>
            </w:pPr>
          </w:p>
          <w:p w:rsidR="00F832AB" w:rsidRPr="00C0489F" w:rsidRDefault="00F832AB">
            <w:pPr>
              <w:pStyle w:val="StatusSida1"/>
            </w:pPr>
          </w:p>
          <w:p w:rsidR="00F832AB" w:rsidRPr="00C0489F" w:rsidRDefault="00F832AB">
            <w:pPr>
              <w:pStyle w:val="UtskriftsdatumSida1"/>
              <w:framePr w:wrap="around"/>
            </w:pPr>
          </w:p>
        </w:tc>
      </w:tr>
      <w:tr w:rsidR="00000000" w:rsidRPr="00C0489F">
        <w:tblPrEx>
          <w:tblCellMar>
            <w:top w:w="0" w:type="dxa"/>
            <w:bottom w:w="0" w:type="dxa"/>
          </w:tblCellMar>
        </w:tblPrEx>
        <w:trPr>
          <w:cantSplit/>
        </w:trPr>
        <w:tc>
          <w:tcPr>
            <w:tcW w:w="6024" w:type="dxa"/>
            <w:gridSpan w:val="2"/>
            <w:tcBorders>
              <w:bottom w:val="single" w:sz="4" w:space="0" w:color="auto"/>
            </w:tcBorders>
          </w:tcPr>
          <w:p w:rsidR="00F832AB" w:rsidRPr="00C0489F" w:rsidRDefault="00F832AB">
            <w:pPr>
              <w:pStyle w:val="DokumentRubrik"/>
              <w:rPr>
                <w:noProof w:val="0"/>
              </w:rPr>
            </w:pPr>
            <w:bookmarkStart w:id="1" w:name="Huvudrubrik"/>
            <w:bookmarkEnd w:id="1"/>
            <w:r w:rsidRPr="00C0489F">
              <w:rPr>
                <w:noProof w:val="0"/>
              </w:rPr>
              <w:t>Ramar för utgiftsområde 6 Försvar och beredskap mot sårbarhet 2005–2007</w:t>
            </w:r>
          </w:p>
        </w:tc>
        <w:tc>
          <w:tcPr>
            <w:tcW w:w="1418" w:type="dxa"/>
            <w:tcBorders>
              <w:bottom w:val="nil"/>
            </w:tcBorders>
          </w:tcPr>
          <w:p w:rsidR="00F832AB" w:rsidRPr="00C0489F" w:rsidRDefault="00F832AB"/>
        </w:tc>
      </w:tr>
      <w:tr w:rsidR="00000000" w:rsidRPr="00C0489F">
        <w:tblPrEx>
          <w:tblCellMar>
            <w:top w:w="0" w:type="dxa"/>
            <w:bottom w:w="0" w:type="dxa"/>
          </w:tblCellMar>
        </w:tblPrEx>
        <w:trPr>
          <w:cantSplit/>
          <w:trHeight w:hRule="exact" w:val="360"/>
        </w:trPr>
        <w:tc>
          <w:tcPr>
            <w:tcW w:w="3012" w:type="dxa"/>
          </w:tcPr>
          <w:p w:rsidR="00F832AB" w:rsidRPr="00C0489F" w:rsidRDefault="00F832AB"/>
        </w:tc>
        <w:tc>
          <w:tcPr>
            <w:tcW w:w="3012" w:type="dxa"/>
          </w:tcPr>
          <w:p w:rsidR="00F832AB" w:rsidRPr="00C0489F" w:rsidRDefault="00F832AB"/>
        </w:tc>
        <w:tc>
          <w:tcPr>
            <w:tcW w:w="1418" w:type="dxa"/>
          </w:tcPr>
          <w:p w:rsidR="00F832AB" w:rsidRPr="00C0489F" w:rsidRDefault="00F832AB"/>
        </w:tc>
      </w:tr>
    </w:tbl>
    <w:p w:rsidR="00F832AB" w:rsidRPr="00C0489F" w:rsidRDefault="00F832AB">
      <w:pPr>
        <w:pStyle w:val="Rubrik1"/>
        <w:rPr>
          <w:noProof w:val="0"/>
        </w:rPr>
      </w:pPr>
      <w:bookmarkStart w:id="2" w:name="_Toc86049900"/>
      <w:r w:rsidRPr="00C0489F">
        <w:rPr>
          <w:noProof w:val="0"/>
        </w:rPr>
        <w:t>Till finansutskottet</w:t>
      </w:r>
      <w:bookmarkEnd w:id="2"/>
    </w:p>
    <w:p w:rsidR="00F832AB" w:rsidRPr="00C0489F" w:rsidRDefault="00F832AB">
      <w:r w:rsidRPr="00C0489F">
        <w:t>Finansutskottet har berett försvarsutskottet tillfälle att yttra sig över proposition 2004/05:1 Budgetpropositionen för 2005 jämte motioner, såvitt avser försvarsutskottets beredningsområde.</w:t>
      </w:r>
    </w:p>
    <w:p w:rsidR="00F832AB" w:rsidRPr="00C0489F" w:rsidRDefault="00F832AB">
      <w:r w:rsidRPr="00C0489F">
        <w:t xml:space="preserve">Utgiftsområdet omfattar politikområdena: </w:t>
      </w:r>
    </w:p>
    <w:p w:rsidR="00F832AB" w:rsidRPr="00C0489F" w:rsidRDefault="00F832AB">
      <w:pPr>
        <w:numPr>
          <w:ilvl w:val="0"/>
          <w:numId w:val="12"/>
        </w:numPr>
      </w:pPr>
      <w:r w:rsidRPr="00C0489F">
        <w:t>Total</w:t>
      </w:r>
      <w:r w:rsidRPr="00C0489F">
        <w:softHyphen/>
        <w:t xml:space="preserve">försvar  </w:t>
      </w:r>
    </w:p>
    <w:p w:rsidR="00F832AB" w:rsidRPr="00C0489F" w:rsidRDefault="00F832AB">
      <w:pPr>
        <w:numPr>
          <w:ilvl w:val="0"/>
          <w:numId w:val="12"/>
        </w:numPr>
      </w:pPr>
      <w:r w:rsidRPr="00C0489F">
        <w:t>Skydd och beredskap mot olyckor och svåra påfrestningar.</w:t>
      </w:r>
    </w:p>
    <w:p w:rsidR="00F832AB" w:rsidRPr="00C0489F" w:rsidRDefault="00F832AB">
      <w:pPr>
        <w:pStyle w:val="Rubrik2"/>
        <w:spacing w:before="250"/>
      </w:pPr>
      <w:bookmarkStart w:id="3" w:name="_Toc86049901"/>
      <w:r w:rsidRPr="00C0489F">
        <w:t>Propositionen</w:t>
      </w:r>
      <w:bookmarkEnd w:id="3"/>
    </w:p>
    <w:p w:rsidR="00F832AB" w:rsidRPr="00C0489F" w:rsidRDefault="00F832AB">
      <w:pPr>
        <w:pStyle w:val="Rubrik3"/>
        <w:spacing w:before="125"/>
        <w:rPr>
          <w:noProof w:val="0"/>
        </w:rPr>
      </w:pPr>
      <w:bookmarkStart w:id="4" w:name="_Toc86049902"/>
      <w:r w:rsidRPr="00C0489F">
        <w:rPr>
          <w:noProof w:val="0"/>
        </w:rPr>
        <w:t>Utgiftsramar</w:t>
      </w:r>
      <w:bookmarkEnd w:id="4"/>
    </w:p>
    <w:p w:rsidR="00F832AB" w:rsidRPr="00C0489F" w:rsidRDefault="00F832AB">
      <w:r w:rsidRPr="00C0489F">
        <w:t>Ramen för utgiftsområdet föreslås uppgå till 44 147 miljoner kronor 2005.</w:t>
      </w:r>
    </w:p>
    <w:p w:rsidR="00F832AB" w:rsidRPr="00C0489F" w:rsidRDefault="00F832AB">
      <w:pPr>
        <w:rPr>
          <w:i/>
        </w:rPr>
      </w:pPr>
      <w:r w:rsidRPr="00C0489F">
        <w:t>I jämförelse med anvisade medel 2004 minskar ramen för utgiftsområdet med 200 miljoner kronor 2005. Förändringen förklaras huvudsak</w:t>
      </w:r>
      <w:r w:rsidRPr="00C0489F">
        <w:softHyphen/>
        <w:t xml:space="preserve">ligen av en </w:t>
      </w:r>
      <w:r w:rsidRPr="00C0489F">
        <w:rPr>
          <w:i/>
        </w:rPr>
        <w:t>minskning med 600 miljoner kronor till följd av försvarsbeslutet.</w:t>
      </w:r>
    </w:p>
    <w:p w:rsidR="00F832AB" w:rsidRPr="00C0489F" w:rsidRDefault="00F832AB">
      <w:pPr>
        <w:pStyle w:val="Normaltindrag"/>
      </w:pPr>
      <w:r w:rsidRPr="00C0489F">
        <w:t>Vidare beräknas utgiftsområdet öka med 323 miljoner kronor till följd av finansieringen av radiokommunikationssystemet RAKEL.</w:t>
      </w:r>
    </w:p>
    <w:p w:rsidR="00F832AB" w:rsidRPr="00C0489F" w:rsidRDefault="00F832AB">
      <w:pPr>
        <w:pStyle w:val="Normaltindrag"/>
      </w:pPr>
      <w:r w:rsidRPr="00C0489F">
        <w:t xml:space="preserve">Den beräknade ramen för 2007 minskar med 945 miljoner kronor i jämförelse med den föreslagna ramen för 2005. Detta förklaras huvudsakligen av den sammanlagda effekten av en </w:t>
      </w:r>
      <w:r w:rsidRPr="00C0489F">
        <w:rPr>
          <w:i/>
        </w:rPr>
        <w:t>minskning till följd av försvarsbeslutet med 3 000 miljoner</w:t>
      </w:r>
      <w:r w:rsidRPr="00C0489F">
        <w:t xml:space="preserve"> </w:t>
      </w:r>
      <w:r w:rsidRPr="00C0489F">
        <w:rPr>
          <w:i/>
        </w:rPr>
        <w:t>kronor</w:t>
      </w:r>
      <w:r w:rsidRPr="00C0489F">
        <w:t xml:space="preserve"> och ökningar till följd av pris- och löneomräkningar.</w:t>
      </w:r>
    </w:p>
    <w:p w:rsidR="00F832AB" w:rsidRPr="00C0489F" w:rsidRDefault="00F832AB">
      <w:pPr>
        <w:pStyle w:val="TabellUnderrubrik"/>
        <w:rPr>
          <w:b/>
          <w:i w:val="0"/>
        </w:rPr>
      </w:pPr>
    </w:p>
    <w:p w:rsidR="00F832AB" w:rsidRPr="00C0489F" w:rsidRDefault="00F832AB">
      <w:pPr>
        <w:pStyle w:val="TabellUnderrubrik"/>
        <w:rPr>
          <w:b/>
          <w:i w:val="0"/>
        </w:rPr>
      </w:pPr>
    </w:p>
    <w:p w:rsidR="00F832AB" w:rsidRPr="00C0489F" w:rsidRDefault="00F832AB">
      <w:pPr>
        <w:pStyle w:val="TabellUnderrubrik"/>
        <w:rPr>
          <w:b/>
          <w:i w:val="0"/>
        </w:rPr>
      </w:pPr>
    </w:p>
    <w:p w:rsidR="00F832AB" w:rsidRPr="00C0489F" w:rsidRDefault="00F832AB">
      <w:pPr>
        <w:pStyle w:val="TabellUnderrubrik"/>
        <w:rPr>
          <w:b/>
          <w:i w:val="0"/>
        </w:rPr>
      </w:pPr>
    </w:p>
    <w:p w:rsidR="00F832AB" w:rsidRPr="00C0489F" w:rsidRDefault="00F832AB">
      <w:pPr>
        <w:pStyle w:val="TabellUnderrubrik"/>
        <w:rPr>
          <w:b/>
          <w:i w:val="0"/>
        </w:rPr>
      </w:pPr>
    </w:p>
    <w:p w:rsidR="00F832AB" w:rsidRPr="00C0489F" w:rsidRDefault="00F832AB">
      <w:pPr>
        <w:pStyle w:val="TabellUnderrubrik"/>
        <w:rPr>
          <w:b/>
          <w:i w:val="0"/>
        </w:rPr>
      </w:pPr>
    </w:p>
    <w:p w:rsidR="00F832AB" w:rsidRPr="00C0489F" w:rsidRDefault="00F832AB">
      <w:pPr>
        <w:pStyle w:val="TabellUnderrubrik"/>
        <w:rPr>
          <w:b/>
          <w:i w:val="0"/>
        </w:rPr>
      </w:pPr>
      <w:r w:rsidRPr="00C0489F">
        <w:rPr>
          <w:b/>
          <w:i w:val="0"/>
        </w:rPr>
        <w:t>Miljoner kronor</w:t>
      </w:r>
    </w:p>
    <w:tbl>
      <w:tblPr>
        <w:tblW w:w="0" w:type="auto"/>
        <w:tblInd w:w="85" w:type="dxa"/>
        <w:tblLayout w:type="fixed"/>
        <w:tblLook w:val="0000" w:firstRow="0" w:lastRow="0" w:firstColumn="0" w:lastColumn="0" w:noHBand="0" w:noVBand="0"/>
      </w:tblPr>
      <w:tblGrid>
        <w:gridCol w:w="874"/>
        <w:gridCol w:w="850"/>
        <w:gridCol w:w="851"/>
        <w:gridCol w:w="1276"/>
        <w:gridCol w:w="1134"/>
        <w:gridCol w:w="992"/>
        <w:gridCol w:w="142"/>
      </w:tblGrid>
      <w:tr w:rsidR="00000000" w:rsidRPr="00C0489F">
        <w:tblPrEx>
          <w:tblCellMar>
            <w:top w:w="0" w:type="dxa"/>
            <w:bottom w:w="0" w:type="dxa"/>
          </w:tblCellMar>
        </w:tblPrEx>
        <w:trPr>
          <w:gridAfter w:val="1"/>
          <w:wAfter w:w="142" w:type="dxa"/>
        </w:trPr>
        <w:tc>
          <w:tcPr>
            <w:tcW w:w="874" w:type="dxa"/>
            <w:tcBorders>
              <w:top w:val="nil"/>
              <w:left w:val="nil"/>
              <w:bottom w:val="nil"/>
              <w:right w:val="nil"/>
            </w:tcBorders>
          </w:tcPr>
          <w:p w:rsidR="00F832AB" w:rsidRPr="00C0489F" w:rsidRDefault="00F832AB">
            <w:pPr>
              <w:pStyle w:val="TabellHuvud"/>
            </w:pPr>
            <w:r w:rsidRPr="00C0489F">
              <w:lastRenderedPageBreak/>
              <w:t>Utfall</w:t>
            </w:r>
          </w:p>
        </w:tc>
        <w:tc>
          <w:tcPr>
            <w:tcW w:w="850" w:type="dxa"/>
            <w:tcBorders>
              <w:top w:val="nil"/>
              <w:left w:val="nil"/>
              <w:bottom w:val="nil"/>
              <w:right w:val="nil"/>
            </w:tcBorders>
          </w:tcPr>
          <w:p w:rsidR="00F832AB" w:rsidRPr="00C0489F" w:rsidRDefault="00F832AB">
            <w:pPr>
              <w:pStyle w:val="TabellHuvud"/>
            </w:pPr>
            <w:r w:rsidRPr="00C0489F">
              <w:t>Anslag</w:t>
            </w:r>
          </w:p>
        </w:tc>
        <w:tc>
          <w:tcPr>
            <w:tcW w:w="851" w:type="dxa"/>
            <w:tcBorders>
              <w:top w:val="nil"/>
              <w:left w:val="nil"/>
              <w:bottom w:val="nil"/>
              <w:right w:val="nil"/>
            </w:tcBorders>
          </w:tcPr>
          <w:p w:rsidR="00F832AB" w:rsidRPr="00C0489F" w:rsidRDefault="00F832AB">
            <w:pPr>
              <w:pStyle w:val="TabellHuvud"/>
            </w:pPr>
            <w:r w:rsidRPr="00C0489F">
              <w:t>Prognos</w:t>
            </w:r>
          </w:p>
        </w:tc>
        <w:tc>
          <w:tcPr>
            <w:tcW w:w="1276" w:type="dxa"/>
            <w:tcBorders>
              <w:top w:val="nil"/>
              <w:left w:val="nil"/>
              <w:bottom w:val="nil"/>
              <w:right w:val="nil"/>
            </w:tcBorders>
          </w:tcPr>
          <w:p w:rsidR="00F832AB" w:rsidRPr="00C0489F" w:rsidRDefault="00F832AB">
            <w:pPr>
              <w:pStyle w:val="TabellHuvud"/>
              <w:rPr>
                <w:b/>
              </w:rPr>
            </w:pPr>
            <w:r w:rsidRPr="00C0489F">
              <w:rPr>
                <w:b/>
              </w:rPr>
              <w:t>Förslag</w:t>
            </w:r>
          </w:p>
        </w:tc>
        <w:tc>
          <w:tcPr>
            <w:tcW w:w="2126" w:type="dxa"/>
            <w:gridSpan w:val="2"/>
            <w:tcBorders>
              <w:top w:val="nil"/>
              <w:left w:val="nil"/>
              <w:bottom w:val="single" w:sz="4" w:space="0" w:color="auto"/>
              <w:right w:val="nil"/>
            </w:tcBorders>
          </w:tcPr>
          <w:p w:rsidR="00F832AB" w:rsidRPr="00C0489F" w:rsidRDefault="00F832AB">
            <w:pPr>
              <w:pStyle w:val="TabellHuvud"/>
              <w:jc w:val="center"/>
            </w:pPr>
            <w:r w:rsidRPr="00C0489F">
              <w:t>Beräknat</w:t>
            </w:r>
          </w:p>
        </w:tc>
      </w:tr>
      <w:tr w:rsidR="00000000" w:rsidRPr="00C0489F">
        <w:tblPrEx>
          <w:tblCellMar>
            <w:top w:w="0" w:type="dxa"/>
            <w:bottom w:w="0" w:type="dxa"/>
          </w:tblCellMar>
        </w:tblPrEx>
        <w:tc>
          <w:tcPr>
            <w:tcW w:w="874" w:type="dxa"/>
            <w:tcBorders>
              <w:top w:val="nil"/>
              <w:left w:val="nil"/>
              <w:bottom w:val="single" w:sz="18" w:space="0" w:color="auto"/>
              <w:right w:val="nil"/>
            </w:tcBorders>
          </w:tcPr>
          <w:p w:rsidR="00F832AB" w:rsidRPr="00C0489F" w:rsidRDefault="00F832AB">
            <w:pPr>
              <w:pStyle w:val="TabellHuvud"/>
            </w:pPr>
            <w:r w:rsidRPr="00C0489F">
              <w:t>2003</w:t>
            </w:r>
          </w:p>
        </w:tc>
        <w:tc>
          <w:tcPr>
            <w:tcW w:w="850" w:type="dxa"/>
            <w:tcBorders>
              <w:top w:val="nil"/>
              <w:left w:val="nil"/>
              <w:bottom w:val="single" w:sz="18" w:space="0" w:color="auto"/>
              <w:right w:val="nil"/>
            </w:tcBorders>
          </w:tcPr>
          <w:p w:rsidR="00F832AB" w:rsidRPr="00C0489F" w:rsidRDefault="00F832AB">
            <w:pPr>
              <w:pStyle w:val="TabellHuvud"/>
            </w:pPr>
            <w:r w:rsidRPr="00C0489F">
              <w:t>2004</w:t>
            </w:r>
            <w:r w:rsidRPr="00C0489F">
              <w:rPr>
                <w:rStyle w:val="Fotnotsreferens"/>
              </w:rPr>
              <w:footnoteReference w:id="1"/>
            </w:r>
          </w:p>
        </w:tc>
        <w:tc>
          <w:tcPr>
            <w:tcW w:w="851" w:type="dxa"/>
            <w:tcBorders>
              <w:top w:val="nil"/>
              <w:left w:val="nil"/>
              <w:bottom w:val="single" w:sz="18" w:space="0" w:color="auto"/>
              <w:right w:val="nil"/>
            </w:tcBorders>
          </w:tcPr>
          <w:p w:rsidR="00F832AB" w:rsidRPr="00C0489F" w:rsidRDefault="00F832AB">
            <w:pPr>
              <w:pStyle w:val="TabellHuvud"/>
            </w:pPr>
            <w:r w:rsidRPr="00C0489F">
              <w:t>2004</w:t>
            </w:r>
          </w:p>
        </w:tc>
        <w:tc>
          <w:tcPr>
            <w:tcW w:w="1276" w:type="dxa"/>
            <w:tcBorders>
              <w:top w:val="nil"/>
              <w:left w:val="nil"/>
              <w:bottom w:val="single" w:sz="18" w:space="0" w:color="auto"/>
              <w:right w:val="nil"/>
            </w:tcBorders>
          </w:tcPr>
          <w:p w:rsidR="00F832AB" w:rsidRPr="00C0489F" w:rsidRDefault="00F832AB">
            <w:pPr>
              <w:pStyle w:val="TabellHuvud"/>
              <w:rPr>
                <w:b/>
              </w:rPr>
            </w:pPr>
            <w:r w:rsidRPr="00C0489F">
              <w:rPr>
                <w:b/>
              </w:rPr>
              <w:t>2005</w:t>
            </w:r>
          </w:p>
        </w:tc>
        <w:tc>
          <w:tcPr>
            <w:tcW w:w="1134" w:type="dxa"/>
            <w:tcBorders>
              <w:top w:val="single" w:sz="4" w:space="0" w:color="auto"/>
              <w:left w:val="nil"/>
              <w:bottom w:val="single" w:sz="18" w:space="0" w:color="auto"/>
              <w:right w:val="nil"/>
            </w:tcBorders>
          </w:tcPr>
          <w:p w:rsidR="00F832AB" w:rsidRPr="00C0489F" w:rsidRDefault="00F832AB">
            <w:pPr>
              <w:pStyle w:val="TabellHuvud"/>
            </w:pPr>
            <w:r w:rsidRPr="00C0489F">
              <w:t>2006</w:t>
            </w:r>
          </w:p>
        </w:tc>
        <w:tc>
          <w:tcPr>
            <w:tcW w:w="1134" w:type="dxa"/>
            <w:gridSpan w:val="2"/>
            <w:tcBorders>
              <w:top w:val="single" w:sz="4" w:space="0" w:color="auto"/>
              <w:left w:val="nil"/>
              <w:bottom w:val="single" w:sz="18" w:space="0" w:color="auto"/>
              <w:right w:val="nil"/>
            </w:tcBorders>
          </w:tcPr>
          <w:p w:rsidR="00F832AB" w:rsidRPr="00C0489F" w:rsidRDefault="00F832AB">
            <w:pPr>
              <w:pStyle w:val="TabellHuvud"/>
            </w:pPr>
            <w:r w:rsidRPr="00C0489F">
              <w:t>2007</w:t>
            </w:r>
          </w:p>
        </w:tc>
      </w:tr>
      <w:tr w:rsidR="00000000" w:rsidRPr="00C0489F">
        <w:tblPrEx>
          <w:tblCellMar>
            <w:top w:w="0" w:type="dxa"/>
            <w:bottom w:w="0" w:type="dxa"/>
          </w:tblCellMar>
        </w:tblPrEx>
        <w:tc>
          <w:tcPr>
            <w:tcW w:w="874" w:type="dxa"/>
            <w:tcBorders>
              <w:top w:val="single" w:sz="18" w:space="0" w:color="auto"/>
              <w:left w:val="nil"/>
              <w:bottom w:val="single" w:sz="6" w:space="0" w:color="auto"/>
              <w:right w:val="nil"/>
            </w:tcBorders>
          </w:tcPr>
          <w:p w:rsidR="00F832AB" w:rsidRPr="00C0489F" w:rsidRDefault="00F832AB">
            <w:pPr>
              <w:pStyle w:val="TabellRader"/>
            </w:pPr>
            <w:r w:rsidRPr="00C0489F">
              <w:t>45 129</w:t>
            </w:r>
          </w:p>
        </w:tc>
        <w:tc>
          <w:tcPr>
            <w:tcW w:w="850" w:type="dxa"/>
            <w:tcBorders>
              <w:top w:val="single" w:sz="18" w:space="0" w:color="auto"/>
              <w:left w:val="nil"/>
              <w:bottom w:val="single" w:sz="6" w:space="0" w:color="auto"/>
              <w:right w:val="nil"/>
            </w:tcBorders>
          </w:tcPr>
          <w:p w:rsidR="00F832AB" w:rsidRPr="00C0489F" w:rsidRDefault="00F832AB">
            <w:pPr>
              <w:pStyle w:val="TabellRader"/>
            </w:pPr>
            <w:r w:rsidRPr="00C0489F">
              <w:t>44 346</w:t>
            </w:r>
          </w:p>
        </w:tc>
        <w:tc>
          <w:tcPr>
            <w:tcW w:w="851" w:type="dxa"/>
            <w:tcBorders>
              <w:top w:val="single" w:sz="18" w:space="0" w:color="auto"/>
              <w:left w:val="nil"/>
              <w:bottom w:val="single" w:sz="6" w:space="0" w:color="auto"/>
              <w:right w:val="nil"/>
            </w:tcBorders>
          </w:tcPr>
          <w:p w:rsidR="00F832AB" w:rsidRPr="00C0489F" w:rsidRDefault="00F832AB">
            <w:pPr>
              <w:pStyle w:val="TabellRader"/>
            </w:pPr>
            <w:r w:rsidRPr="00C0489F">
              <w:t>42 526</w:t>
            </w:r>
          </w:p>
        </w:tc>
        <w:tc>
          <w:tcPr>
            <w:tcW w:w="1276" w:type="dxa"/>
            <w:tcBorders>
              <w:top w:val="single" w:sz="18" w:space="0" w:color="auto"/>
              <w:left w:val="nil"/>
              <w:bottom w:val="single" w:sz="6" w:space="0" w:color="auto"/>
              <w:right w:val="nil"/>
            </w:tcBorders>
          </w:tcPr>
          <w:p w:rsidR="00F832AB" w:rsidRPr="00C0489F" w:rsidRDefault="00F832AB">
            <w:pPr>
              <w:pStyle w:val="TabellRader"/>
              <w:rPr>
                <w:b/>
              </w:rPr>
            </w:pPr>
            <w:r w:rsidRPr="00C0489F">
              <w:rPr>
                <w:b/>
              </w:rPr>
              <w:t>44 147</w:t>
            </w:r>
          </w:p>
        </w:tc>
        <w:tc>
          <w:tcPr>
            <w:tcW w:w="1134" w:type="dxa"/>
            <w:tcBorders>
              <w:top w:val="single" w:sz="18" w:space="0" w:color="auto"/>
              <w:left w:val="nil"/>
              <w:bottom w:val="single" w:sz="6" w:space="0" w:color="auto"/>
              <w:right w:val="nil"/>
            </w:tcBorders>
          </w:tcPr>
          <w:p w:rsidR="00F832AB" w:rsidRPr="00C0489F" w:rsidRDefault="00F832AB">
            <w:pPr>
              <w:pStyle w:val="TabellRader"/>
            </w:pPr>
            <w:r w:rsidRPr="00C0489F">
              <w:t>43 918</w:t>
            </w:r>
          </w:p>
        </w:tc>
        <w:tc>
          <w:tcPr>
            <w:tcW w:w="1134" w:type="dxa"/>
            <w:gridSpan w:val="2"/>
            <w:tcBorders>
              <w:top w:val="single" w:sz="18" w:space="0" w:color="auto"/>
              <w:left w:val="nil"/>
              <w:bottom w:val="single" w:sz="6" w:space="0" w:color="auto"/>
              <w:right w:val="nil"/>
            </w:tcBorders>
          </w:tcPr>
          <w:p w:rsidR="00F832AB" w:rsidRPr="00C0489F" w:rsidRDefault="00F832AB">
            <w:pPr>
              <w:pStyle w:val="TabellRader"/>
            </w:pPr>
            <w:r w:rsidRPr="00C0489F">
              <w:t>43 202</w:t>
            </w:r>
          </w:p>
        </w:tc>
      </w:tr>
    </w:tbl>
    <w:p w:rsidR="00F832AB" w:rsidRPr="00C0489F" w:rsidRDefault="00F832AB">
      <w:pPr>
        <w:pStyle w:val="Fotnotstext"/>
        <w:rPr>
          <w:sz w:val="12"/>
        </w:rPr>
      </w:pPr>
      <w:r w:rsidRPr="00C0489F">
        <w:t xml:space="preserve"> </w:t>
      </w:r>
      <w:r w:rsidRPr="00C0489F">
        <w:rPr>
          <w:sz w:val="12"/>
        </w:rPr>
        <w:t>Inklusive förslag till tilläggsbudget i samband med 2004 års ekonomiska vårproposition och förslag till tilläggsbudget i denna proposition.</w:t>
      </w:r>
    </w:p>
    <w:p w:rsidR="00F832AB" w:rsidRPr="00C0489F" w:rsidRDefault="00F832AB">
      <w:pPr>
        <w:pStyle w:val="Rubrik3"/>
        <w:rPr>
          <w:noProof w:val="0"/>
        </w:rPr>
      </w:pPr>
      <w:bookmarkStart w:id="5" w:name="_Toc86049903"/>
      <w:r w:rsidRPr="00C0489F">
        <w:rPr>
          <w:noProof w:val="0"/>
        </w:rPr>
        <w:t>Utvecklingen av den ekonomiska styrningen i staten</w:t>
      </w:r>
      <w:bookmarkEnd w:id="5"/>
    </w:p>
    <w:p w:rsidR="00F832AB" w:rsidRPr="00C0489F" w:rsidRDefault="00F832AB">
      <w:r w:rsidRPr="00C0489F">
        <w:t>I budgetpropositionen (kap. 11) lämnar regeringen en redovisning av arbetet med utvecklingen av den ekonomiska styrningen i staten bl.a. vad gäller  utformningen av mål- och resultatredovisningar i kommande budgetproposi</w:t>
      </w:r>
      <w:r w:rsidRPr="00C0489F">
        <w:softHyphen/>
        <w:t>tioner.</w:t>
      </w:r>
    </w:p>
    <w:p w:rsidR="00F832AB" w:rsidRPr="00C0489F" w:rsidRDefault="00F832AB">
      <w:pPr>
        <w:pStyle w:val="Rubrik2"/>
      </w:pPr>
      <w:bookmarkStart w:id="6" w:name="_Toc86049904"/>
      <w:r w:rsidRPr="00C0489F">
        <w:t>Motionerna</w:t>
      </w:r>
      <w:bookmarkEnd w:id="6"/>
    </w:p>
    <w:p w:rsidR="00F832AB" w:rsidRPr="00C0489F" w:rsidRDefault="00F832AB">
      <w:pPr>
        <w:rPr>
          <w:snapToGrid w:val="0"/>
          <w:lang w:eastAsia="sv-SE"/>
        </w:rPr>
      </w:pPr>
      <w:r w:rsidRPr="00C0489F">
        <w:t xml:space="preserve">I partimotioner av </w:t>
      </w:r>
      <w:r w:rsidRPr="00C0489F">
        <w:rPr>
          <w:i/>
        </w:rPr>
        <w:t>Moderata samlingspartiet</w:t>
      </w:r>
      <w:r w:rsidRPr="00C0489F">
        <w:t xml:space="preserve"> (Fi231), </w:t>
      </w:r>
      <w:r w:rsidRPr="00C0489F">
        <w:rPr>
          <w:i/>
        </w:rPr>
        <w:t>Folkpartiet liberalerna</w:t>
      </w:r>
      <w:r w:rsidRPr="00C0489F">
        <w:t xml:space="preserve"> (Fi232) och </w:t>
      </w:r>
      <w:r w:rsidRPr="00C0489F">
        <w:rPr>
          <w:i/>
        </w:rPr>
        <w:t>Kristdemokraterna</w:t>
      </w:r>
      <w:r w:rsidRPr="00C0489F">
        <w:t xml:space="preserve"> (Fi233) framhålls att </w:t>
      </w:r>
      <w:r w:rsidRPr="00C0489F">
        <w:rPr>
          <w:snapToGrid w:val="0"/>
          <w:lang w:eastAsia="sv-SE"/>
        </w:rPr>
        <w:t>Sverige bör öka sin förmåga att medverka i internationella operationer samt aktivt delta i uppbyggnaden av EU:s nya snabbinsatsstyrkor. Sverige skall på sikt kunna bidra med en egen stridsgrupp.</w:t>
      </w:r>
    </w:p>
    <w:p w:rsidR="00F832AB" w:rsidRPr="00C0489F" w:rsidRDefault="00F832AB">
      <w:pPr>
        <w:pStyle w:val="Normaltindrag"/>
        <w:rPr>
          <w:snapToGrid w:val="0"/>
          <w:lang w:eastAsia="sv-SE"/>
        </w:rPr>
      </w:pPr>
      <w:r w:rsidRPr="00C0489F">
        <w:rPr>
          <w:snapToGrid w:val="0"/>
          <w:lang w:eastAsia="sv-SE"/>
        </w:rPr>
        <w:t>Enligt motionärerna finns det en risk att omställningskostnaderna inom Försvarsmakten är underskattade, liksom att den önskade utvecklingen inte ryms inom regeringens föreslagna ram. Motionärerna förordar dä</w:t>
      </w:r>
      <w:r w:rsidRPr="00C0489F">
        <w:rPr>
          <w:snapToGrid w:val="0"/>
          <w:lang w:eastAsia="sv-SE"/>
        </w:rPr>
        <w:t xml:space="preserve">rför en mindre besparing på det militära försvarets anslag än vad regeringen gör. Det militära försvaret bör således utvecklas på en högre anslagsnivå än vad regeringen föreslår. </w:t>
      </w:r>
    </w:p>
    <w:p w:rsidR="00F832AB" w:rsidRPr="00C0489F" w:rsidRDefault="00F832AB">
      <w:pPr>
        <w:pStyle w:val="Normaltindrag"/>
        <w:rPr>
          <w:snapToGrid w:val="0"/>
          <w:lang w:eastAsia="sv-SE"/>
        </w:rPr>
      </w:pPr>
      <w:r w:rsidRPr="00C0489F">
        <w:rPr>
          <w:snapToGrid w:val="0"/>
          <w:lang w:eastAsia="sv-SE"/>
        </w:rPr>
        <w:t xml:space="preserve">Även i partimotion Fi234 av </w:t>
      </w:r>
      <w:r w:rsidRPr="00C0489F">
        <w:rPr>
          <w:i/>
          <w:snapToGrid w:val="0"/>
          <w:lang w:eastAsia="sv-SE"/>
        </w:rPr>
        <w:t>Centerpartiet</w:t>
      </w:r>
      <w:r w:rsidRPr="00C0489F">
        <w:rPr>
          <w:snapToGrid w:val="0"/>
          <w:lang w:eastAsia="sv-SE"/>
        </w:rPr>
        <w:t xml:space="preserve"> förordas en mindre besparing på utgiftsområdet än regeringens förslag. Centerpartiets förslag sammanfaller med de övriga tre partiernas.</w:t>
      </w:r>
    </w:p>
    <w:p w:rsidR="00F832AB" w:rsidRPr="00C0489F" w:rsidRDefault="00F832AB">
      <w:r w:rsidRPr="00C0489F">
        <w:t>De fyra partierna förordar att för budgetåret 2005 anvisas 400 miljoner kronor mer till utgiftsområdet än vad regeringen förordar.</w:t>
      </w:r>
    </w:p>
    <w:p w:rsidR="00F832AB" w:rsidRPr="00C0489F" w:rsidRDefault="00F832AB">
      <w:r w:rsidRPr="00C0489F">
        <w:t>För de två därpå följande budgetåren 2006 och 2007 föreslår de fyra partierna att det jämfört med  regeringens förslag beräknas</w:t>
      </w:r>
    </w:p>
    <w:p w:rsidR="00F832AB" w:rsidRPr="00C0489F" w:rsidRDefault="00F832AB">
      <w:pPr>
        <w:numPr>
          <w:ilvl w:val="0"/>
          <w:numId w:val="13"/>
        </w:numPr>
      </w:pPr>
      <w:r w:rsidRPr="00C0489F">
        <w:t>+   500 miljoner kronor för år 2006</w:t>
      </w:r>
    </w:p>
    <w:p w:rsidR="00F832AB" w:rsidRPr="00C0489F" w:rsidRDefault="00F832AB">
      <w:pPr>
        <w:pStyle w:val="Normaltindrag"/>
        <w:numPr>
          <w:ilvl w:val="0"/>
          <w:numId w:val="15"/>
        </w:numPr>
      </w:pPr>
      <w:r w:rsidRPr="00C0489F">
        <w:t>+1 150 miljoner kronor för år 2007</w:t>
      </w:r>
    </w:p>
    <w:p w:rsidR="00F832AB" w:rsidRPr="00C0489F" w:rsidRDefault="00F832AB">
      <w:pPr>
        <w:pStyle w:val="Rubrik2"/>
      </w:pPr>
      <w:bookmarkStart w:id="7" w:name="_Toc86049905"/>
      <w:r w:rsidRPr="00C0489F">
        <w:t>Utskottet</w:t>
      </w:r>
      <w:bookmarkEnd w:id="7"/>
    </w:p>
    <w:p w:rsidR="00F832AB" w:rsidRPr="00C0489F" w:rsidRDefault="00F832AB">
      <w:pPr>
        <w:pStyle w:val="Rubrik3"/>
        <w:rPr>
          <w:noProof w:val="0"/>
        </w:rPr>
      </w:pPr>
      <w:bookmarkStart w:id="8" w:name="_Toc86049906"/>
      <w:r w:rsidRPr="00C0489F">
        <w:rPr>
          <w:noProof w:val="0"/>
        </w:rPr>
        <w:t>Utgiftsramar</w:t>
      </w:r>
      <w:bookmarkEnd w:id="8"/>
    </w:p>
    <w:p w:rsidR="00F832AB" w:rsidRPr="00C0489F" w:rsidRDefault="00F832AB">
      <w:bookmarkStart w:id="9" w:name="TextStart"/>
      <w:bookmarkEnd w:id="9"/>
      <w:r w:rsidRPr="00C0489F">
        <w:t xml:space="preserve">Mot bakgrund av den förändrade hotbilden – och den säkerhetspolitiska bedömning som regeringen redovisar i prop. 2004/05:5 </w:t>
      </w:r>
      <w:r w:rsidRPr="00C0489F">
        <w:rPr>
          <w:i/>
        </w:rPr>
        <w:t>Vårt framtida försvar</w:t>
      </w:r>
      <w:r w:rsidRPr="00C0489F">
        <w:t xml:space="preserve"> – minskar behovet av satsningar på yttre säkerhet. Därmed kan resurserna inom utgiftsområde 6 Försvar och beredskap mot sårbarhet begränsas. Utskottet bedömer att den ekonomiska ramen för utgiftsområde 6 Försvar samt beredskap mot sårbarhet successivt kan minskas med 3 miljarder kronor. Reduceringen av ramen bör ske stegvis under perioden 2005–2007.</w:t>
      </w:r>
    </w:p>
    <w:p w:rsidR="00F832AB" w:rsidRPr="00C0489F" w:rsidRDefault="00F832AB">
      <w:pPr>
        <w:pStyle w:val="Normaltindrag"/>
        <w:rPr>
          <w:u w:val="single"/>
        </w:rPr>
      </w:pPr>
      <w:r w:rsidRPr="00C0489F">
        <w:t>Ramen bör realt minskas med 0,6 miljarder kronor 2005, 1,5 miljard 2006 samt 3 miljarder år 2007. Minskningen med 3 miljarder kronor bör s</w:t>
      </w:r>
      <w:r w:rsidRPr="00C0489F">
        <w:t xml:space="preserve">ke i förhållande till den ram för 2004 som riksdagen beslutade i statsbudgeten för 2004. </w:t>
      </w:r>
    </w:p>
    <w:p w:rsidR="00F832AB" w:rsidRPr="00C0489F" w:rsidRDefault="00F832AB">
      <w:pPr>
        <w:pStyle w:val="Normaltindrag"/>
      </w:pPr>
      <w:r w:rsidRPr="00C0489F">
        <w:t>Regeringen föreslår i budgetpropositionen för 2005 att ansvaret och finansieringen av det gemensamma radiokommunikationssystemet RAKEL flyttas till utgiftsområde 6. Utskottet tillstyrker den föreslagna omflyttningen. Förslaget medför att utgiftsområdets ram ökas med 323 miljoner kronor. Den årliga justeringen av anslagen med anledning av pris och löneomräkning ger samma effekt. Därför blir den totala förändringen av ut</w:t>
      </w:r>
      <w:r w:rsidRPr="00C0489F">
        <w:t xml:space="preserve">giftsområdet – nominellt sett – något annorlunda än den ovan förordade successiva reduceringen av utgiftsramen. </w:t>
      </w:r>
    </w:p>
    <w:p w:rsidR="00F832AB" w:rsidRPr="00C0489F" w:rsidRDefault="00F832AB">
      <w:pPr>
        <w:pStyle w:val="Normaltindrag"/>
      </w:pPr>
      <w:r w:rsidRPr="00C0489F">
        <w:t>Mot bakgrund av vad utskottet anfört ovan tillstyrker utskottet regeringens förslag till utgiftsram i budgetpropositionen för år 2005 samt avstyrker motionerna Fi231, Fi232 och Fi233 såvitt avser utgiftsområde 6.</w:t>
      </w:r>
    </w:p>
    <w:p w:rsidR="00F832AB" w:rsidRPr="00C0489F" w:rsidRDefault="00F832AB"/>
    <w:p w:rsidR="00F832AB" w:rsidRPr="00C0489F" w:rsidRDefault="00F832AB">
      <w:pPr>
        <w:pStyle w:val="Rubrik3"/>
        <w:rPr>
          <w:noProof w:val="0"/>
        </w:rPr>
      </w:pPr>
      <w:bookmarkStart w:id="10" w:name="_Toc86049907"/>
      <w:r w:rsidRPr="00C0489F">
        <w:rPr>
          <w:noProof w:val="0"/>
        </w:rPr>
        <w:t>Utvecklingen av den ekonomiska styrningen i staten</w:t>
      </w:r>
      <w:bookmarkEnd w:id="10"/>
    </w:p>
    <w:p w:rsidR="00F832AB" w:rsidRPr="00C0489F" w:rsidRDefault="00F832AB">
      <w:r w:rsidRPr="00C0489F">
        <w:t>Som ett underlag för finansutskottets beredning av dessa frågor erinrar försvarsutskottet om att det vid ett antal tillfällen under senare år behandlat frågor som rör statsmakternas sty</w:t>
      </w:r>
      <w:r w:rsidRPr="00C0489F">
        <w:t>r</w:t>
      </w:r>
      <w:r w:rsidRPr="00C0489F">
        <w:t>ning av försvaret.</w:t>
      </w:r>
    </w:p>
    <w:p w:rsidR="00F832AB" w:rsidRPr="00C0489F" w:rsidRDefault="00F832AB">
      <w:pPr>
        <w:pStyle w:val="Normaltindrag"/>
      </w:pPr>
      <w:r w:rsidRPr="00C0489F">
        <w:t xml:space="preserve">Försvarsutskottet noterade i betänkande </w:t>
      </w:r>
      <w:r w:rsidRPr="00C0489F">
        <w:rPr>
          <w:i/>
        </w:rPr>
        <w:t>2003/04:FöU6</w:t>
      </w:r>
      <w:r w:rsidRPr="00C0489F">
        <w:t xml:space="preserve"> </w:t>
      </w:r>
      <w:r w:rsidRPr="00C0489F">
        <w:rPr>
          <w:i/>
        </w:rPr>
        <w:t>Styrningen av det militära försvaret</w:t>
      </w:r>
      <w:r w:rsidRPr="00C0489F">
        <w:t xml:space="preserve">  att regeringen – efter beslut av riksdagen (bet. 2002/03: FiU14, yttr. 2002/03:FöU3y och bet. 2003/04:FiU11, yttr. 2003/04:FöU2y) – i februari 2004 har beslutat om direktiv för en utredning om fo</w:t>
      </w:r>
      <w:r w:rsidRPr="00C0489F">
        <w:t>r</w:t>
      </w:r>
      <w:r w:rsidRPr="00C0489F">
        <w:t xml:space="preserve">merna för styrning och finansiering av försvaret. </w:t>
      </w:r>
    </w:p>
    <w:p w:rsidR="00F832AB" w:rsidRPr="00C0489F" w:rsidRDefault="00F832AB">
      <w:r w:rsidRPr="00C0489F">
        <w:t>För att styrningen och uppföljningen av verksamheten från riksdagen sida skall bli effektiv,  framhöll utskottet att regeringen måste lämna förslag till</w:t>
      </w:r>
      <w:r w:rsidRPr="00C0489F">
        <w:rPr>
          <w:i/>
        </w:rPr>
        <w:t xml:space="preserve"> ko</w:t>
      </w:r>
      <w:r w:rsidRPr="00C0489F">
        <w:rPr>
          <w:i/>
        </w:rPr>
        <w:t>n</w:t>
      </w:r>
      <w:r w:rsidRPr="00C0489F">
        <w:rPr>
          <w:i/>
        </w:rPr>
        <w:t>kreta uppföljningsbara mål</w:t>
      </w:r>
      <w:r w:rsidRPr="00C0489F">
        <w:t xml:space="preserve"> för de olika verksamheterna, tydligare ange vilka </w:t>
      </w:r>
      <w:r w:rsidRPr="00C0489F">
        <w:rPr>
          <w:i/>
        </w:rPr>
        <w:t>ändamål</w:t>
      </w:r>
      <w:r w:rsidRPr="00C0489F">
        <w:t xml:space="preserve"> som anslagen är tänkta att finansiera samt redovisa resultat och effekter mer konkret än hittills. Om inte riksdagen ges reell möjlighet att ta en aktiv del i mål- och resultatstyrningen finns det betydande risker för att o</w:t>
      </w:r>
      <w:r w:rsidRPr="00C0489F">
        <w:t>m</w:t>
      </w:r>
      <w:r w:rsidRPr="00C0489F">
        <w:t>läggningen av styrsystemet inte kommer att, som det var tänkt, innebära en starkare politisk styrning utan tvärtom. Mot den bakgrunden gav riksdagen som sin mening ger regeringen till känna vad försv</w:t>
      </w:r>
      <w:r w:rsidRPr="00C0489F">
        <w:t xml:space="preserve">arsutskottet anfört om </w:t>
      </w:r>
      <w:r w:rsidRPr="00C0489F">
        <w:rPr>
          <w:i/>
        </w:rPr>
        <w:t>mål</w:t>
      </w:r>
      <w:r w:rsidRPr="00C0489F">
        <w:t>,</w:t>
      </w:r>
      <w:r w:rsidRPr="00C0489F">
        <w:rPr>
          <w:i/>
        </w:rPr>
        <w:t xml:space="preserve"> kostn</w:t>
      </w:r>
      <w:r w:rsidRPr="00C0489F">
        <w:rPr>
          <w:i/>
        </w:rPr>
        <w:t>a</w:t>
      </w:r>
      <w:r w:rsidRPr="00C0489F">
        <w:rPr>
          <w:i/>
        </w:rPr>
        <w:t>der</w:t>
      </w:r>
      <w:r w:rsidRPr="00C0489F">
        <w:t>,</w:t>
      </w:r>
      <w:r w:rsidRPr="00C0489F">
        <w:rPr>
          <w:i/>
        </w:rPr>
        <w:t xml:space="preserve"> anslag och resultat </w:t>
      </w:r>
      <w:r w:rsidRPr="00C0489F">
        <w:t>och uppdrog åt regeringen att ge den ovan nämnda utredningen tilläggsdirektiv att lämna förslag till förbättringar i dessa avseenden</w:t>
      </w:r>
      <w:r w:rsidRPr="00C0489F">
        <w:rPr>
          <w:i/>
        </w:rPr>
        <w:t xml:space="preserve">. </w:t>
      </w:r>
    </w:p>
    <w:p w:rsidR="00F832AB" w:rsidRPr="00C0489F" w:rsidRDefault="00F832AB"/>
    <w:p w:rsidR="00F832AB" w:rsidRPr="00C0489F" w:rsidRDefault="00F832AB">
      <w:pPr>
        <w:pStyle w:val="Utskriftsdatum"/>
      </w:pPr>
      <w:r w:rsidRPr="00C0489F">
        <w:t xml:space="preserve">Stockholm den 21 oktober 2004 </w:t>
      </w:r>
    </w:p>
    <w:p w:rsidR="00F832AB" w:rsidRPr="00C0489F" w:rsidRDefault="00F832AB">
      <w:r w:rsidRPr="00C0489F">
        <w:t>På försvarsutskottets vägnar</w:t>
      </w:r>
    </w:p>
    <w:p w:rsidR="00F832AB" w:rsidRPr="00C0489F" w:rsidRDefault="00F832AB">
      <w:pPr>
        <w:pStyle w:val="Normaltindrag"/>
      </w:pPr>
    </w:p>
    <w:p w:rsidR="00F832AB" w:rsidRPr="00C0489F" w:rsidRDefault="00F832AB">
      <w:pPr>
        <w:rPr>
          <w:i/>
        </w:rPr>
      </w:pPr>
      <w:r w:rsidRPr="00C0489F">
        <w:rPr>
          <w:i/>
        </w:rPr>
        <w:t>Eskil Erlandsson</w:t>
      </w:r>
    </w:p>
    <w:p w:rsidR="00F832AB" w:rsidRPr="00C0489F" w:rsidRDefault="00F832AB">
      <w:pPr>
        <w:pStyle w:val="Deltagare"/>
        <w:rPr>
          <w:noProof w:val="0"/>
        </w:rPr>
      </w:pPr>
      <w:bookmarkStart w:id="11" w:name="Ordförande"/>
      <w:bookmarkStart w:id="12" w:name="Deltagare"/>
      <w:bookmarkEnd w:id="11"/>
      <w:bookmarkEnd w:id="12"/>
      <w:r w:rsidRPr="00C0489F">
        <w:rPr>
          <w:noProof w:val="0"/>
        </w:rPr>
        <w:t>Följande ledamöter har deltagit i beslutet: Eskil Erlandsson (c), Tone Tingsgård (s), Ola Sundell (m), Allan Widman (fp), Michael Hagberg (s), Berit Jóhannesson (v), Berndt Sköldestig (s), Rolf Gunnarsson (m), Britt-Marie Lindkvist (s), Heli Berg (fp), Åsa Lindestam (s), Karin Enström (m), Peter Jonsson (s), Lars Ångström (mp), Marie Nordén (s) och Else-Marie Lindgren (kd).</w:t>
      </w:r>
    </w:p>
    <w:p w:rsidR="00F832AB" w:rsidRPr="00C0489F" w:rsidRDefault="00F832AB">
      <w:pPr>
        <w:pStyle w:val="Normaltindrag"/>
      </w:pPr>
    </w:p>
    <w:p w:rsidR="00F832AB" w:rsidRPr="00C0489F" w:rsidRDefault="00F832AB">
      <w:pPr>
        <w:pStyle w:val="Normaltindrag"/>
        <w:sectPr w:rsidR="00000000" w:rsidRPr="00C0489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832AB" w:rsidRPr="00C0489F" w:rsidRDefault="00F832AB">
      <w:pPr>
        <w:pStyle w:val="Rubrik1"/>
        <w:rPr>
          <w:noProof w:val="0"/>
        </w:rPr>
      </w:pPr>
      <w:bookmarkStart w:id="13" w:name="_Toc86049908"/>
      <w:r w:rsidRPr="00C0489F">
        <w:rPr>
          <w:noProof w:val="0"/>
        </w:rPr>
        <w:t>Avvikande mening</w:t>
      </w:r>
      <w:bookmarkEnd w:id="13"/>
    </w:p>
    <w:p w:rsidR="00F832AB" w:rsidRPr="00C0489F" w:rsidRDefault="00F832AB">
      <w:pPr>
        <w:pStyle w:val="R3"/>
      </w:pPr>
      <w:r w:rsidRPr="00C0489F">
        <w:t>1. Ola Sundell, Rolf Gunnarsson och Karin Enström (alla m),  Allan Widman och Heli Berg (båda fp),  Else-Marie Lindgren (kd) och Eskil Erlandsson ( c) anför:</w:t>
      </w:r>
    </w:p>
    <w:p w:rsidR="00F832AB" w:rsidRPr="00C0489F" w:rsidRDefault="00F832AB">
      <w:pPr>
        <w:rPr>
          <w:snapToGrid w:val="0"/>
          <w:lang w:eastAsia="sv-SE"/>
        </w:rPr>
      </w:pPr>
      <w:r w:rsidRPr="00C0489F">
        <w:rPr>
          <w:snapToGrid w:val="0"/>
          <w:lang w:eastAsia="sv-SE"/>
        </w:rPr>
        <w:t>Sverige bör öka sin förmåga att medverka i internationella operationer, samt aktivt delta i uppbyggnaden av EU:s nya snabbinsatsstyrkor. Sverige bör på sikt kunna bidra med en egen stridsgrupp.</w:t>
      </w:r>
    </w:p>
    <w:p w:rsidR="00F832AB" w:rsidRPr="00C0489F" w:rsidRDefault="00F832AB">
      <w:pPr>
        <w:pStyle w:val="Normaltindrag"/>
        <w:rPr>
          <w:snapToGrid w:val="0"/>
          <w:lang w:eastAsia="sv-SE"/>
        </w:rPr>
      </w:pPr>
      <w:r w:rsidRPr="00C0489F">
        <w:rPr>
          <w:snapToGrid w:val="0"/>
          <w:lang w:eastAsia="sv-SE"/>
        </w:rPr>
        <w:t xml:space="preserve">Vi bedömer att det finns en risk att omställningskostnaderna inom Försvarsmakten är underskattade, liksom att den önskade utvecklingen av den internationella förmågan inte ryms inom regeringens föreslagna ram. Vi förordar därför en mindre besparing på det militära försvarets anslag än vad regeringen gör. Det militära försvaret bör således utvecklas på en högre anslagsnivå än vad regeringen föreslår. </w:t>
      </w:r>
    </w:p>
    <w:p w:rsidR="00F832AB" w:rsidRPr="00C0489F" w:rsidRDefault="00F832AB">
      <w:r w:rsidRPr="00C0489F">
        <w:t>Mot den bakgrunden förordar vi att för budgetåret 2005 anvisas 400 miljoner kronor mer till utgiftsområdet än vad regeringen förordar.</w:t>
      </w:r>
    </w:p>
    <w:p w:rsidR="00F832AB" w:rsidRPr="00C0489F" w:rsidRDefault="00F832AB">
      <w:r w:rsidRPr="00C0489F">
        <w:t>För de två därpå följande budgetåren 2006 och 2007 föreslår vi att det jämfört med  regeringens förslag beräknas</w:t>
      </w:r>
    </w:p>
    <w:p w:rsidR="00F832AB" w:rsidRPr="00C0489F" w:rsidRDefault="00F832AB">
      <w:pPr>
        <w:numPr>
          <w:ilvl w:val="0"/>
          <w:numId w:val="13"/>
        </w:numPr>
      </w:pPr>
      <w:r w:rsidRPr="00C0489F">
        <w:t>+   500 miljoner kronor för år 2006</w:t>
      </w:r>
    </w:p>
    <w:p w:rsidR="00F832AB" w:rsidRPr="00C0489F" w:rsidRDefault="00F832AB">
      <w:pPr>
        <w:pStyle w:val="Normaltindrag"/>
        <w:numPr>
          <w:ilvl w:val="0"/>
          <w:numId w:val="15"/>
        </w:numPr>
      </w:pPr>
      <w:r w:rsidRPr="00C0489F">
        <w:t>+1 150 miljoner kronor för år 2007.</w:t>
      </w:r>
    </w:p>
    <w:p w:rsidR="00F832AB" w:rsidRPr="00C0489F" w:rsidRDefault="00F832AB"/>
    <w:p w:rsidR="00F832AB" w:rsidRPr="00C0489F" w:rsidRDefault="00F832AB">
      <w:pPr>
        <w:pStyle w:val="Normaltindrag"/>
        <w:sectPr w:rsidR="00000000" w:rsidRPr="00C0489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832AB" w:rsidRPr="00C0489F" w:rsidRDefault="00F832AB">
      <w:pPr>
        <w:pStyle w:val="Rubrik1"/>
        <w:rPr>
          <w:noProof w:val="0"/>
        </w:rPr>
      </w:pPr>
      <w:bookmarkStart w:id="14" w:name="_Toc86049909"/>
      <w:r w:rsidRPr="00C0489F">
        <w:rPr>
          <w:noProof w:val="0"/>
        </w:rPr>
        <w:t>Innehållsförteckning</w:t>
      </w:r>
      <w:bookmarkEnd w:id="14"/>
    </w:p>
    <w:p w:rsidR="00F832AB" w:rsidRPr="00C0489F" w:rsidRDefault="00F832AB">
      <w:pPr>
        <w:pStyle w:val="Innehll1"/>
      </w:pPr>
      <w:r w:rsidRPr="00C0489F">
        <w:t>Till finansutskottet</w:t>
      </w:r>
      <w:r w:rsidRPr="00C0489F">
        <w:tab/>
        <w:t>1</w:t>
      </w:r>
    </w:p>
    <w:p w:rsidR="00F832AB" w:rsidRPr="00C0489F" w:rsidRDefault="00F832AB">
      <w:pPr>
        <w:pStyle w:val="Innehll2"/>
      </w:pPr>
      <w:r w:rsidRPr="00C0489F">
        <w:t>Propositionen</w:t>
      </w:r>
      <w:r w:rsidRPr="00C0489F">
        <w:tab/>
        <w:t>1</w:t>
      </w:r>
    </w:p>
    <w:p w:rsidR="00F832AB" w:rsidRPr="00C0489F" w:rsidRDefault="00F832AB">
      <w:pPr>
        <w:pStyle w:val="Innehll3"/>
      </w:pPr>
      <w:r w:rsidRPr="00C0489F">
        <w:t>Utgiftsramar</w:t>
      </w:r>
      <w:r w:rsidRPr="00C0489F">
        <w:tab/>
        <w:t>1</w:t>
      </w:r>
    </w:p>
    <w:p w:rsidR="00F832AB" w:rsidRPr="00C0489F" w:rsidRDefault="00F832AB">
      <w:pPr>
        <w:pStyle w:val="Innehll3"/>
      </w:pPr>
      <w:r w:rsidRPr="00C0489F">
        <w:t>Utvecklingen av den ekonomiska styrningen i staten</w:t>
      </w:r>
      <w:r w:rsidRPr="00C0489F">
        <w:tab/>
        <w:t>2</w:t>
      </w:r>
    </w:p>
    <w:p w:rsidR="00F832AB" w:rsidRPr="00C0489F" w:rsidRDefault="00F832AB">
      <w:pPr>
        <w:pStyle w:val="Innehll2"/>
      </w:pPr>
      <w:r w:rsidRPr="00C0489F">
        <w:t>Motionerna</w:t>
      </w:r>
      <w:r w:rsidRPr="00C0489F">
        <w:tab/>
        <w:t>2</w:t>
      </w:r>
    </w:p>
    <w:p w:rsidR="00F832AB" w:rsidRPr="00C0489F" w:rsidRDefault="00F832AB">
      <w:pPr>
        <w:pStyle w:val="Innehll2"/>
      </w:pPr>
      <w:r w:rsidRPr="00C0489F">
        <w:t>Utskottet</w:t>
      </w:r>
      <w:r w:rsidRPr="00C0489F">
        <w:tab/>
        <w:t>3</w:t>
      </w:r>
    </w:p>
    <w:p w:rsidR="00F832AB" w:rsidRPr="00C0489F" w:rsidRDefault="00F832AB">
      <w:pPr>
        <w:pStyle w:val="Innehll3"/>
      </w:pPr>
      <w:r w:rsidRPr="00C0489F">
        <w:t>Utgiftsramar</w:t>
      </w:r>
      <w:r w:rsidRPr="00C0489F">
        <w:tab/>
        <w:t>3</w:t>
      </w:r>
    </w:p>
    <w:p w:rsidR="00F832AB" w:rsidRPr="00C0489F" w:rsidRDefault="00F832AB">
      <w:pPr>
        <w:pStyle w:val="Innehll3"/>
      </w:pPr>
      <w:r w:rsidRPr="00C0489F">
        <w:t>Utvecklingen av den ekonomiska styrningen i staten</w:t>
      </w:r>
      <w:r w:rsidRPr="00C0489F">
        <w:tab/>
        <w:t>3</w:t>
      </w:r>
    </w:p>
    <w:p w:rsidR="00F832AB" w:rsidRPr="00C0489F" w:rsidRDefault="00F832AB">
      <w:pPr>
        <w:pStyle w:val="Innehll1"/>
      </w:pPr>
      <w:r w:rsidRPr="00C0489F">
        <w:t>Avvikande mening</w:t>
      </w:r>
      <w:r w:rsidRPr="00C0489F">
        <w:tab/>
        <w:t>5</w:t>
      </w:r>
    </w:p>
    <w:p w:rsidR="00F832AB" w:rsidRPr="00C0489F" w:rsidRDefault="00F832AB">
      <w:pPr>
        <w:pStyle w:val="Innehll1"/>
      </w:pPr>
    </w:p>
    <w:p w:rsidR="00F832AB" w:rsidRPr="00C0489F" w:rsidRDefault="00F832AB"/>
    <w:p w:rsidR="00F832AB" w:rsidRPr="00C0489F" w:rsidRDefault="00F832AB">
      <w:pPr>
        <w:pStyle w:val="Tryckort"/>
        <w:framePr w:wrap="around"/>
        <w:jc w:val="right"/>
      </w:pPr>
      <w:r w:rsidRPr="00C0489F">
        <w:t>Elanders Gotab, Stockholm  2004</w:t>
      </w:r>
    </w:p>
    <w:p w:rsidR="00F832AB" w:rsidRPr="00C0489F" w:rsidRDefault="00F832AB">
      <w:pPr>
        <w:pStyle w:val="Normaltindrag"/>
      </w:pPr>
    </w:p>
    <w:sectPr w:rsidR="00F832AB" w:rsidRPr="00C0489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2AB" w:rsidRPr="00C0489F" w:rsidRDefault="00F832AB">
      <w:pPr>
        <w:spacing w:before="0" w:line="240" w:lineRule="auto"/>
      </w:pPr>
      <w:r w:rsidRPr="00C0489F">
        <w:separator/>
      </w:r>
    </w:p>
  </w:endnote>
  <w:endnote w:type="continuationSeparator" w:id="0">
    <w:p w:rsidR="00F832AB" w:rsidRPr="00C0489F" w:rsidRDefault="00F832AB">
      <w:pPr>
        <w:spacing w:before="0" w:line="240" w:lineRule="auto"/>
      </w:pPr>
      <w:r w:rsidRPr="00C048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CondEighteen">
    <w:altName w:val="Courier New"/>
    <w:charset w:val="00"/>
    <w:family w:val="auto"/>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fotV"/>
      <w:framePr w:w="8732" w:h="284" w:hRule="exact" w:hSpace="0" w:vSpace="0" w:wrap="around" w:xAlign="inside" w:y="13042" w:anchorLock="0"/>
    </w:pP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t>4</w:t>
    </w:r>
    <w:r w:rsidRPr="00C0489F">
      <w:fldChar w:fldCharType="end"/>
    </w:r>
  </w:p>
  <w:p w:rsidR="00F832AB" w:rsidRPr="00C0489F" w:rsidRDefault="00F832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fotH"/>
      <w:framePr w:w="8732" w:h="284" w:hRule="exact" w:hSpace="0" w:vSpace="0" w:wrap="around" w:xAlign="inside" w:y="13042" w:anchorLock="0"/>
    </w:pP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t>3</w:t>
    </w:r>
    <w:r w:rsidRPr="00C0489F">
      <w:fldChar w:fldCharType="end"/>
    </w:r>
  </w:p>
  <w:p w:rsidR="00F832AB" w:rsidRPr="00C0489F" w:rsidRDefault="00F832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fotV"/>
      <w:framePr w:w="8732" w:h="284" w:hRule="exact" w:hSpace="0" w:vSpace="0" w:wrap="around" w:xAlign="inside" w:y="13042" w:anchorLock="0"/>
    </w:pPr>
    <w:r w:rsidRPr="00C0489F">
      <w:fldChar w:fldCharType="begin" w:fldLock="1"/>
    </w:r>
    <w:r w:rsidRPr="00C0489F">
      <w:instrText xml:space="preserve"> if </w:instrText>
    </w:r>
    <w:r w:rsidRPr="00C0489F">
      <w:fldChar w:fldCharType="begin" w:fldLock="1"/>
    </w:r>
    <w:r w:rsidRPr="00C0489F">
      <w:instrText xml:space="preserve"> = </w:instrText>
    </w:r>
    <w:r w:rsidRPr="00C0489F">
      <w:fldChar w:fldCharType="begin" w:fldLock="1"/>
    </w:r>
    <w:r w:rsidRPr="00C0489F">
      <w:instrText xml:space="preserve"> = </w:instrText>
    </w:r>
    <w:r w:rsidRPr="00C0489F">
      <w:fldChar w:fldCharType="begin" w:fldLock="1"/>
    </w:r>
    <w:r w:rsidRPr="00C0489F">
      <w:instrText xml:space="preserve"> page</w:instrText>
    </w:r>
    <w:r w:rsidRPr="00C0489F">
      <w:fldChar w:fldCharType="separate"/>
    </w:r>
    <w:r w:rsidR="00C0489F">
      <w:rPr>
        <w:noProof/>
      </w:rPr>
      <w:instrText>1</w:instrText>
    </w:r>
    <w:r w:rsidRPr="00C0489F">
      <w:fldChar w:fldCharType="end"/>
    </w:r>
    <w:r w:rsidRPr="00C0489F">
      <w:instrText xml:space="preserve">/2 </w:instrText>
    </w:r>
    <w:r w:rsidRPr="00C0489F">
      <w:fldChar w:fldCharType="separate"/>
    </w:r>
    <w:r w:rsidR="00C0489F">
      <w:rPr>
        <w:noProof/>
      </w:rPr>
      <w:instrText>0,5</w:instrText>
    </w:r>
    <w:r w:rsidRPr="00C0489F">
      <w:fldChar w:fldCharType="end"/>
    </w:r>
    <w:r w:rsidRPr="00C0489F">
      <w:instrText xml:space="preserve"> - </w:instrText>
    </w:r>
    <w:r w:rsidRPr="00C0489F">
      <w:fldChar w:fldCharType="begin" w:fldLock="1"/>
    </w:r>
    <w:r w:rsidRPr="00C0489F">
      <w:instrText xml:space="preserve"> = int(</w:instrText>
    </w:r>
    <w:r w:rsidRPr="00C0489F">
      <w:fldChar w:fldCharType="begin" w:fldLock="1"/>
    </w:r>
    <w:r w:rsidRPr="00C0489F">
      <w:instrText xml:space="preserve"> page</w:instrText>
    </w:r>
    <w:r w:rsidRPr="00C0489F">
      <w:fldChar w:fldCharType="separate"/>
    </w:r>
    <w:r w:rsidR="00C0489F">
      <w:rPr>
        <w:noProof/>
      </w:rPr>
      <w:instrText>1</w:instrText>
    </w:r>
    <w:r w:rsidRPr="00C0489F">
      <w:fldChar w:fldCharType="end"/>
    </w:r>
    <w:r w:rsidRPr="00C0489F">
      <w:instrText xml:space="preserve">/2) </w:instrText>
    </w:r>
    <w:r w:rsidRPr="00C0489F">
      <w:fldChar w:fldCharType="separate"/>
    </w:r>
    <w:r w:rsidR="00C0489F">
      <w:rPr>
        <w:noProof/>
      </w:rPr>
      <w:instrText>0</w:instrText>
    </w:r>
    <w:r w:rsidRPr="00C0489F">
      <w:fldChar w:fldCharType="end"/>
    </w:r>
    <w:r w:rsidRPr="00C0489F">
      <w:fldChar w:fldCharType="separate"/>
    </w:r>
    <w:r w:rsidR="00C0489F">
      <w:rPr>
        <w:noProof/>
      </w:rPr>
      <w:instrText>0,5</w:instrText>
    </w:r>
    <w:r w:rsidRPr="00C0489F">
      <w:fldChar w:fldCharType="end"/>
    </w:r>
    <w:r w:rsidRPr="00C0489F">
      <w:instrText xml:space="preserve"> = 0 "</w:instrText>
    </w: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instrText>14</w:instrText>
    </w:r>
    <w:r w:rsidRPr="00C0489F">
      <w:fldChar w:fldCharType="end"/>
    </w:r>
  </w:p>
  <w:p w:rsidR="00F832AB" w:rsidRPr="00C0489F" w:rsidRDefault="00F832AB">
    <w:pPr>
      <w:pStyle w:val="SidfotH"/>
      <w:framePr w:w="8732" w:h="284" w:hRule="exact" w:hSpace="0" w:vSpace="0" w:wrap="around" w:xAlign="inside" w:y="13042" w:anchorLock="0"/>
    </w:pPr>
    <w:r w:rsidRPr="00C0489F">
      <w:instrText>""</w:instrText>
    </w: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00C0489F">
      <w:rPr>
        <w:noProof/>
      </w:rPr>
      <w:instrText>1</w:instrText>
    </w:r>
    <w:r w:rsidRPr="00C0489F">
      <w:fldChar w:fldCharType="end"/>
    </w:r>
    <w:r w:rsidRPr="00C0489F">
      <w:instrText>"</w:instrText>
    </w:r>
    <w:r w:rsidRPr="00C0489F">
      <w:fldChar w:fldCharType="separate"/>
    </w:r>
    <w:r w:rsidR="00C0489F">
      <w:rPr>
        <w:noProof/>
      </w:rPr>
      <w:t>1</w:t>
    </w:r>
    <w:r w:rsidRPr="00C0489F">
      <w:fldChar w:fldCharType="end"/>
    </w:r>
  </w:p>
  <w:p w:rsidR="00F832AB" w:rsidRPr="00C0489F" w:rsidRDefault="00F832A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fotV"/>
      <w:framePr w:w="8732" w:h="284" w:hRule="exact" w:hSpace="0" w:vSpace="0" w:wrap="around" w:xAlign="inside" w:y="13042" w:anchorLock="0"/>
    </w:pP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t>2</w:t>
    </w:r>
    <w:r w:rsidRPr="00C0489F">
      <w:fldChar w:fldCharType="end"/>
    </w:r>
  </w:p>
  <w:p w:rsidR="00F832AB" w:rsidRPr="00C0489F" w:rsidRDefault="00F832A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fotH"/>
      <w:framePr w:w="8732" w:h="284" w:hRule="exact" w:hSpace="0" w:vSpace="0" w:wrap="around" w:xAlign="inside" w:y="13042" w:anchorLock="0"/>
    </w:pP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t>3</w:t>
    </w:r>
    <w:r w:rsidRPr="00C0489F">
      <w:fldChar w:fldCharType="end"/>
    </w:r>
  </w:p>
  <w:p w:rsidR="00F832AB" w:rsidRPr="00C0489F" w:rsidRDefault="00F832A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fotV"/>
      <w:framePr w:w="8732" w:h="284" w:hRule="exact" w:hSpace="0" w:vSpace="0" w:wrap="around" w:xAlign="inside" w:y="13042" w:anchorLock="0"/>
    </w:pPr>
    <w:r w:rsidRPr="00C0489F">
      <w:fldChar w:fldCharType="begin" w:fldLock="1"/>
    </w:r>
    <w:r w:rsidRPr="00C0489F">
      <w:instrText xml:space="preserve"> if </w:instrText>
    </w:r>
    <w:r w:rsidRPr="00C0489F">
      <w:fldChar w:fldCharType="begin" w:fldLock="1"/>
    </w:r>
    <w:r w:rsidRPr="00C0489F">
      <w:instrText xml:space="preserve"> = </w:instrText>
    </w:r>
    <w:r w:rsidRPr="00C0489F">
      <w:fldChar w:fldCharType="begin" w:fldLock="1"/>
    </w:r>
    <w:r w:rsidRPr="00C0489F">
      <w:instrText xml:space="preserve"> = </w:instrText>
    </w:r>
    <w:r w:rsidRPr="00C0489F">
      <w:fldChar w:fldCharType="begin" w:fldLock="1"/>
    </w:r>
    <w:r w:rsidRPr="00C0489F">
      <w:instrText xml:space="preserve"> page</w:instrText>
    </w:r>
    <w:r w:rsidRPr="00C0489F">
      <w:fldChar w:fldCharType="separate"/>
    </w:r>
    <w:r w:rsidRPr="00C0489F">
      <w:instrText>5</w:instrText>
    </w:r>
    <w:r w:rsidRPr="00C0489F">
      <w:fldChar w:fldCharType="end"/>
    </w:r>
    <w:r w:rsidRPr="00C0489F">
      <w:instrText xml:space="preserve">/2 </w:instrText>
    </w:r>
    <w:r w:rsidRPr="00C0489F">
      <w:fldChar w:fldCharType="separate"/>
    </w:r>
    <w:r w:rsidRPr="00C0489F">
      <w:instrText>2,5</w:instrText>
    </w:r>
    <w:r w:rsidRPr="00C0489F">
      <w:fldChar w:fldCharType="end"/>
    </w:r>
    <w:r w:rsidRPr="00C0489F">
      <w:instrText xml:space="preserve"> - </w:instrText>
    </w:r>
    <w:r w:rsidRPr="00C0489F">
      <w:fldChar w:fldCharType="begin" w:fldLock="1"/>
    </w:r>
    <w:r w:rsidRPr="00C0489F">
      <w:instrText xml:space="preserve"> = int(</w:instrText>
    </w:r>
    <w:r w:rsidRPr="00C0489F">
      <w:fldChar w:fldCharType="begin" w:fldLock="1"/>
    </w:r>
    <w:r w:rsidRPr="00C0489F">
      <w:instrText xml:space="preserve"> page</w:instrText>
    </w:r>
    <w:r w:rsidRPr="00C0489F">
      <w:fldChar w:fldCharType="separate"/>
    </w:r>
    <w:r w:rsidRPr="00C0489F">
      <w:instrText>5</w:instrText>
    </w:r>
    <w:r w:rsidRPr="00C0489F">
      <w:fldChar w:fldCharType="end"/>
    </w:r>
    <w:r w:rsidRPr="00C0489F">
      <w:instrText xml:space="preserve">/2) </w:instrText>
    </w:r>
    <w:r w:rsidRPr="00C0489F">
      <w:fldChar w:fldCharType="separate"/>
    </w:r>
    <w:r w:rsidRPr="00C0489F">
      <w:instrText>2</w:instrText>
    </w:r>
    <w:r w:rsidRPr="00C0489F">
      <w:fldChar w:fldCharType="end"/>
    </w:r>
    <w:r w:rsidRPr="00C0489F">
      <w:fldChar w:fldCharType="separate"/>
    </w:r>
    <w:r w:rsidRPr="00C0489F">
      <w:instrText>0,5</w:instrText>
    </w:r>
    <w:r w:rsidRPr="00C0489F">
      <w:fldChar w:fldCharType="end"/>
    </w:r>
    <w:r w:rsidRPr="00C0489F">
      <w:instrText xml:space="preserve"> = 0 "</w:instrText>
    </w: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instrText>4</w:instrText>
    </w:r>
    <w:r w:rsidRPr="00C0489F">
      <w:fldChar w:fldCharType="end"/>
    </w:r>
  </w:p>
  <w:p w:rsidR="00F832AB" w:rsidRPr="00C0489F" w:rsidRDefault="00F832AB">
    <w:pPr>
      <w:pStyle w:val="SidfotH"/>
      <w:framePr w:w="8732" w:h="284" w:hRule="exact" w:hSpace="0" w:vSpace="0" w:wrap="around" w:xAlign="inside" w:y="13042" w:anchorLock="0"/>
    </w:pPr>
    <w:r w:rsidRPr="00C0489F">
      <w:instrText>""</w:instrText>
    </w: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instrText>5</w:instrText>
    </w:r>
    <w:r w:rsidRPr="00C0489F">
      <w:fldChar w:fldCharType="end"/>
    </w:r>
    <w:r w:rsidRPr="00C0489F">
      <w:instrText>"</w:instrText>
    </w:r>
    <w:r w:rsidRPr="00C0489F">
      <w:fldChar w:fldCharType="separate"/>
    </w:r>
    <w:r w:rsidRPr="00C0489F">
      <w:t>5</w:t>
    </w:r>
    <w:r w:rsidRPr="00C0489F">
      <w:fldChar w:fldCharType="end"/>
    </w:r>
  </w:p>
  <w:p w:rsidR="00F832AB" w:rsidRPr="00C0489F" w:rsidRDefault="00F832A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fotV"/>
      <w:framePr w:w="8732" w:h="284" w:hRule="exact" w:hSpace="0" w:vSpace="0" w:wrap="around" w:xAlign="inside" w:y="13042" w:anchorLock="0"/>
    </w:pP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t>2</w:t>
    </w:r>
    <w:r w:rsidRPr="00C0489F">
      <w:fldChar w:fldCharType="end"/>
    </w:r>
  </w:p>
  <w:p w:rsidR="00F832AB" w:rsidRPr="00C0489F" w:rsidRDefault="00F832A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fotH"/>
      <w:framePr w:w="8732" w:h="284" w:hRule="exact" w:hSpace="0" w:vSpace="0" w:wrap="around" w:xAlign="inside" w:y="13042" w:anchorLock="0"/>
    </w:pP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t>3</w:t>
    </w:r>
    <w:r w:rsidRPr="00C0489F">
      <w:fldChar w:fldCharType="end"/>
    </w:r>
  </w:p>
  <w:p w:rsidR="00F832AB" w:rsidRPr="00C0489F" w:rsidRDefault="00F832A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fotV"/>
      <w:framePr w:w="8732" w:h="284" w:hRule="exact" w:hSpace="0" w:vSpace="0" w:wrap="around" w:xAlign="inside" w:y="13042" w:anchorLock="0"/>
    </w:pPr>
    <w:r w:rsidRPr="00C0489F">
      <w:fldChar w:fldCharType="begin" w:fldLock="1"/>
    </w:r>
    <w:r w:rsidRPr="00C0489F">
      <w:instrText xml:space="preserve"> if </w:instrText>
    </w:r>
    <w:r w:rsidRPr="00C0489F">
      <w:fldChar w:fldCharType="begin" w:fldLock="1"/>
    </w:r>
    <w:r w:rsidRPr="00C0489F">
      <w:instrText xml:space="preserve"> = </w:instrText>
    </w:r>
    <w:r w:rsidRPr="00C0489F">
      <w:fldChar w:fldCharType="begin" w:fldLock="1"/>
    </w:r>
    <w:r w:rsidRPr="00C0489F">
      <w:instrText xml:space="preserve"> = </w:instrText>
    </w:r>
    <w:r w:rsidRPr="00C0489F">
      <w:fldChar w:fldCharType="begin" w:fldLock="1"/>
    </w:r>
    <w:r w:rsidRPr="00C0489F">
      <w:instrText xml:space="preserve"> page</w:instrText>
    </w:r>
    <w:r w:rsidRPr="00C0489F">
      <w:fldChar w:fldCharType="separate"/>
    </w:r>
    <w:r w:rsidRPr="00C0489F">
      <w:instrText>6</w:instrText>
    </w:r>
    <w:r w:rsidRPr="00C0489F">
      <w:fldChar w:fldCharType="end"/>
    </w:r>
    <w:r w:rsidRPr="00C0489F">
      <w:instrText xml:space="preserve">/2 </w:instrText>
    </w:r>
    <w:r w:rsidRPr="00C0489F">
      <w:fldChar w:fldCharType="separate"/>
    </w:r>
    <w:r w:rsidRPr="00C0489F">
      <w:instrText>3</w:instrText>
    </w:r>
    <w:r w:rsidRPr="00C0489F">
      <w:fldChar w:fldCharType="end"/>
    </w:r>
    <w:r w:rsidRPr="00C0489F">
      <w:instrText xml:space="preserve"> - </w:instrText>
    </w:r>
    <w:r w:rsidRPr="00C0489F">
      <w:fldChar w:fldCharType="begin" w:fldLock="1"/>
    </w:r>
    <w:r w:rsidRPr="00C0489F">
      <w:instrText xml:space="preserve"> = int(</w:instrText>
    </w:r>
    <w:r w:rsidRPr="00C0489F">
      <w:fldChar w:fldCharType="begin" w:fldLock="1"/>
    </w:r>
    <w:r w:rsidRPr="00C0489F">
      <w:instrText xml:space="preserve"> page</w:instrText>
    </w:r>
    <w:r w:rsidRPr="00C0489F">
      <w:fldChar w:fldCharType="separate"/>
    </w:r>
    <w:r w:rsidRPr="00C0489F">
      <w:instrText>6</w:instrText>
    </w:r>
    <w:r w:rsidRPr="00C0489F">
      <w:fldChar w:fldCharType="end"/>
    </w:r>
    <w:r w:rsidRPr="00C0489F">
      <w:instrText xml:space="preserve">/2) </w:instrText>
    </w:r>
    <w:r w:rsidRPr="00C0489F">
      <w:fldChar w:fldCharType="separate"/>
    </w:r>
    <w:r w:rsidRPr="00C0489F">
      <w:instrText>3</w:instrText>
    </w:r>
    <w:r w:rsidRPr="00C0489F">
      <w:fldChar w:fldCharType="end"/>
    </w:r>
    <w:r w:rsidRPr="00C0489F">
      <w:fldChar w:fldCharType="separate"/>
    </w:r>
    <w:r w:rsidRPr="00C0489F">
      <w:instrText>0</w:instrText>
    </w:r>
    <w:r w:rsidRPr="00C0489F">
      <w:fldChar w:fldCharType="end"/>
    </w:r>
    <w:r w:rsidRPr="00C0489F">
      <w:instrText xml:space="preserve"> = 0 "</w:instrText>
    </w: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instrText>6</w:instrText>
    </w:r>
    <w:r w:rsidRPr="00C0489F">
      <w:fldChar w:fldCharType="end"/>
    </w:r>
  </w:p>
  <w:p w:rsidR="00F832AB" w:rsidRPr="00C0489F" w:rsidRDefault="00F832AB">
    <w:pPr>
      <w:pStyle w:val="SidfotV"/>
      <w:framePr w:w="8732" w:h="284" w:hRule="exact" w:hSpace="0" w:vSpace="0" w:wrap="around" w:xAlign="inside" w:y="13042" w:anchorLock="0"/>
    </w:pPr>
    <w:r w:rsidRPr="00C0489F">
      <w:instrText>""</w:instrText>
    </w: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instrText>5</w:instrText>
    </w:r>
    <w:r w:rsidRPr="00C0489F">
      <w:fldChar w:fldCharType="end"/>
    </w:r>
    <w:r w:rsidRPr="00C0489F">
      <w:instrText>"</w:instrText>
    </w:r>
    <w:r w:rsidRPr="00C0489F">
      <w:fldChar w:fldCharType="separate"/>
    </w:r>
    <w:r w:rsidRPr="00C0489F">
      <w:fldChar w:fldCharType="begin" w:fldLock="1"/>
    </w:r>
    <w:r w:rsidRPr="00C0489F">
      <w:instrText xml:space="preserve"> P</w:instrText>
    </w:r>
    <w:r w:rsidRPr="00C0489F">
      <w:instrText>A</w:instrText>
    </w:r>
    <w:r w:rsidRPr="00C0489F">
      <w:instrText xml:space="preserve">GE </w:instrText>
    </w:r>
    <w:r w:rsidRPr="00C0489F">
      <w:fldChar w:fldCharType="separate"/>
    </w:r>
    <w:r w:rsidRPr="00C0489F">
      <w:t>6</w:t>
    </w:r>
    <w:r w:rsidRPr="00C0489F">
      <w:fldChar w:fldCharType="end"/>
    </w:r>
  </w:p>
  <w:p w:rsidR="00F832AB" w:rsidRPr="00C0489F" w:rsidRDefault="00F832AB">
    <w:pPr>
      <w:pStyle w:val="SidfotH"/>
      <w:framePr w:w="8732" w:h="284" w:hRule="exact" w:hSpace="0" w:vSpace="0" w:wrap="around" w:xAlign="inside" w:y="13042" w:anchorLock="0"/>
    </w:pPr>
    <w:r w:rsidRPr="00C0489F">
      <w:fldChar w:fldCharType="end"/>
    </w:r>
  </w:p>
  <w:p w:rsidR="00F832AB" w:rsidRPr="00C0489F" w:rsidRDefault="00F832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2AB" w:rsidRPr="00C0489F" w:rsidRDefault="00F832AB">
      <w:pPr>
        <w:spacing w:before="0" w:line="240" w:lineRule="auto"/>
      </w:pPr>
      <w:r w:rsidRPr="00C0489F">
        <w:separator/>
      </w:r>
    </w:p>
  </w:footnote>
  <w:footnote w:type="continuationSeparator" w:id="0">
    <w:p w:rsidR="00F832AB" w:rsidRPr="00C0489F" w:rsidRDefault="00F832AB">
      <w:pPr>
        <w:spacing w:before="0" w:line="240" w:lineRule="auto"/>
      </w:pPr>
      <w:r w:rsidRPr="00C0489F">
        <w:continuationSeparator/>
      </w:r>
    </w:p>
  </w:footnote>
  <w:footnote w:id="1">
    <w:p w:rsidR="00F832AB" w:rsidRPr="00C0489F" w:rsidRDefault="00F832AB">
      <w:pPr>
        <w:pStyle w:val="Fotnotstextindrag"/>
      </w:pPr>
    </w:p>
    <w:p w:rsidR="00F832AB" w:rsidRPr="00C0489F" w:rsidRDefault="00F832AB">
      <w:pPr>
        <w:pStyle w:val="Fotnotstextindra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huvudKantJmn"/>
      <w:framePr w:w="8732" w:h="567" w:hRule="exact" w:vSpace="0" w:wrap="around" w:vAnchor="page" w:y="341" w:anchorLock="0"/>
    </w:pPr>
    <w:r w:rsidRPr="00C0489F">
      <w:rPr>
        <w:rStyle w:val="SidhuvudUtskott"/>
      </w:rPr>
      <w:t>2004/05:FöU1y</w:t>
    </w:r>
    <w:r w:rsidRPr="00C0489F">
      <w:t xml:space="preserve">     </w:t>
    </w:r>
    <w:r w:rsidRPr="00C0489F">
      <w:rPr>
        <w:rStyle w:val="SidhuvudBilaga"/>
      </w:rPr>
      <w:t xml:space="preserve"> </w:t>
    </w:r>
    <w:r w:rsidRPr="00C0489F">
      <w:rPr>
        <w:rStyle w:val="SidhuvudRubrikReferens"/>
      </w:rPr>
      <w:t>Till finansutskottet</w:t>
    </w:r>
  </w:p>
  <w:p w:rsidR="00F832AB" w:rsidRPr="00C0489F" w:rsidRDefault="00F832AB">
    <w:pPr>
      <w:pStyle w:val="SidhuvudKantJmn"/>
      <w:framePr w:w="8732" w:h="567" w:hRule="exact" w:vSpace="0" w:wrap="around" w:vAnchor="page" w:y="341" w:anchorLock="0"/>
    </w:pPr>
  </w:p>
  <w:p w:rsidR="00F832AB" w:rsidRPr="00C0489F" w:rsidRDefault="00F832A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huvudKantUdda"/>
      <w:framePr w:w="8732" w:h="567" w:hRule="exact" w:vSpace="0" w:wrap="around" w:vAnchor="page" w:y="341" w:anchorLock="0"/>
    </w:pPr>
    <w:r w:rsidRPr="00C0489F">
      <w:rPr>
        <w:rStyle w:val="SidhuvudRubrikReferens"/>
      </w:rPr>
      <w:t>Till finansutskottet</w:t>
    </w:r>
    <w:r w:rsidRPr="00C0489F">
      <w:rPr>
        <w:rStyle w:val="SidhuvudBilaga"/>
      </w:rPr>
      <w:t xml:space="preserve"> </w:t>
    </w:r>
    <w:r w:rsidRPr="00C0489F">
      <w:t xml:space="preserve">     </w:t>
    </w:r>
    <w:r w:rsidRPr="00C0489F">
      <w:rPr>
        <w:rStyle w:val="SidhuvudUtskott"/>
      </w:rPr>
      <w:t>2004/05:FöU1y</w:t>
    </w:r>
  </w:p>
  <w:p w:rsidR="00F832AB" w:rsidRPr="00C0489F" w:rsidRDefault="00F832AB">
    <w:pPr>
      <w:pStyle w:val="SidhuvudKantUdda"/>
      <w:framePr w:w="8732" w:h="567" w:hRule="exact" w:vSpace="0" w:wrap="around" w:vAnchor="page" w:y="341" w:anchorLock="0"/>
    </w:pPr>
  </w:p>
  <w:p w:rsidR="00F832AB" w:rsidRPr="00C0489F" w:rsidRDefault="00F832A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huvudKantJmn"/>
      <w:framePr w:w="8732" w:h="567" w:hRule="exact" w:vSpace="0" w:wrap="around" w:vAnchor="page" w:y="341" w:anchorLock="0"/>
    </w:pPr>
    <w:r w:rsidRPr="00C0489F">
      <w:fldChar w:fldCharType="begin" w:fldLock="1"/>
    </w:r>
    <w:r w:rsidRPr="00C0489F">
      <w:instrText xml:space="preserve"> if </w:instrText>
    </w:r>
    <w:r w:rsidRPr="00C0489F">
      <w:fldChar w:fldCharType="begin" w:fldLock="1"/>
    </w:r>
    <w:r w:rsidRPr="00C0489F">
      <w:instrText xml:space="preserve"> page</w:instrText>
    </w:r>
    <w:r w:rsidRPr="00C0489F">
      <w:fldChar w:fldCharType="separate"/>
    </w:r>
    <w:r w:rsidR="00C0489F">
      <w:rPr>
        <w:noProof/>
      </w:rPr>
      <w:instrText>1</w:instrText>
    </w:r>
    <w:r w:rsidRPr="00C0489F">
      <w:fldChar w:fldCharType="end"/>
    </w:r>
    <w:r w:rsidRPr="00C0489F">
      <w:instrText xml:space="preserve"> &gt; 1 "</w:instrText>
    </w:r>
    <w:r w:rsidRPr="00C0489F">
      <w:fldChar w:fldCharType="begin" w:fldLock="1"/>
    </w:r>
    <w:r w:rsidRPr="00C0489F">
      <w:instrText xml:space="preserve"> if </w:instrText>
    </w:r>
    <w:r w:rsidRPr="00C0489F">
      <w:fldChar w:fldCharType="begin" w:fldLock="1"/>
    </w:r>
    <w:r w:rsidRPr="00C0489F">
      <w:instrText xml:space="preserve"> = </w:instrText>
    </w:r>
    <w:r w:rsidRPr="00C0489F">
      <w:fldChar w:fldCharType="begin" w:fldLock="1"/>
    </w:r>
    <w:r w:rsidRPr="00C0489F">
      <w:instrText xml:space="preserve"> = </w:instrText>
    </w:r>
    <w:r w:rsidRPr="00C0489F">
      <w:fldChar w:fldCharType="begin" w:fldLock="1"/>
    </w:r>
    <w:r w:rsidRPr="00C0489F">
      <w:instrText xml:space="preserve"> page</w:instrText>
    </w:r>
    <w:r w:rsidRPr="00C0489F">
      <w:fldChar w:fldCharType="separate"/>
    </w:r>
    <w:r w:rsidRPr="00C0489F">
      <w:instrText>17</w:instrText>
    </w:r>
    <w:r w:rsidRPr="00C0489F">
      <w:fldChar w:fldCharType="end"/>
    </w:r>
    <w:r w:rsidRPr="00C0489F">
      <w:instrText xml:space="preserve">/2 </w:instrText>
    </w:r>
    <w:r w:rsidRPr="00C0489F">
      <w:fldChar w:fldCharType="separate"/>
    </w:r>
    <w:r w:rsidRPr="00C0489F">
      <w:instrText>8,5</w:instrText>
    </w:r>
    <w:r w:rsidRPr="00C0489F">
      <w:fldChar w:fldCharType="end"/>
    </w:r>
    <w:r w:rsidRPr="00C0489F">
      <w:instrText xml:space="preserve"> - </w:instrText>
    </w:r>
    <w:r w:rsidRPr="00C0489F">
      <w:fldChar w:fldCharType="begin" w:fldLock="1"/>
    </w:r>
    <w:r w:rsidRPr="00C0489F">
      <w:instrText xml:space="preserve"> = int(</w:instrText>
    </w:r>
    <w:r w:rsidRPr="00C0489F">
      <w:fldChar w:fldCharType="begin" w:fldLock="1"/>
    </w:r>
    <w:r w:rsidRPr="00C0489F">
      <w:instrText xml:space="preserve"> page</w:instrText>
    </w:r>
    <w:r w:rsidRPr="00C0489F">
      <w:fldChar w:fldCharType="separate"/>
    </w:r>
    <w:r w:rsidRPr="00C0489F">
      <w:instrText>17</w:instrText>
    </w:r>
    <w:r w:rsidRPr="00C0489F">
      <w:fldChar w:fldCharType="end"/>
    </w:r>
    <w:r w:rsidRPr="00C0489F">
      <w:instrText xml:space="preserve">/2) </w:instrText>
    </w:r>
    <w:r w:rsidRPr="00C0489F">
      <w:fldChar w:fldCharType="separate"/>
    </w:r>
    <w:r w:rsidRPr="00C0489F">
      <w:instrText>8</w:instrText>
    </w:r>
    <w:r w:rsidRPr="00C0489F">
      <w:fldChar w:fldCharType="end"/>
    </w:r>
    <w:r w:rsidRPr="00C0489F">
      <w:fldChar w:fldCharType="separate"/>
    </w:r>
    <w:r w:rsidRPr="00C0489F">
      <w:instrText>0,5</w:instrText>
    </w:r>
    <w:r w:rsidRPr="00C0489F">
      <w:fldChar w:fldCharType="end"/>
    </w:r>
    <w:r w:rsidRPr="00C0489F">
      <w:instrText xml:space="preserve"> = 0 "</w:instrText>
    </w:r>
    <w:r w:rsidRPr="00C0489F">
      <w:rPr>
        <w:rStyle w:val="SidhuvudUtskott"/>
      </w:rPr>
      <w:fldChar w:fldCharType="begin" w:fldLock="1"/>
    </w:r>
    <w:r w:rsidRPr="00C0489F">
      <w:rPr>
        <w:rStyle w:val="SidhuvudUtskott"/>
      </w:rPr>
      <w:instrText xml:space="preserve"> DOCPROPERTY BetänkandeÅr</w:instrText>
    </w:r>
    <w:r w:rsidRPr="00C0489F">
      <w:rPr>
        <w:rStyle w:val="SidhuvudUtskott"/>
      </w:rPr>
      <w:fldChar w:fldCharType="separate"/>
    </w:r>
    <w:r w:rsidRPr="00C0489F">
      <w:rPr>
        <w:rStyle w:val="SidhuvudUtskott"/>
      </w:rPr>
      <w:instrText>1999/2000</w:instrText>
    </w:r>
    <w:r w:rsidRPr="00C0489F">
      <w:rPr>
        <w:rStyle w:val="SidhuvudUtskott"/>
      </w:rPr>
      <w:fldChar w:fldCharType="end"/>
    </w:r>
    <w:r w:rsidRPr="00C0489F">
      <w:rPr>
        <w:rStyle w:val="SidhuvudUtskott"/>
      </w:rPr>
      <w:instrText>:</w:instrText>
    </w:r>
    <w:r w:rsidRPr="00C0489F">
      <w:rPr>
        <w:rStyle w:val="SidhuvudUtskott"/>
      </w:rPr>
      <w:fldChar w:fldCharType="begin" w:fldLock="1"/>
    </w:r>
    <w:r w:rsidRPr="00C0489F">
      <w:rPr>
        <w:rStyle w:val="SidhuvudUtskott"/>
      </w:rPr>
      <w:instrText xml:space="preserve"> DOCPR</w:instrText>
    </w:r>
    <w:r w:rsidRPr="00C0489F">
      <w:rPr>
        <w:rStyle w:val="SidhuvudUtskott"/>
      </w:rPr>
      <w:instrText>O</w:instrText>
    </w:r>
    <w:r w:rsidRPr="00C0489F">
      <w:rPr>
        <w:rStyle w:val="SidhuvudUtskott"/>
      </w:rPr>
      <w:instrText>PE</w:instrText>
    </w:r>
    <w:r w:rsidRPr="00C0489F">
      <w:rPr>
        <w:rStyle w:val="SidhuvudUtskott"/>
      </w:rPr>
      <w:instrText>R</w:instrText>
    </w:r>
    <w:r w:rsidRPr="00C0489F">
      <w:rPr>
        <w:rStyle w:val="SidhuvudUtskott"/>
      </w:rPr>
      <w:instrText>TY Utskott</w:instrText>
    </w:r>
    <w:r w:rsidRPr="00C0489F">
      <w:rPr>
        <w:rStyle w:val="SidhuvudUtskott"/>
      </w:rPr>
      <w:fldChar w:fldCharType="separate"/>
    </w:r>
    <w:r w:rsidRPr="00C0489F">
      <w:rPr>
        <w:rStyle w:val="SidhuvudUtskott"/>
      </w:rPr>
      <w:instrText>BoU</w:instrText>
    </w:r>
    <w:r w:rsidRPr="00C0489F">
      <w:rPr>
        <w:rStyle w:val="SidhuvudUtskott"/>
      </w:rPr>
      <w:fldChar w:fldCharType="end"/>
    </w:r>
    <w:r w:rsidRPr="00C0489F">
      <w:rPr>
        <w:rStyle w:val="SidhuvudUtskott"/>
      </w:rPr>
      <w:fldChar w:fldCharType="begin" w:fldLock="1"/>
    </w:r>
    <w:r w:rsidRPr="00C0489F">
      <w:rPr>
        <w:rStyle w:val="SidhuvudUtskott"/>
      </w:rPr>
      <w:instrText xml:space="preserve"> DOCPROPERTY BetänkandeNr</w:instrText>
    </w:r>
    <w:r w:rsidRPr="00C0489F">
      <w:rPr>
        <w:rStyle w:val="SidhuvudUtskott"/>
      </w:rPr>
      <w:fldChar w:fldCharType="separate"/>
    </w:r>
    <w:r w:rsidRPr="00C0489F">
      <w:rPr>
        <w:rStyle w:val="SidhuvudUtskott"/>
      </w:rPr>
      <w:instrText>6678</w:instrText>
    </w:r>
    <w:r w:rsidRPr="00C0489F">
      <w:rPr>
        <w:rStyle w:val="SidhuvudUtskott"/>
      </w:rPr>
      <w:fldChar w:fldCharType="end"/>
    </w:r>
    <w:r w:rsidRPr="00C0489F">
      <w:instrText xml:space="preserve">    </w:instrText>
    </w:r>
  </w:p>
  <w:p w:rsidR="00F832AB" w:rsidRPr="00C0489F" w:rsidRDefault="00F832AB">
    <w:pPr>
      <w:pStyle w:val="SidhuvudKantJmn"/>
      <w:framePr w:w="8732" w:h="567" w:hRule="exact" w:vSpace="0" w:wrap="around" w:vAnchor="page" w:y="341" w:anchorLock="0"/>
    </w:pPr>
    <w:r w:rsidRPr="00C0489F">
      <w:rPr>
        <w:rStyle w:val="SidhuvudUtskott"/>
      </w:rPr>
      <w:fldChar w:fldCharType="begin" w:fldLock="1"/>
    </w:r>
    <w:r w:rsidRPr="00C0489F">
      <w:rPr>
        <w:rStyle w:val="SidhuvudUtskott"/>
      </w:rPr>
      <w:instrText xml:space="preserve"> DOCPROPERTY Status</w:instrText>
    </w:r>
    <w:r w:rsidRPr="00C0489F">
      <w:rPr>
        <w:rStyle w:val="SidhuvudUtskott"/>
      </w:rPr>
      <w:fldChar w:fldCharType="separate"/>
    </w:r>
    <w:r w:rsidRPr="00C0489F">
      <w:rPr>
        <w:rStyle w:val="SidhuvudUtskott"/>
      </w:rPr>
      <w:instrText>Utkast</w:instrText>
    </w:r>
    <w:r w:rsidRPr="00C0489F">
      <w:rPr>
        <w:rStyle w:val="SidhuvudUtskott"/>
      </w:rPr>
      <w:fldChar w:fldCharType="end"/>
    </w:r>
    <w:r w:rsidRPr="00C0489F">
      <w:rPr>
        <w:rStyle w:val="SidhuvudUtskott"/>
      </w:rPr>
      <w:fldChar w:fldCharType="begin" w:fldLock="1"/>
    </w:r>
    <w:r w:rsidRPr="00C0489F">
      <w:rPr>
        <w:rStyle w:val="SidhuvudUtskott"/>
      </w:rPr>
      <w:instrText xml:space="preserve"> if </w:instrText>
    </w:r>
    <w:r w:rsidRPr="00C0489F">
      <w:rPr>
        <w:rStyle w:val="SidhuvudUtskott"/>
      </w:rPr>
      <w:fldChar w:fldCharType="begin" w:fldLock="1"/>
    </w:r>
    <w:r w:rsidRPr="00C0489F">
      <w:rPr>
        <w:rStyle w:val="SidhuvudUtskott"/>
      </w:rPr>
      <w:instrText xml:space="preserve"> DOCPROPERTY "UtkastDatum"</w:instrText>
    </w:r>
    <w:r w:rsidRPr="00C0489F">
      <w:rPr>
        <w:rStyle w:val="SidhuvudUtskott"/>
      </w:rPr>
      <w:fldChar w:fldCharType="separate"/>
    </w:r>
    <w:r w:rsidRPr="00C0489F">
      <w:rPr>
        <w:rStyle w:val="SidhuvudUtskott"/>
      </w:rPr>
      <w:instrText>Nej</w:instrText>
    </w:r>
    <w:r w:rsidRPr="00C0489F">
      <w:rPr>
        <w:rStyle w:val="SidhuvudUtskott"/>
      </w:rPr>
      <w:fldChar w:fldCharType="end"/>
    </w:r>
    <w:r w:rsidRPr="00C0489F">
      <w:rPr>
        <w:rStyle w:val="SidhuvudUtskott"/>
      </w:rPr>
      <w:instrText xml:space="preserve"> = "Ja" "    </w:instrText>
    </w:r>
    <w:r w:rsidRPr="00C0489F">
      <w:rPr>
        <w:rStyle w:val="SidhuvudUtskott"/>
      </w:rPr>
      <w:fldChar w:fldCharType="begin" w:fldLock="1"/>
    </w:r>
    <w:r w:rsidRPr="00C0489F">
      <w:rPr>
        <w:rStyle w:val="SidhuvudUtskott"/>
      </w:rPr>
      <w:instrText xml:space="preserve"> PRINTDATE \@ "yyyy-MM-dd HH.mm" </w:instrText>
    </w:r>
    <w:r w:rsidRPr="00C0489F">
      <w:rPr>
        <w:rStyle w:val="SidhuvudUtskott"/>
      </w:rPr>
      <w:fldChar w:fldCharType="separate"/>
    </w:r>
    <w:r w:rsidRPr="00C0489F">
      <w:rPr>
        <w:rStyle w:val="SidhuvudUtskott"/>
      </w:rPr>
      <w:instrText>2000-08-11 16.42</w:instrText>
    </w:r>
    <w:r w:rsidRPr="00C0489F">
      <w:rPr>
        <w:rStyle w:val="SidhuvudUtskott"/>
      </w:rPr>
      <w:fldChar w:fldCharType="end"/>
    </w:r>
    <w:r w:rsidRPr="00C0489F">
      <w:rPr>
        <w:rStyle w:val="SidhuvudUtskott"/>
      </w:rPr>
      <w:instrText xml:space="preserve">" </w:instrText>
    </w:r>
    <w:r w:rsidRPr="00C0489F">
      <w:rPr>
        <w:rStyle w:val="SidhuvudUtskott"/>
      </w:rPr>
      <w:fldChar w:fldCharType="separate"/>
    </w:r>
    <w:r w:rsidRPr="00C0489F">
      <w:rPr>
        <w:rStyle w:val="SidhuvudUtskott"/>
      </w:rPr>
      <w:fldChar w:fldCharType="end"/>
    </w:r>
  </w:p>
  <w:p w:rsidR="00F832AB" w:rsidRPr="00C0489F" w:rsidRDefault="00F832AB">
    <w:pPr>
      <w:pStyle w:val="SidhuvudKantUdda"/>
      <w:framePr w:w="8732" w:h="567" w:hRule="exact" w:vSpace="0" w:wrap="around" w:vAnchor="page" w:y="341" w:anchorLock="0"/>
    </w:pPr>
    <w:r w:rsidRPr="00C0489F">
      <w:rPr>
        <w:rStyle w:val="SidhuvudRubrikReferens"/>
        <w:smallCaps w:val="0"/>
      </w:rPr>
      <w:instrText xml:space="preserve"> </w:instrText>
    </w:r>
    <w:r w:rsidRPr="00C0489F">
      <w:instrText xml:space="preserve">"  "  </w:instrText>
    </w:r>
    <w:r w:rsidRPr="00C0489F">
      <w:rPr>
        <w:rStyle w:val="SidhuvudUtskott"/>
      </w:rPr>
      <w:fldChar w:fldCharType="begin" w:fldLock="1"/>
    </w:r>
    <w:r w:rsidRPr="00C0489F">
      <w:rPr>
        <w:rStyle w:val="SidhuvudUtskott"/>
      </w:rPr>
      <w:instrText xml:space="preserve"> DOCPROPERTY BetänkandeÅr</w:instrText>
    </w:r>
    <w:r w:rsidRPr="00C0489F">
      <w:rPr>
        <w:rStyle w:val="SidhuvudUtskott"/>
      </w:rPr>
      <w:fldChar w:fldCharType="separate"/>
    </w:r>
    <w:r w:rsidRPr="00C0489F">
      <w:rPr>
        <w:rStyle w:val="SidhuvudUtskott"/>
      </w:rPr>
      <w:instrText>1999/2000</w:instrText>
    </w:r>
    <w:r w:rsidRPr="00C0489F">
      <w:rPr>
        <w:rStyle w:val="SidhuvudUtskott"/>
      </w:rPr>
      <w:fldChar w:fldCharType="end"/>
    </w:r>
    <w:r w:rsidRPr="00C0489F">
      <w:rPr>
        <w:rStyle w:val="SidhuvudUtskott"/>
      </w:rPr>
      <w:instrText>:</w:instrText>
    </w:r>
    <w:r w:rsidRPr="00C0489F">
      <w:rPr>
        <w:rStyle w:val="SidhuvudUtskott"/>
      </w:rPr>
      <w:fldChar w:fldCharType="begin" w:fldLock="1"/>
    </w:r>
    <w:r w:rsidRPr="00C0489F">
      <w:rPr>
        <w:rStyle w:val="SidhuvudUtskott"/>
      </w:rPr>
      <w:instrText xml:space="preserve"> DOCPROPERTY Utskott</w:instrText>
    </w:r>
    <w:r w:rsidRPr="00C0489F">
      <w:rPr>
        <w:rStyle w:val="SidhuvudUtskott"/>
      </w:rPr>
      <w:fldChar w:fldCharType="separate"/>
    </w:r>
    <w:r w:rsidRPr="00C0489F">
      <w:rPr>
        <w:rStyle w:val="SidhuvudUtskott"/>
      </w:rPr>
      <w:instrText>BoU</w:instrText>
    </w:r>
    <w:r w:rsidRPr="00C0489F">
      <w:rPr>
        <w:rStyle w:val="SidhuvudUtskott"/>
      </w:rPr>
      <w:fldChar w:fldCharType="end"/>
    </w:r>
    <w:r w:rsidRPr="00C0489F">
      <w:rPr>
        <w:rStyle w:val="SidhuvudUtskott"/>
      </w:rPr>
      <w:fldChar w:fldCharType="begin" w:fldLock="1"/>
    </w:r>
    <w:r w:rsidRPr="00C0489F">
      <w:rPr>
        <w:rStyle w:val="SidhuvudUtskott"/>
      </w:rPr>
      <w:instrText xml:space="preserve"> DOCPROPERTY BetänkandeNr</w:instrText>
    </w:r>
    <w:r w:rsidRPr="00C0489F">
      <w:rPr>
        <w:rStyle w:val="SidhuvudUtskott"/>
      </w:rPr>
      <w:fldChar w:fldCharType="separate"/>
    </w:r>
    <w:r w:rsidRPr="00C0489F">
      <w:rPr>
        <w:rStyle w:val="SidhuvudUtskott"/>
      </w:rPr>
      <w:instrText>6678</w:instrText>
    </w:r>
    <w:r w:rsidRPr="00C0489F">
      <w:rPr>
        <w:rStyle w:val="SidhuvudUtskott"/>
      </w:rPr>
      <w:fldChar w:fldCharType="end"/>
    </w:r>
  </w:p>
  <w:p w:rsidR="00F832AB" w:rsidRPr="00C0489F" w:rsidRDefault="00F832AB">
    <w:pPr>
      <w:pStyle w:val="SidhuvudKantUdda"/>
      <w:framePr w:w="8732" w:h="567" w:hRule="exact" w:vSpace="0" w:wrap="around" w:vAnchor="page" w:y="341" w:anchorLock="0"/>
    </w:pPr>
    <w:r w:rsidRPr="00C0489F">
      <w:rPr>
        <w:rStyle w:val="SidhuvudUtskott"/>
      </w:rPr>
      <w:fldChar w:fldCharType="begin" w:fldLock="1"/>
    </w:r>
    <w:r w:rsidRPr="00C0489F">
      <w:rPr>
        <w:rStyle w:val="SidhuvudUtskott"/>
      </w:rPr>
      <w:instrText xml:space="preserve"> if </w:instrText>
    </w:r>
    <w:r w:rsidRPr="00C0489F">
      <w:rPr>
        <w:rStyle w:val="SidhuvudUtskott"/>
      </w:rPr>
      <w:fldChar w:fldCharType="begin" w:fldLock="1"/>
    </w:r>
    <w:r w:rsidRPr="00C0489F">
      <w:rPr>
        <w:rStyle w:val="SidhuvudUtskott"/>
      </w:rPr>
      <w:instrText xml:space="preserve"> DOCPROPERTY "UtkastDatum"</w:instrText>
    </w:r>
    <w:r w:rsidRPr="00C0489F">
      <w:rPr>
        <w:rStyle w:val="SidhuvudUtskott"/>
      </w:rPr>
      <w:fldChar w:fldCharType="separate"/>
    </w:r>
    <w:r w:rsidRPr="00C0489F">
      <w:rPr>
        <w:rStyle w:val="SidhuvudUtskott"/>
      </w:rPr>
      <w:instrText>Nej</w:instrText>
    </w:r>
    <w:r w:rsidRPr="00C0489F">
      <w:rPr>
        <w:rStyle w:val="SidhuvudUtskott"/>
      </w:rPr>
      <w:fldChar w:fldCharType="end"/>
    </w:r>
    <w:r w:rsidRPr="00C0489F">
      <w:rPr>
        <w:rStyle w:val="SidhuvudUtskott"/>
      </w:rPr>
      <w:instrText xml:space="preserve"> = "Ja" "</w:instrText>
    </w:r>
    <w:r w:rsidRPr="00C0489F">
      <w:rPr>
        <w:rStyle w:val="SidhuvudUtskott"/>
      </w:rPr>
      <w:fldChar w:fldCharType="begin" w:fldLock="1"/>
    </w:r>
    <w:r w:rsidRPr="00C0489F">
      <w:rPr>
        <w:rStyle w:val="SidhuvudUtskott"/>
      </w:rPr>
      <w:instrText xml:space="preserve"> PRINTDATE \@ "yyyy-MM-dd HH.mm    " </w:instrText>
    </w:r>
    <w:r w:rsidRPr="00C0489F">
      <w:rPr>
        <w:rStyle w:val="SidhuvudUtskott"/>
      </w:rPr>
      <w:fldChar w:fldCharType="separate"/>
    </w:r>
    <w:r w:rsidRPr="00C0489F">
      <w:rPr>
        <w:rStyle w:val="SidhuvudUtskott"/>
      </w:rPr>
      <w:instrText>2000-08-11 16.42</w:instrText>
    </w:r>
    <w:r w:rsidRPr="00C0489F">
      <w:rPr>
        <w:rStyle w:val="SidhuvudUtskott"/>
      </w:rPr>
      <w:fldChar w:fldCharType="end"/>
    </w:r>
    <w:r w:rsidRPr="00C0489F">
      <w:rPr>
        <w:rStyle w:val="SidhuvudUtskott"/>
      </w:rPr>
      <w:instrText xml:space="preserve">" </w:instrText>
    </w:r>
    <w:r w:rsidRPr="00C0489F">
      <w:rPr>
        <w:rStyle w:val="SidhuvudUtskott"/>
      </w:rPr>
      <w:fldChar w:fldCharType="separate"/>
    </w:r>
    <w:r w:rsidRPr="00C0489F">
      <w:rPr>
        <w:rStyle w:val="SidhuvudUtskott"/>
      </w:rPr>
      <w:fldChar w:fldCharType="end"/>
    </w:r>
    <w:r w:rsidRPr="00C0489F">
      <w:rPr>
        <w:rStyle w:val="SidhuvudUtskott"/>
      </w:rPr>
      <w:fldChar w:fldCharType="begin" w:fldLock="1"/>
    </w:r>
    <w:r w:rsidRPr="00C0489F">
      <w:rPr>
        <w:rStyle w:val="SidhuvudUtskott"/>
      </w:rPr>
      <w:instrText xml:space="preserve"> DOCPR</w:instrText>
    </w:r>
    <w:r w:rsidRPr="00C0489F">
      <w:rPr>
        <w:rStyle w:val="SidhuvudUtskott"/>
      </w:rPr>
      <w:instrText>O</w:instrText>
    </w:r>
    <w:r w:rsidRPr="00C0489F">
      <w:rPr>
        <w:rStyle w:val="SidhuvudUtskott"/>
      </w:rPr>
      <w:instrText>PERTY Status</w:instrText>
    </w:r>
    <w:r w:rsidRPr="00C0489F">
      <w:rPr>
        <w:rStyle w:val="SidhuvudUtskott"/>
      </w:rPr>
      <w:fldChar w:fldCharType="separate"/>
    </w:r>
    <w:r w:rsidRPr="00C0489F">
      <w:rPr>
        <w:rStyle w:val="SidhuvudUtskott"/>
      </w:rPr>
      <w:instrText>Utkast 2</w:instrText>
    </w:r>
    <w:r w:rsidRPr="00C0489F">
      <w:rPr>
        <w:rStyle w:val="SidhuvudUtskott"/>
      </w:rPr>
      <w:fldChar w:fldCharType="end"/>
    </w:r>
    <w:r w:rsidRPr="00C0489F">
      <w:instrText>"</w:instrText>
    </w:r>
    <w:r w:rsidRPr="00C0489F">
      <w:fldChar w:fldCharType="separate"/>
    </w:r>
    <w:r w:rsidRPr="00C0489F">
      <w:rPr>
        <w:position w:val="4"/>
        <w:sz w:val="28"/>
      </w:rPr>
      <w:instrText>|</w:instrText>
    </w:r>
    <w:r w:rsidRPr="00C0489F">
      <w:instrText xml:space="preserve">  </w:instrText>
    </w:r>
    <w:r w:rsidRPr="00C0489F">
      <w:rPr>
        <w:rStyle w:val="SidhuvudUtskott"/>
      </w:rPr>
      <w:fldChar w:fldCharType="begin" w:fldLock="1"/>
    </w:r>
    <w:r w:rsidRPr="00C0489F">
      <w:rPr>
        <w:rStyle w:val="SidhuvudUtskott"/>
      </w:rPr>
      <w:instrText xml:space="preserve"> DOCPROPERTY BetänkandeÅr</w:instrText>
    </w:r>
    <w:r w:rsidRPr="00C0489F">
      <w:rPr>
        <w:rStyle w:val="SidhuvudUtskott"/>
      </w:rPr>
      <w:fldChar w:fldCharType="separate"/>
    </w:r>
    <w:r w:rsidRPr="00C0489F">
      <w:rPr>
        <w:rStyle w:val="SidhuvudUtskott"/>
      </w:rPr>
      <w:instrText>1999/2000</w:instrText>
    </w:r>
    <w:r w:rsidRPr="00C0489F">
      <w:rPr>
        <w:rStyle w:val="SidhuvudUtskott"/>
      </w:rPr>
      <w:fldChar w:fldCharType="end"/>
    </w:r>
    <w:r w:rsidRPr="00C0489F">
      <w:rPr>
        <w:rStyle w:val="SidhuvudUtskott"/>
      </w:rPr>
      <w:instrText>:</w:instrText>
    </w:r>
    <w:r w:rsidRPr="00C0489F">
      <w:rPr>
        <w:rStyle w:val="SidhuvudUtskott"/>
      </w:rPr>
      <w:fldChar w:fldCharType="begin" w:fldLock="1"/>
    </w:r>
    <w:r w:rsidRPr="00C0489F">
      <w:rPr>
        <w:rStyle w:val="SidhuvudUtskott"/>
      </w:rPr>
      <w:instrText xml:space="preserve"> DOCPROPERTY Utskott</w:instrText>
    </w:r>
    <w:r w:rsidRPr="00C0489F">
      <w:rPr>
        <w:rStyle w:val="SidhuvudUtskott"/>
      </w:rPr>
      <w:fldChar w:fldCharType="separate"/>
    </w:r>
    <w:r w:rsidRPr="00C0489F">
      <w:rPr>
        <w:rStyle w:val="SidhuvudUtskott"/>
      </w:rPr>
      <w:instrText>BoU</w:instrText>
    </w:r>
    <w:r w:rsidRPr="00C0489F">
      <w:rPr>
        <w:rStyle w:val="SidhuvudUtskott"/>
      </w:rPr>
      <w:fldChar w:fldCharType="end"/>
    </w:r>
    <w:r w:rsidRPr="00C0489F">
      <w:rPr>
        <w:rStyle w:val="SidhuvudUtskott"/>
      </w:rPr>
      <w:fldChar w:fldCharType="begin" w:fldLock="1"/>
    </w:r>
    <w:r w:rsidRPr="00C0489F">
      <w:rPr>
        <w:rStyle w:val="SidhuvudUtskott"/>
      </w:rPr>
      <w:instrText xml:space="preserve"> DOCPROPERTY BetänkandeNr</w:instrText>
    </w:r>
    <w:r w:rsidRPr="00C0489F">
      <w:rPr>
        <w:rStyle w:val="SidhuvudUtskott"/>
      </w:rPr>
      <w:fldChar w:fldCharType="separate"/>
    </w:r>
    <w:r w:rsidRPr="00C0489F">
      <w:rPr>
        <w:rStyle w:val="SidhuvudUtskott"/>
      </w:rPr>
      <w:instrText>6678</w:instrText>
    </w:r>
    <w:r w:rsidRPr="00C0489F">
      <w:rPr>
        <w:rStyle w:val="SidhuvudUtskott"/>
      </w:rPr>
      <w:fldChar w:fldCharType="end"/>
    </w:r>
  </w:p>
  <w:p w:rsidR="00F832AB" w:rsidRPr="00C0489F" w:rsidRDefault="00F832AB">
    <w:pPr>
      <w:pStyle w:val="SidhuvudKantUdda"/>
      <w:framePr w:w="8732" w:h="567" w:hRule="exact" w:vSpace="0" w:wrap="around" w:vAnchor="page" w:y="341" w:anchorLock="0"/>
    </w:pPr>
    <w:r w:rsidRPr="00C0489F">
      <w:rPr>
        <w:rStyle w:val="SidhuvudUtskott"/>
      </w:rPr>
      <w:fldChar w:fldCharType="begin" w:fldLock="1"/>
    </w:r>
    <w:r w:rsidRPr="00C0489F">
      <w:rPr>
        <w:rStyle w:val="SidhuvudUtskott"/>
      </w:rPr>
      <w:instrText xml:space="preserve"> DOCPROPERTY Status</w:instrText>
    </w:r>
    <w:r w:rsidRPr="00C0489F">
      <w:rPr>
        <w:rStyle w:val="SidhuvudUtskott"/>
      </w:rPr>
      <w:fldChar w:fldCharType="separate"/>
    </w:r>
    <w:r w:rsidRPr="00C0489F">
      <w:rPr>
        <w:rStyle w:val="SidhuvudUtskott"/>
      </w:rPr>
      <w:instrText>Utkast 2</w:instrText>
    </w:r>
    <w:r w:rsidRPr="00C0489F">
      <w:rPr>
        <w:rStyle w:val="SidhuvudUtskott"/>
      </w:rPr>
      <w:fldChar w:fldCharType="end"/>
    </w:r>
    <w:r w:rsidRPr="00C0489F">
      <w:fldChar w:fldCharType="end"/>
    </w:r>
    <w:r w:rsidRPr="00C0489F">
      <w:instrText>" " "</w:instrText>
    </w:r>
    <w:r w:rsidRPr="00C0489F">
      <w:fldChar w:fldCharType="separate"/>
    </w:r>
    <w:r w:rsidR="00C0489F" w:rsidRPr="00C0489F">
      <w:rPr>
        <w:noProof/>
      </w:rPr>
      <w:t xml:space="preserve"> </w:t>
    </w:r>
    <w:r w:rsidRPr="00C0489F">
      <w:fldChar w:fldCharType="end"/>
    </w:r>
  </w:p>
  <w:p w:rsidR="00F832AB" w:rsidRPr="00C0489F" w:rsidRDefault="00F832A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huvudKantJmn"/>
      <w:framePr w:w="8732" w:h="567" w:hRule="exact" w:vSpace="0" w:wrap="around" w:vAnchor="page" w:y="341" w:anchorLock="0"/>
    </w:pPr>
    <w:r w:rsidRPr="00C0489F">
      <w:rPr>
        <w:rStyle w:val="SidhuvudUtskott"/>
      </w:rPr>
      <w:fldChar w:fldCharType="begin" w:fldLock="1"/>
    </w:r>
    <w:r w:rsidRPr="00C0489F">
      <w:rPr>
        <w:rStyle w:val="SidhuvudUtskott"/>
      </w:rPr>
      <w:instrText xml:space="preserve"> DOCPROPERTY BetänkandeÅr</w:instrText>
    </w:r>
    <w:r w:rsidRPr="00C0489F">
      <w:rPr>
        <w:rStyle w:val="SidhuvudUtskott"/>
      </w:rPr>
      <w:fldChar w:fldCharType="separate"/>
    </w:r>
    <w:r w:rsidRPr="00C0489F">
      <w:rPr>
        <w:rStyle w:val="SidhuvudUtskott"/>
      </w:rPr>
      <w:t>2004/05</w:t>
    </w:r>
    <w:r w:rsidRPr="00C0489F">
      <w:rPr>
        <w:rStyle w:val="SidhuvudUtskott"/>
      </w:rPr>
      <w:fldChar w:fldCharType="end"/>
    </w:r>
    <w:r w:rsidRPr="00C0489F">
      <w:rPr>
        <w:rStyle w:val="SidhuvudUtskott"/>
      </w:rPr>
      <w:t>:</w:t>
    </w:r>
    <w:r w:rsidRPr="00C0489F">
      <w:rPr>
        <w:rStyle w:val="SidhuvudUtskott"/>
      </w:rPr>
      <w:fldChar w:fldCharType="begin" w:fldLock="1"/>
    </w:r>
    <w:r w:rsidRPr="00C0489F">
      <w:rPr>
        <w:rStyle w:val="SidhuvudUtskott"/>
      </w:rPr>
      <w:instrText xml:space="preserve"> DOCPROPERTY Utskott</w:instrText>
    </w:r>
    <w:r w:rsidRPr="00C0489F">
      <w:rPr>
        <w:rStyle w:val="SidhuvudUtskott"/>
      </w:rPr>
      <w:fldChar w:fldCharType="separate"/>
    </w:r>
    <w:r w:rsidRPr="00C0489F">
      <w:rPr>
        <w:rStyle w:val="SidhuvudUtskott"/>
      </w:rPr>
      <w:t>FöU</w:t>
    </w:r>
    <w:r w:rsidRPr="00C0489F">
      <w:rPr>
        <w:rStyle w:val="SidhuvudUtskott"/>
      </w:rPr>
      <w:fldChar w:fldCharType="end"/>
    </w:r>
    <w:r w:rsidRPr="00C0489F">
      <w:rPr>
        <w:rStyle w:val="SidhuvudUtskott"/>
      </w:rPr>
      <w:fldChar w:fldCharType="begin" w:fldLock="1"/>
    </w:r>
    <w:r w:rsidRPr="00C0489F">
      <w:rPr>
        <w:rStyle w:val="SidhuvudUtskott"/>
      </w:rPr>
      <w:instrText xml:space="preserve"> DOCPROPERTY BetänkandeNr</w:instrText>
    </w:r>
    <w:r w:rsidRPr="00C0489F">
      <w:rPr>
        <w:rStyle w:val="SidhuvudUtskott"/>
      </w:rPr>
      <w:fldChar w:fldCharType="separate"/>
    </w:r>
    <w:r w:rsidRPr="00C0489F">
      <w:rPr>
        <w:rStyle w:val="SidhuvudUtskott"/>
      </w:rPr>
      <w:t>1y</w:t>
    </w:r>
    <w:r w:rsidRPr="00C0489F">
      <w:rPr>
        <w:rStyle w:val="SidhuvudUtskott"/>
      </w:rPr>
      <w:fldChar w:fldCharType="end"/>
    </w:r>
    <w:r w:rsidRPr="00C0489F">
      <w:t xml:space="preserve">     </w:t>
    </w:r>
    <w:r w:rsidRPr="00C0489F">
      <w:rPr>
        <w:rStyle w:val="SidhuvudBilaga"/>
      </w:rPr>
      <w:t xml:space="preserve"> </w:t>
    </w:r>
    <w:r w:rsidRPr="00C0489F">
      <w:rPr>
        <w:rStyle w:val="SidhuvudRubrikReferens"/>
      </w:rPr>
      <w:fldChar w:fldCharType="begin" w:fldLock="1"/>
    </w:r>
    <w:r w:rsidRPr="00C0489F">
      <w:rPr>
        <w:rStyle w:val="SidhuvudRubrikReferens"/>
      </w:rPr>
      <w:instrText xml:space="preserve"> StyleREF "Rubrik 1" </w:instrText>
    </w:r>
    <w:r w:rsidRPr="00C0489F">
      <w:rPr>
        <w:rStyle w:val="SidhuvudRubrikReferens"/>
      </w:rPr>
      <w:fldChar w:fldCharType="separate"/>
    </w:r>
    <w:r w:rsidRPr="00C0489F">
      <w:rPr>
        <w:rStyle w:val="SidhuvudRubrikReferens"/>
      </w:rPr>
      <w:t>Till finansutskottet</w:t>
    </w:r>
    <w:r w:rsidRPr="00C0489F">
      <w:rPr>
        <w:rStyle w:val="SidhuvudRubrikReferens"/>
      </w:rPr>
      <w:fldChar w:fldCharType="end"/>
    </w:r>
  </w:p>
  <w:p w:rsidR="00F832AB" w:rsidRPr="00C0489F" w:rsidRDefault="00F832AB">
    <w:pPr>
      <w:pStyle w:val="SidhuvudKantJmn"/>
      <w:framePr w:w="8732" w:h="567" w:hRule="exact" w:vSpace="0" w:wrap="around" w:vAnchor="page" w:y="341" w:anchorLock="0"/>
    </w:pPr>
    <w:r w:rsidRPr="00C0489F">
      <w:rPr>
        <w:rStyle w:val="SidhuvudUtskott"/>
      </w:rPr>
      <w:fldChar w:fldCharType="begin" w:fldLock="1"/>
    </w:r>
    <w:r w:rsidRPr="00C0489F">
      <w:rPr>
        <w:rStyle w:val="SidhuvudUtskott"/>
      </w:rPr>
      <w:instrText xml:space="preserve"> DOCPROPERTY Status</w:instrText>
    </w:r>
    <w:r w:rsidRPr="00C0489F">
      <w:rPr>
        <w:rStyle w:val="SidhuvudUtskott"/>
      </w:rPr>
      <w:fldChar w:fldCharType="end"/>
    </w:r>
    <w:r w:rsidRPr="00C0489F">
      <w:rPr>
        <w:rStyle w:val="SidhuvudUtskott"/>
      </w:rPr>
      <w:fldChar w:fldCharType="begin" w:fldLock="1"/>
    </w:r>
    <w:r w:rsidRPr="00C0489F">
      <w:rPr>
        <w:rStyle w:val="SidhuvudUtskott"/>
      </w:rPr>
      <w:instrText xml:space="preserve"> if </w:instrText>
    </w:r>
    <w:r w:rsidRPr="00C0489F">
      <w:rPr>
        <w:rStyle w:val="SidhuvudUtskott"/>
      </w:rPr>
      <w:fldChar w:fldCharType="begin" w:fldLock="1"/>
    </w:r>
    <w:r w:rsidRPr="00C0489F">
      <w:rPr>
        <w:rStyle w:val="SidhuvudUtskott"/>
      </w:rPr>
      <w:instrText xml:space="preserve"> DOCPROPERTY "UtkastDatum"</w:instrText>
    </w:r>
    <w:r w:rsidRPr="00C0489F">
      <w:rPr>
        <w:rStyle w:val="SidhuvudUtskott"/>
      </w:rPr>
      <w:fldChar w:fldCharType="separate"/>
    </w:r>
    <w:r w:rsidRPr="00C0489F">
      <w:rPr>
        <w:rStyle w:val="SidhuvudUtskott"/>
      </w:rPr>
      <w:instrText>Nej</w:instrText>
    </w:r>
    <w:r w:rsidRPr="00C0489F">
      <w:rPr>
        <w:rStyle w:val="SidhuvudUtskott"/>
      </w:rPr>
      <w:fldChar w:fldCharType="end"/>
    </w:r>
    <w:r w:rsidRPr="00C0489F">
      <w:rPr>
        <w:rStyle w:val="SidhuvudUtskott"/>
      </w:rPr>
      <w:instrText xml:space="preserve"> = "Ja" "    </w:instrText>
    </w:r>
    <w:r w:rsidRPr="00C0489F">
      <w:rPr>
        <w:rStyle w:val="SidhuvudUtskott"/>
      </w:rPr>
      <w:fldChar w:fldCharType="begin" w:fldLock="1"/>
    </w:r>
    <w:r w:rsidRPr="00C0489F">
      <w:rPr>
        <w:rStyle w:val="SidhuvudUtskott"/>
      </w:rPr>
      <w:instrText xml:space="preserve"> PRINTDATE \@ "yyyy-MM-dd HH.mm" </w:instrText>
    </w:r>
    <w:r w:rsidRPr="00C0489F">
      <w:rPr>
        <w:rStyle w:val="SidhuvudUtskott"/>
      </w:rPr>
      <w:fldChar w:fldCharType="separate"/>
    </w:r>
    <w:r w:rsidRPr="00C0489F">
      <w:rPr>
        <w:rStyle w:val="SidhuvudUtskott"/>
      </w:rPr>
      <w:instrText>2000-08-11 16.42</w:instrText>
    </w:r>
    <w:r w:rsidRPr="00C0489F">
      <w:rPr>
        <w:rStyle w:val="SidhuvudUtskott"/>
      </w:rPr>
      <w:fldChar w:fldCharType="end"/>
    </w:r>
    <w:r w:rsidRPr="00C0489F">
      <w:rPr>
        <w:rStyle w:val="SidhuvudUtskott"/>
      </w:rPr>
      <w:instrText xml:space="preserve">" </w:instrText>
    </w:r>
    <w:r w:rsidRPr="00C0489F">
      <w:rPr>
        <w:rStyle w:val="SidhuvudUtskott"/>
      </w:rPr>
      <w:fldChar w:fldCharType="end"/>
    </w:r>
  </w:p>
  <w:p w:rsidR="00F832AB" w:rsidRPr="00C0489F" w:rsidRDefault="00F832A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huvudKantUdda"/>
      <w:framePr w:w="8732" w:h="567" w:hRule="exact" w:vSpace="0" w:wrap="around" w:vAnchor="page" w:y="341" w:anchorLock="0"/>
    </w:pPr>
    <w:r w:rsidRPr="00C0489F">
      <w:rPr>
        <w:rStyle w:val="SidhuvudRubrikReferens"/>
      </w:rPr>
      <w:fldChar w:fldCharType="begin" w:fldLock="1"/>
    </w:r>
    <w:r w:rsidRPr="00C0489F">
      <w:rPr>
        <w:rStyle w:val="SidhuvudRubrikReferens"/>
      </w:rPr>
      <w:instrText xml:space="preserve"> StyleREF "Rubrik 1" </w:instrText>
    </w:r>
    <w:r w:rsidRPr="00C0489F">
      <w:rPr>
        <w:rStyle w:val="SidhuvudRubrikReferens"/>
      </w:rPr>
      <w:fldChar w:fldCharType="separate"/>
    </w:r>
    <w:r w:rsidRPr="00C0489F">
      <w:rPr>
        <w:rStyle w:val="SidhuvudRubrikReferens"/>
      </w:rPr>
      <w:t>Till finansutskottet</w:t>
    </w:r>
    <w:r w:rsidRPr="00C0489F">
      <w:rPr>
        <w:rStyle w:val="SidhuvudRubrikReferens"/>
      </w:rPr>
      <w:fldChar w:fldCharType="end"/>
    </w:r>
    <w:r w:rsidRPr="00C0489F">
      <w:rPr>
        <w:rStyle w:val="SidhuvudBilaga"/>
      </w:rPr>
      <w:t xml:space="preserve"> </w:t>
    </w:r>
    <w:r w:rsidRPr="00C0489F">
      <w:t xml:space="preserve">     </w:t>
    </w:r>
    <w:r w:rsidRPr="00C0489F">
      <w:rPr>
        <w:rStyle w:val="SidhuvudUtskott"/>
      </w:rPr>
      <w:fldChar w:fldCharType="begin" w:fldLock="1"/>
    </w:r>
    <w:r w:rsidRPr="00C0489F">
      <w:rPr>
        <w:rStyle w:val="SidhuvudUtskott"/>
      </w:rPr>
      <w:instrText xml:space="preserve"> DOCPROPERTY BetänkandeÅr</w:instrText>
    </w:r>
    <w:r w:rsidRPr="00C0489F">
      <w:rPr>
        <w:rStyle w:val="SidhuvudUtskott"/>
      </w:rPr>
      <w:fldChar w:fldCharType="separate"/>
    </w:r>
    <w:r w:rsidRPr="00C0489F">
      <w:rPr>
        <w:rStyle w:val="SidhuvudUtskott"/>
      </w:rPr>
      <w:t>2004/05</w:t>
    </w:r>
    <w:r w:rsidRPr="00C0489F">
      <w:rPr>
        <w:rStyle w:val="SidhuvudUtskott"/>
      </w:rPr>
      <w:fldChar w:fldCharType="end"/>
    </w:r>
    <w:r w:rsidRPr="00C0489F">
      <w:rPr>
        <w:rStyle w:val="SidhuvudUtskott"/>
      </w:rPr>
      <w:t>:</w:t>
    </w:r>
    <w:r w:rsidRPr="00C0489F">
      <w:rPr>
        <w:rStyle w:val="SidhuvudUtskott"/>
      </w:rPr>
      <w:fldChar w:fldCharType="begin" w:fldLock="1"/>
    </w:r>
    <w:r w:rsidRPr="00C0489F">
      <w:rPr>
        <w:rStyle w:val="SidhuvudUtskott"/>
      </w:rPr>
      <w:instrText xml:space="preserve"> DOCPROPERTY</w:instrText>
    </w:r>
    <w:r w:rsidRPr="00C0489F">
      <w:instrText xml:space="preserve"> </w:instrText>
    </w:r>
    <w:r w:rsidRPr="00C0489F">
      <w:rPr>
        <w:rStyle w:val="SidhuvudUtskott"/>
      </w:rPr>
      <w:instrText>Utskott</w:instrText>
    </w:r>
    <w:r w:rsidRPr="00C0489F">
      <w:rPr>
        <w:rStyle w:val="SidhuvudUtskott"/>
      </w:rPr>
      <w:fldChar w:fldCharType="separate"/>
    </w:r>
    <w:r w:rsidRPr="00C0489F">
      <w:rPr>
        <w:rStyle w:val="SidhuvudUtskott"/>
      </w:rPr>
      <w:t>FöU</w:t>
    </w:r>
    <w:r w:rsidRPr="00C0489F">
      <w:rPr>
        <w:rStyle w:val="SidhuvudUtskott"/>
      </w:rPr>
      <w:fldChar w:fldCharType="end"/>
    </w:r>
    <w:r w:rsidRPr="00C0489F">
      <w:rPr>
        <w:rStyle w:val="SidhuvudUtskott"/>
      </w:rPr>
      <w:fldChar w:fldCharType="begin" w:fldLock="1"/>
    </w:r>
    <w:r w:rsidRPr="00C0489F">
      <w:rPr>
        <w:rStyle w:val="SidhuvudUtskott"/>
      </w:rPr>
      <w:instrText xml:space="preserve"> DOCPROPERTY Betä</w:instrText>
    </w:r>
    <w:r w:rsidRPr="00C0489F">
      <w:rPr>
        <w:rStyle w:val="SidhuvudUtskott"/>
      </w:rPr>
      <w:instrText>n</w:instrText>
    </w:r>
    <w:r w:rsidRPr="00C0489F">
      <w:rPr>
        <w:rStyle w:val="SidhuvudUtskott"/>
      </w:rPr>
      <w:instrText>kandeNr</w:instrText>
    </w:r>
    <w:r w:rsidRPr="00C0489F">
      <w:rPr>
        <w:rStyle w:val="SidhuvudUtskott"/>
      </w:rPr>
      <w:fldChar w:fldCharType="separate"/>
    </w:r>
    <w:r w:rsidRPr="00C0489F">
      <w:rPr>
        <w:rStyle w:val="SidhuvudUtskott"/>
      </w:rPr>
      <w:t>1y</w:t>
    </w:r>
    <w:r w:rsidRPr="00C0489F">
      <w:rPr>
        <w:rStyle w:val="SidhuvudUtskott"/>
      </w:rPr>
      <w:fldChar w:fldCharType="end"/>
    </w:r>
  </w:p>
  <w:p w:rsidR="00F832AB" w:rsidRPr="00C0489F" w:rsidRDefault="00F832AB">
    <w:pPr>
      <w:pStyle w:val="SidhuvudKantUdda"/>
      <w:framePr w:w="8732" w:h="567" w:hRule="exact" w:vSpace="0" w:wrap="around" w:vAnchor="page" w:y="341" w:anchorLock="0"/>
    </w:pPr>
    <w:r w:rsidRPr="00C0489F">
      <w:rPr>
        <w:rStyle w:val="SidhuvudUtskott"/>
      </w:rPr>
      <w:fldChar w:fldCharType="begin" w:fldLock="1"/>
    </w:r>
    <w:r w:rsidRPr="00C0489F">
      <w:rPr>
        <w:rStyle w:val="SidhuvudUtskott"/>
      </w:rPr>
      <w:instrText xml:space="preserve"> if </w:instrText>
    </w:r>
    <w:r w:rsidRPr="00C0489F">
      <w:rPr>
        <w:rStyle w:val="SidhuvudUtskott"/>
      </w:rPr>
      <w:fldChar w:fldCharType="begin" w:fldLock="1"/>
    </w:r>
    <w:r w:rsidRPr="00C0489F">
      <w:rPr>
        <w:rStyle w:val="SidhuvudUtskott"/>
      </w:rPr>
      <w:instrText xml:space="preserve"> DOCPROPERTY "UtkastDatum"</w:instrText>
    </w:r>
    <w:r w:rsidRPr="00C0489F">
      <w:rPr>
        <w:rStyle w:val="SidhuvudUtskott"/>
      </w:rPr>
      <w:fldChar w:fldCharType="separate"/>
    </w:r>
    <w:r w:rsidRPr="00C0489F">
      <w:rPr>
        <w:rStyle w:val="SidhuvudUtskott"/>
      </w:rPr>
      <w:instrText>Nej</w:instrText>
    </w:r>
    <w:r w:rsidRPr="00C0489F">
      <w:rPr>
        <w:rStyle w:val="SidhuvudUtskott"/>
      </w:rPr>
      <w:fldChar w:fldCharType="end"/>
    </w:r>
    <w:r w:rsidRPr="00C0489F">
      <w:rPr>
        <w:rStyle w:val="SidhuvudUtskott"/>
      </w:rPr>
      <w:instrText xml:space="preserve"> = "Ja" "</w:instrText>
    </w:r>
    <w:r w:rsidRPr="00C0489F">
      <w:rPr>
        <w:rStyle w:val="SidhuvudUtskott"/>
      </w:rPr>
      <w:fldChar w:fldCharType="begin" w:fldLock="1"/>
    </w:r>
    <w:r w:rsidRPr="00C0489F">
      <w:rPr>
        <w:rStyle w:val="SidhuvudUtskott"/>
      </w:rPr>
      <w:instrText xml:space="preserve"> PRINTDATE \@ "yyyy-MM-dd HH.mm    " </w:instrText>
    </w:r>
    <w:r w:rsidRPr="00C0489F">
      <w:rPr>
        <w:rStyle w:val="SidhuvudUtskott"/>
      </w:rPr>
      <w:fldChar w:fldCharType="separate"/>
    </w:r>
    <w:r w:rsidRPr="00C0489F">
      <w:rPr>
        <w:rStyle w:val="SidhuvudUtskott"/>
      </w:rPr>
      <w:instrText>2000-08-11 16.42</w:instrText>
    </w:r>
    <w:r w:rsidRPr="00C0489F">
      <w:rPr>
        <w:rStyle w:val="SidhuvudUtskott"/>
      </w:rPr>
      <w:fldChar w:fldCharType="end"/>
    </w:r>
    <w:r w:rsidRPr="00C0489F">
      <w:rPr>
        <w:rStyle w:val="SidhuvudUtskott"/>
      </w:rPr>
      <w:instrText xml:space="preserve">" </w:instrText>
    </w:r>
    <w:r w:rsidRPr="00C0489F">
      <w:rPr>
        <w:rStyle w:val="SidhuvudUtskott"/>
      </w:rPr>
      <w:fldChar w:fldCharType="end"/>
    </w:r>
    <w:r w:rsidRPr="00C0489F">
      <w:rPr>
        <w:rStyle w:val="SidhuvudUtskott"/>
      </w:rPr>
      <w:fldChar w:fldCharType="begin" w:fldLock="1"/>
    </w:r>
    <w:r w:rsidRPr="00C0489F">
      <w:rPr>
        <w:rStyle w:val="SidhuvudUtskott"/>
      </w:rPr>
      <w:instrText xml:space="preserve"> DOCPR</w:instrText>
    </w:r>
    <w:r w:rsidRPr="00C0489F">
      <w:rPr>
        <w:rStyle w:val="SidhuvudUtskott"/>
      </w:rPr>
      <w:instrText>O</w:instrText>
    </w:r>
    <w:r w:rsidRPr="00C0489F">
      <w:rPr>
        <w:rStyle w:val="SidhuvudUtskott"/>
      </w:rPr>
      <w:instrText>PERTY Status</w:instrText>
    </w:r>
    <w:r w:rsidRPr="00C0489F">
      <w:rPr>
        <w:rStyle w:val="SidhuvudUtskott"/>
      </w:rPr>
      <w:fldChar w:fldCharType="end"/>
    </w:r>
  </w:p>
  <w:p w:rsidR="00F832AB" w:rsidRPr="00C0489F" w:rsidRDefault="00F832A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huvudKantUdda"/>
      <w:framePr w:w="8732" w:h="567" w:hRule="exact" w:vSpace="0" w:wrap="around" w:vAnchor="page" w:y="341" w:anchorLock="0"/>
    </w:pPr>
    <w:r w:rsidRPr="00C0489F">
      <w:t xml:space="preserve">  </w:t>
    </w:r>
    <w:r w:rsidRPr="00C0489F">
      <w:rPr>
        <w:rStyle w:val="SidhuvudUtskott"/>
      </w:rPr>
      <w:t>2004/05:FöU1y</w:t>
    </w:r>
  </w:p>
  <w:p w:rsidR="00F832AB" w:rsidRPr="00C0489F" w:rsidRDefault="00F832AB">
    <w:pPr>
      <w:pStyle w:val="SidhuvudKantUdda"/>
      <w:framePr w:w="8732" w:h="567" w:hRule="exact" w:vSpace="0" w:wrap="around" w:vAnchor="page" w:y="341" w:anchorLock="0"/>
    </w:pPr>
  </w:p>
  <w:p w:rsidR="00F832AB" w:rsidRPr="00C0489F" w:rsidRDefault="00F832A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huvudKantJmn"/>
      <w:framePr w:w="8732" w:h="567" w:hRule="exact" w:vSpace="0" w:wrap="around" w:vAnchor="page" w:y="341" w:anchorLock="0"/>
    </w:pPr>
    <w:r w:rsidRPr="00C0489F">
      <w:rPr>
        <w:rStyle w:val="SidhuvudUtskott"/>
      </w:rPr>
      <w:fldChar w:fldCharType="begin" w:fldLock="1"/>
    </w:r>
    <w:r w:rsidRPr="00C0489F">
      <w:rPr>
        <w:rStyle w:val="SidhuvudUtskott"/>
      </w:rPr>
      <w:instrText xml:space="preserve"> DOCPROPERTY BetänkandeÅr</w:instrText>
    </w:r>
    <w:r w:rsidRPr="00C0489F">
      <w:rPr>
        <w:rStyle w:val="SidhuvudUtskott"/>
      </w:rPr>
      <w:fldChar w:fldCharType="separate"/>
    </w:r>
    <w:r w:rsidRPr="00C0489F">
      <w:rPr>
        <w:rStyle w:val="SidhuvudUtskott"/>
      </w:rPr>
      <w:t>2004/05</w:t>
    </w:r>
    <w:r w:rsidRPr="00C0489F">
      <w:rPr>
        <w:rStyle w:val="SidhuvudUtskott"/>
      </w:rPr>
      <w:fldChar w:fldCharType="end"/>
    </w:r>
    <w:r w:rsidRPr="00C0489F">
      <w:rPr>
        <w:rStyle w:val="SidhuvudUtskott"/>
      </w:rPr>
      <w:t>:</w:t>
    </w:r>
    <w:r w:rsidRPr="00C0489F">
      <w:rPr>
        <w:rStyle w:val="SidhuvudUtskott"/>
      </w:rPr>
      <w:fldChar w:fldCharType="begin" w:fldLock="1"/>
    </w:r>
    <w:r w:rsidRPr="00C0489F">
      <w:rPr>
        <w:rStyle w:val="SidhuvudUtskott"/>
      </w:rPr>
      <w:instrText xml:space="preserve"> DOCPROPERTY Utskott</w:instrText>
    </w:r>
    <w:r w:rsidRPr="00C0489F">
      <w:rPr>
        <w:rStyle w:val="SidhuvudUtskott"/>
      </w:rPr>
      <w:fldChar w:fldCharType="separate"/>
    </w:r>
    <w:r w:rsidRPr="00C0489F">
      <w:rPr>
        <w:rStyle w:val="SidhuvudUtskott"/>
      </w:rPr>
      <w:t>FöU</w:t>
    </w:r>
    <w:r w:rsidRPr="00C0489F">
      <w:rPr>
        <w:rStyle w:val="SidhuvudUtskott"/>
      </w:rPr>
      <w:fldChar w:fldCharType="end"/>
    </w:r>
    <w:r w:rsidRPr="00C0489F">
      <w:rPr>
        <w:rStyle w:val="SidhuvudUtskott"/>
      </w:rPr>
      <w:fldChar w:fldCharType="begin" w:fldLock="1"/>
    </w:r>
    <w:r w:rsidRPr="00C0489F">
      <w:rPr>
        <w:rStyle w:val="SidhuvudUtskott"/>
      </w:rPr>
      <w:instrText xml:space="preserve"> DOCPROPERTY BetänkandeNr</w:instrText>
    </w:r>
    <w:r w:rsidRPr="00C0489F">
      <w:rPr>
        <w:rStyle w:val="SidhuvudUtskott"/>
      </w:rPr>
      <w:fldChar w:fldCharType="separate"/>
    </w:r>
    <w:r w:rsidRPr="00C0489F">
      <w:rPr>
        <w:rStyle w:val="SidhuvudUtskott"/>
      </w:rPr>
      <w:t>1y</w:t>
    </w:r>
    <w:r w:rsidRPr="00C0489F">
      <w:rPr>
        <w:rStyle w:val="SidhuvudUtskott"/>
      </w:rPr>
      <w:fldChar w:fldCharType="end"/>
    </w:r>
    <w:r w:rsidRPr="00C0489F">
      <w:t xml:space="preserve">     </w:t>
    </w:r>
    <w:r w:rsidRPr="00C0489F">
      <w:rPr>
        <w:rStyle w:val="SidhuvudBilaga"/>
      </w:rPr>
      <w:t xml:space="preserve"> </w:t>
    </w:r>
    <w:r w:rsidRPr="00C0489F">
      <w:rPr>
        <w:rStyle w:val="SidhuvudRubrikReferens"/>
      </w:rPr>
      <w:fldChar w:fldCharType="begin" w:fldLock="1"/>
    </w:r>
    <w:r w:rsidRPr="00C0489F">
      <w:rPr>
        <w:rStyle w:val="SidhuvudRubrikReferens"/>
      </w:rPr>
      <w:instrText xml:space="preserve"> StyleREF "Rubrik 1" </w:instrText>
    </w:r>
    <w:r w:rsidRPr="00C0489F">
      <w:rPr>
        <w:rStyle w:val="SidhuvudRubrikReferens"/>
      </w:rPr>
      <w:fldChar w:fldCharType="separate"/>
    </w:r>
    <w:r w:rsidRPr="00C0489F">
      <w:rPr>
        <w:rStyle w:val="SidhuvudRubrikReferens"/>
      </w:rPr>
      <w:t>Avvikande mening</w:t>
    </w:r>
    <w:r w:rsidRPr="00C0489F">
      <w:rPr>
        <w:rStyle w:val="SidhuvudRubrikReferens"/>
      </w:rPr>
      <w:fldChar w:fldCharType="end"/>
    </w:r>
  </w:p>
  <w:p w:rsidR="00F832AB" w:rsidRPr="00C0489F" w:rsidRDefault="00F832AB">
    <w:pPr>
      <w:pStyle w:val="SidhuvudKantJmn"/>
      <w:framePr w:w="8732" w:h="567" w:hRule="exact" w:vSpace="0" w:wrap="around" w:vAnchor="page" w:y="341" w:anchorLock="0"/>
    </w:pPr>
    <w:r w:rsidRPr="00C0489F">
      <w:rPr>
        <w:rStyle w:val="SidhuvudUtskott"/>
      </w:rPr>
      <w:fldChar w:fldCharType="begin" w:fldLock="1"/>
    </w:r>
    <w:r w:rsidRPr="00C0489F">
      <w:rPr>
        <w:rStyle w:val="SidhuvudUtskott"/>
      </w:rPr>
      <w:instrText xml:space="preserve"> DOCPROPERTY Status</w:instrText>
    </w:r>
    <w:r w:rsidRPr="00C0489F">
      <w:rPr>
        <w:rStyle w:val="SidhuvudUtskott"/>
      </w:rPr>
      <w:fldChar w:fldCharType="end"/>
    </w:r>
    <w:r w:rsidRPr="00C0489F">
      <w:rPr>
        <w:rStyle w:val="SidhuvudUtskott"/>
      </w:rPr>
      <w:fldChar w:fldCharType="begin" w:fldLock="1"/>
    </w:r>
    <w:r w:rsidRPr="00C0489F">
      <w:rPr>
        <w:rStyle w:val="SidhuvudUtskott"/>
      </w:rPr>
      <w:instrText xml:space="preserve"> if </w:instrText>
    </w:r>
    <w:r w:rsidRPr="00C0489F">
      <w:rPr>
        <w:rStyle w:val="SidhuvudUtskott"/>
      </w:rPr>
      <w:fldChar w:fldCharType="begin" w:fldLock="1"/>
    </w:r>
    <w:r w:rsidRPr="00C0489F">
      <w:rPr>
        <w:rStyle w:val="SidhuvudUtskott"/>
      </w:rPr>
      <w:instrText xml:space="preserve"> DOCPROPERTY "UtkastDatum"</w:instrText>
    </w:r>
    <w:r w:rsidRPr="00C0489F">
      <w:rPr>
        <w:rStyle w:val="SidhuvudUtskott"/>
      </w:rPr>
      <w:fldChar w:fldCharType="separate"/>
    </w:r>
    <w:r w:rsidRPr="00C0489F">
      <w:rPr>
        <w:rStyle w:val="SidhuvudUtskott"/>
      </w:rPr>
      <w:instrText>Nej</w:instrText>
    </w:r>
    <w:r w:rsidRPr="00C0489F">
      <w:rPr>
        <w:rStyle w:val="SidhuvudUtskott"/>
      </w:rPr>
      <w:fldChar w:fldCharType="end"/>
    </w:r>
    <w:r w:rsidRPr="00C0489F">
      <w:rPr>
        <w:rStyle w:val="SidhuvudUtskott"/>
      </w:rPr>
      <w:instrText xml:space="preserve"> = "Ja" "    </w:instrText>
    </w:r>
    <w:r w:rsidRPr="00C0489F">
      <w:rPr>
        <w:rStyle w:val="SidhuvudUtskott"/>
      </w:rPr>
      <w:fldChar w:fldCharType="begin" w:fldLock="1"/>
    </w:r>
    <w:r w:rsidRPr="00C0489F">
      <w:rPr>
        <w:rStyle w:val="SidhuvudUtskott"/>
      </w:rPr>
      <w:instrText xml:space="preserve"> PRINTDATE \@ "yyyy-MM-dd HH.mm" </w:instrText>
    </w:r>
    <w:r w:rsidRPr="00C0489F">
      <w:rPr>
        <w:rStyle w:val="SidhuvudUtskott"/>
      </w:rPr>
      <w:fldChar w:fldCharType="separate"/>
    </w:r>
    <w:r w:rsidRPr="00C0489F">
      <w:rPr>
        <w:rStyle w:val="SidhuvudUtskott"/>
      </w:rPr>
      <w:instrText>2000-08-11 16.42</w:instrText>
    </w:r>
    <w:r w:rsidRPr="00C0489F">
      <w:rPr>
        <w:rStyle w:val="SidhuvudUtskott"/>
      </w:rPr>
      <w:fldChar w:fldCharType="end"/>
    </w:r>
    <w:r w:rsidRPr="00C0489F">
      <w:rPr>
        <w:rStyle w:val="SidhuvudUtskott"/>
      </w:rPr>
      <w:instrText xml:space="preserve">" </w:instrText>
    </w:r>
    <w:r w:rsidRPr="00C0489F">
      <w:rPr>
        <w:rStyle w:val="SidhuvudUtskott"/>
      </w:rPr>
      <w:fldChar w:fldCharType="end"/>
    </w:r>
  </w:p>
  <w:p w:rsidR="00F832AB" w:rsidRPr="00C0489F" w:rsidRDefault="00F832A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huvudKantUdda"/>
      <w:framePr w:w="8732" w:h="567" w:hRule="exact" w:vSpace="0" w:wrap="around" w:vAnchor="page" w:y="341" w:anchorLock="0"/>
    </w:pPr>
    <w:r w:rsidRPr="00C0489F">
      <w:rPr>
        <w:rStyle w:val="SidhuvudRubrikReferens"/>
      </w:rPr>
      <w:fldChar w:fldCharType="begin" w:fldLock="1"/>
    </w:r>
    <w:r w:rsidRPr="00C0489F">
      <w:rPr>
        <w:rStyle w:val="SidhuvudRubrikReferens"/>
      </w:rPr>
      <w:instrText xml:space="preserve"> StyleREF "Rubrik 1" </w:instrText>
    </w:r>
    <w:r w:rsidRPr="00C0489F">
      <w:rPr>
        <w:rStyle w:val="SidhuvudRubrikReferens"/>
      </w:rPr>
      <w:fldChar w:fldCharType="separate"/>
    </w:r>
    <w:r w:rsidRPr="00C0489F">
      <w:rPr>
        <w:rStyle w:val="SidhuvudRubrikReferens"/>
      </w:rPr>
      <w:t>Avvikande mening</w:t>
    </w:r>
    <w:r w:rsidRPr="00C0489F">
      <w:rPr>
        <w:rStyle w:val="SidhuvudRubrikReferens"/>
      </w:rPr>
      <w:fldChar w:fldCharType="end"/>
    </w:r>
    <w:r w:rsidRPr="00C0489F">
      <w:rPr>
        <w:rStyle w:val="SidhuvudBilaga"/>
      </w:rPr>
      <w:t xml:space="preserve"> </w:t>
    </w:r>
    <w:r w:rsidRPr="00C0489F">
      <w:t xml:space="preserve">     </w:t>
    </w:r>
    <w:r w:rsidRPr="00C0489F">
      <w:rPr>
        <w:rStyle w:val="SidhuvudUtskott"/>
      </w:rPr>
      <w:fldChar w:fldCharType="begin" w:fldLock="1"/>
    </w:r>
    <w:r w:rsidRPr="00C0489F">
      <w:rPr>
        <w:rStyle w:val="SidhuvudUtskott"/>
      </w:rPr>
      <w:instrText xml:space="preserve"> DOCPROPERTY BetänkandeÅr</w:instrText>
    </w:r>
    <w:r w:rsidRPr="00C0489F">
      <w:rPr>
        <w:rStyle w:val="SidhuvudUtskott"/>
      </w:rPr>
      <w:fldChar w:fldCharType="separate"/>
    </w:r>
    <w:r w:rsidRPr="00C0489F">
      <w:rPr>
        <w:rStyle w:val="SidhuvudUtskott"/>
      </w:rPr>
      <w:t>2004/05</w:t>
    </w:r>
    <w:r w:rsidRPr="00C0489F">
      <w:rPr>
        <w:rStyle w:val="SidhuvudUtskott"/>
      </w:rPr>
      <w:fldChar w:fldCharType="end"/>
    </w:r>
    <w:r w:rsidRPr="00C0489F">
      <w:rPr>
        <w:rStyle w:val="SidhuvudUtskott"/>
      </w:rPr>
      <w:t>:</w:t>
    </w:r>
    <w:r w:rsidRPr="00C0489F">
      <w:rPr>
        <w:rStyle w:val="SidhuvudUtskott"/>
      </w:rPr>
      <w:fldChar w:fldCharType="begin" w:fldLock="1"/>
    </w:r>
    <w:r w:rsidRPr="00C0489F">
      <w:rPr>
        <w:rStyle w:val="SidhuvudUtskott"/>
      </w:rPr>
      <w:instrText xml:space="preserve"> DOCPROPERTY</w:instrText>
    </w:r>
    <w:r w:rsidRPr="00C0489F">
      <w:instrText xml:space="preserve"> </w:instrText>
    </w:r>
    <w:r w:rsidRPr="00C0489F">
      <w:rPr>
        <w:rStyle w:val="SidhuvudUtskott"/>
      </w:rPr>
      <w:instrText>Utskott</w:instrText>
    </w:r>
    <w:r w:rsidRPr="00C0489F">
      <w:rPr>
        <w:rStyle w:val="SidhuvudUtskott"/>
      </w:rPr>
      <w:fldChar w:fldCharType="separate"/>
    </w:r>
    <w:r w:rsidRPr="00C0489F">
      <w:rPr>
        <w:rStyle w:val="SidhuvudUtskott"/>
      </w:rPr>
      <w:t>FöU</w:t>
    </w:r>
    <w:r w:rsidRPr="00C0489F">
      <w:rPr>
        <w:rStyle w:val="SidhuvudUtskott"/>
      </w:rPr>
      <w:fldChar w:fldCharType="end"/>
    </w:r>
    <w:r w:rsidRPr="00C0489F">
      <w:rPr>
        <w:rStyle w:val="SidhuvudUtskott"/>
      </w:rPr>
      <w:fldChar w:fldCharType="begin" w:fldLock="1"/>
    </w:r>
    <w:r w:rsidRPr="00C0489F">
      <w:rPr>
        <w:rStyle w:val="SidhuvudUtskott"/>
      </w:rPr>
      <w:instrText xml:space="preserve"> DOCPROPERTY Betä</w:instrText>
    </w:r>
    <w:r w:rsidRPr="00C0489F">
      <w:rPr>
        <w:rStyle w:val="SidhuvudUtskott"/>
      </w:rPr>
      <w:instrText>n</w:instrText>
    </w:r>
    <w:r w:rsidRPr="00C0489F">
      <w:rPr>
        <w:rStyle w:val="SidhuvudUtskott"/>
      </w:rPr>
      <w:instrText>kandeNr</w:instrText>
    </w:r>
    <w:r w:rsidRPr="00C0489F">
      <w:rPr>
        <w:rStyle w:val="SidhuvudUtskott"/>
      </w:rPr>
      <w:fldChar w:fldCharType="separate"/>
    </w:r>
    <w:r w:rsidRPr="00C0489F">
      <w:rPr>
        <w:rStyle w:val="SidhuvudUtskott"/>
      </w:rPr>
      <w:t>1y</w:t>
    </w:r>
    <w:r w:rsidRPr="00C0489F">
      <w:rPr>
        <w:rStyle w:val="SidhuvudUtskott"/>
      </w:rPr>
      <w:fldChar w:fldCharType="end"/>
    </w:r>
  </w:p>
  <w:p w:rsidR="00F832AB" w:rsidRPr="00C0489F" w:rsidRDefault="00F832AB">
    <w:pPr>
      <w:pStyle w:val="SidhuvudKantUdda"/>
      <w:framePr w:w="8732" w:h="567" w:hRule="exact" w:vSpace="0" w:wrap="around" w:vAnchor="page" w:y="341" w:anchorLock="0"/>
    </w:pPr>
    <w:r w:rsidRPr="00C0489F">
      <w:rPr>
        <w:rStyle w:val="SidhuvudUtskott"/>
      </w:rPr>
      <w:fldChar w:fldCharType="begin" w:fldLock="1"/>
    </w:r>
    <w:r w:rsidRPr="00C0489F">
      <w:rPr>
        <w:rStyle w:val="SidhuvudUtskott"/>
      </w:rPr>
      <w:instrText xml:space="preserve"> if </w:instrText>
    </w:r>
    <w:r w:rsidRPr="00C0489F">
      <w:rPr>
        <w:rStyle w:val="SidhuvudUtskott"/>
      </w:rPr>
      <w:fldChar w:fldCharType="begin" w:fldLock="1"/>
    </w:r>
    <w:r w:rsidRPr="00C0489F">
      <w:rPr>
        <w:rStyle w:val="SidhuvudUtskott"/>
      </w:rPr>
      <w:instrText xml:space="preserve"> DOCPROPERTY "UtkastDatum"</w:instrText>
    </w:r>
    <w:r w:rsidRPr="00C0489F">
      <w:rPr>
        <w:rStyle w:val="SidhuvudUtskott"/>
      </w:rPr>
      <w:fldChar w:fldCharType="separate"/>
    </w:r>
    <w:r w:rsidRPr="00C0489F">
      <w:rPr>
        <w:rStyle w:val="SidhuvudUtskott"/>
      </w:rPr>
      <w:instrText>Nej</w:instrText>
    </w:r>
    <w:r w:rsidRPr="00C0489F">
      <w:rPr>
        <w:rStyle w:val="SidhuvudUtskott"/>
      </w:rPr>
      <w:fldChar w:fldCharType="end"/>
    </w:r>
    <w:r w:rsidRPr="00C0489F">
      <w:rPr>
        <w:rStyle w:val="SidhuvudUtskott"/>
      </w:rPr>
      <w:instrText xml:space="preserve"> = "Ja" "</w:instrText>
    </w:r>
    <w:r w:rsidRPr="00C0489F">
      <w:rPr>
        <w:rStyle w:val="SidhuvudUtskott"/>
      </w:rPr>
      <w:fldChar w:fldCharType="begin" w:fldLock="1"/>
    </w:r>
    <w:r w:rsidRPr="00C0489F">
      <w:rPr>
        <w:rStyle w:val="SidhuvudUtskott"/>
      </w:rPr>
      <w:instrText xml:space="preserve"> PRINTDATE \@ "yyyy-MM-dd HH.mm    " </w:instrText>
    </w:r>
    <w:r w:rsidRPr="00C0489F">
      <w:rPr>
        <w:rStyle w:val="SidhuvudUtskott"/>
      </w:rPr>
      <w:fldChar w:fldCharType="separate"/>
    </w:r>
    <w:r w:rsidRPr="00C0489F">
      <w:rPr>
        <w:rStyle w:val="SidhuvudUtskott"/>
      </w:rPr>
      <w:instrText>2000-08-11 16.42</w:instrText>
    </w:r>
    <w:r w:rsidRPr="00C0489F">
      <w:rPr>
        <w:rStyle w:val="SidhuvudUtskott"/>
      </w:rPr>
      <w:fldChar w:fldCharType="end"/>
    </w:r>
    <w:r w:rsidRPr="00C0489F">
      <w:rPr>
        <w:rStyle w:val="SidhuvudUtskott"/>
      </w:rPr>
      <w:instrText xml:space="preserve">" </w:instrText>
    </w:r>
    <w:r w:rsidRPr="00C0489F">
      <w:rPr>
        <w:rStyle w:val="SidhuvudUtskott"/>
      </w:rPr>
      <w:fldChar w:fldCharType="end"/>
    </w:r>
    <w:r w:rsidRPr="00C0489F">
      <w:rPr>
        <w:rStyle w:val="SidhuvudUtskott"/>
      </w:rPr>
      <w:fldChar w:fldCharType="begin" w:fldLock="1"/>
    </w:r>
    <w:r w:rsidRPr="00C0489F">
      <w:rPr>
        <w:rStyle w:val="SidhuvudUtskott"/>
      </w:rPr>
      <w:instrText xml:space="preserve"> DOCPR</w:instrText>
    </w:r>
    <w:r w:rsidRPr="00C0489F">
      <w:rPr>
        <w:rStyle w:val="SidhuvudUtskott"/>
      </w:rPr>
      <w:instrText>O</w:instrText>
    </w:r>
    <w:r w:rsidRPr="00C0489F">
      <w:rPr>
        <w:rStyle w:val="SidhuvudUtskott"/>
      </w:rPr>
      <w:instrText>PERTY Status</w:instrText>
    </w:r>
    <w:r w:rsidRPr="00C0489F">
      <w:rPr>
        <w:rStyle w:val="SidhuvudUtskott"/>
      </w:rPr>
      <w:fldChar w:fldCharType="end"/>
    </w:r>
  </w:p>
  <w:p w:rsidR="00F832AB" w:rsidRPr="00C0489F" w:rsidRDefault="00F832A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2AB" w:rsidRPr="00C0489F" w:rsidRDefault="00F832AB">
    <w:pPr>
      <w:pStyle w:val="SidhuvudKantJmn"/>
      <w:framePr w:w="8732" w:h="567" w:hRule="exact" w:vSpace="0" w:wrap="around" w:vAnchor="page" w:y="341" w:anchorLock="0"/>
    </w:pPr>
    <w:r w:rsidRPr="00C0489F">
      <w:rPr>
        <w:rStyle w:val="SidhuvudUtskott"/>
      </w:rPr>
      <w:t>2004/05:FöU1y</w:t>
    </w:r>
    <w:r w:rsidRPr="00C0489F">
      <w:t xml:space="preserve">    </w:t>
    </w:r>
  </w:p>
  <w:p w:rsidR="00F832AB" w:rsidRPr="00C0489F" w:rsidRDefault="00F832AB">
    <w:pPr>
      <w:pStyle w:val="SidhuvudKantJmn"/>
      <w:framePr w:w="8732" w:h="567" w:hRule="exact" w:vSpace="0" w:wrap="around" w:vAnchor="page" w:y="341" w:anchorLock="0"/>
    </w:pPr>
  </w:p>
  <w:p w:rsidR="00F832AB" w:rsidRPr="00C0489F" w:rsidRDefault="00F832AB">
    <w:pPr>
      <w:pStyle w:val="SidhuvudKantUdda"/>
      <w:framePr w:w="8732" w:h="567" w:hRule="exact" w:vSpace="0" w:wrap="around" w:vAnchor="page" w:y="341" w:anchorLock="0"/>
    </w:pPr>
    <w:r w:rsidRPr="00C0489F">
      <w:rPr>
        <w:rStyle w:val="SidhuvudRubrikReferens"/>
        <w:smallCaps w:val="0"/>
      </w:rPr>
      <w:t xml:space="preserve"> </w:t>
    </w:r>
  </w:p>
  <w:p w:rsidR="00F832AB" w:rsidRPr="00C0489F" w:rsidRDefault="00F832A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377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1B2F187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FD6F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F440A0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6409573">
    <w:abstractNumId w:val="11"/>
  </w:num>
  <w:num w:numId="2" w16cid:durableId="558715344">
    <w:abstractNumId w:val="8"/>
  </w:num>
  <w:num w:numId="3" w16cid:durableId="1481851365">
    <w:abstractNumId w:val="3"/>
  </w:num>
  <w:num w:numId="4" w16cid:durableId="807163091">
    <w:abstractNumId w:val="2"/>
  </w:num>
  <w:num w:numId="5" w16cid:durableId="1532374167">
    <w:abstractNumId w:val="1"/>
  </w:num>
  <w:num w:numId="6" w16cid:durableId="1214194665">
    <w:abstractNumId w:val="0"/>
  </w:num>
  <w:num w:numId="7" w16cid:durableId="1199899624">
    <w:abstractNumId w:val="9"/>
  </w:num>
  <w:num w:numId="8" w16cid:durableId="395057018">
    <w:abstractNumId w:val="7"/>
  </w:num>
  <w:num w:numId="9" w16cid:durableId="1441871951">
    <w:abstractNumId w:val="6"/>
  </w:num>
  <w:num w:numId="10" w16cid:durableId="2009864140">
    <w:abstractNumId w:val="5"/>
  </w:num>
  <w:num w:numId="11" w16cid:durableId="659314601">
    <w:abstractNumId w:val="4"/>
  </w:num>
  <w:num w:numId="12" w16cid:durableId="1210339885">
    <w:abstractNumId w:val="14"/>
  </w:num>
  <w:num w:numId="13" w16cid:durableId="1395856771">
    <w:abstractNumId w:val="12"/>
  </w:num>
  <w:num w:numId="14" w16cid:durableId="64912835">
    <w:abstractNumId w:val="10"/>
  </w:num>
  <w:num w:numId="15" w16cid:durableId="132139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405"/>
  </w:docVars>
  <w:rsids>
    <w:rsidRoot w:val="009226E0"/>
    <w:rsid w:val="009226E0"/>
    <w:rsid w:val="00C0489F"/>
    <w:rsid w:val="00F832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AFDBF0-AB86-4202-BF31-E237183D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r">
    <w:name w:val="Pr"/>
    <w:basedOn w:val="Normaltindrag"/>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Normal"/>
    <w:semiHidden/>
    <w:pPr>
      <w:spacing w:after="120"/>
      <w:ind w:left="283"/>
    </w:p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Underrubrik">
    <w:name w:val="Tabell Underrubrik"/>
    <w:basedOn w:val="Normal"/>
    <w:next w:val="Brdtext"/>
    <w:pPr>
      <w:overflowPunct w:val="0"/>
      <w:autoSpaceDE w:val="0"/>
      <w:autoSpaceDN w:val="0"/>
      <w:adjustRightInd w:val="0"/>
      <w:spacing w:before="0" w:after="120" w:line="200" w:lineRule="exact"/>
      <w:jc w:val="left"/>
      <w:textAlignment w:val="baseline"/>
    </w:pPr>
    <w:rPr>
      <w:rFonts w:ascii="TradeGothic" w:hAnsi="TradeGothic"/>
      <w:i/>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6664</Characters>
  <Application>Microsoft Office Word</Application>
  <DocSecurity>4</DocSecurity>
  <Lines>180</Lines>
  <Paragraphs>88</Paragraphs>
  <ScaleCrop>false</ScaleCrop>
  <HeadingPairs>
    <vt:vector size="2" baseType="variant">
      <vt:variant>
        <vt:lpstr>Title</vt:lpstr>
      </vt:variant>
      <vt:variant>
        <vt:i4>1</vt:i4>
      </vt:variant>
    </vt:vector>
  </HeadingPairs>
  <TitlesOfParts>
    <vt:vector size="1" baseType="lpstr">
      <vt:lpstr>Försvarsutskottets yttrande</vt:lpstr>
    </vt:vector>
  </TitlesOfParts>
  <Company>Riksdagen</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dc:description/>
  <cp:lastModifiedBy>Lars Brink</cp:lastModifiedBy>
  <cp:revision>2</cp:revision>
  <cp:lastPrinted>2004-10-21T13:18:00Z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FöU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