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3A97" w:rsidRPr="00D66F1A">
        <w:tblPrEx>
          <w:tblCellMar>
            <w:top w:w="0" w:type="dxa"/>
            <w:bottom w:w="0" w:type="dxa"/>
          </w:tblCellMar>
        </w:tblPrEx>
        <w:trPr>
          <w:cantSplit/>
          <w:trHeight w:val="1720"/>
        </w:trPr>
        <w:tc>
          <w:tcPr>
            <w:tcW w:w="6024" w:type="dxa"/>
            <w:gridSpan w:val="2"/>
          </w:tcPr>
          <w:p w:rsidR="00F53A97" w:rsidRPr="00D66F1A" w:rsidRDefault="00304D19">
            <w:pPr>
              <w:pStyle w:val="HuvudRubrik"/>
            </w:pPr>
            <w:r w:rsidRPr="00D66F1A">
              <w:t>Justitieutskottets yttrande</w:t>
            </w:r>
          </w:p>
          <w:p w:rsidR="00F53A97" w:rsidRPr="00D66F1A" w:rsidRDefault="000A0938">
            <w:pPr>
              <w:pStyle w:val="HuvudRubrikRad2"/>
            </w:pPr>
            <w:bookmarkStart w:id="0" w:name="BetänkandeNr"/>
            <w:bookmarkEnd w:id="0"/>
            <w:r w:rsidRPr="00D66F1A">
              <w:t>2004/05</w:t>
            </w:r>
            <w:r w:rsidR="00F53A97" w:rsidRPr="00D66F1A">
              <w:t>:</w:t>
            </w:r>
            <w:r w:rsidRPr="00D66F1A">
              <w:t>JuU1y</w:t>
            </w:r>
          </w:p>
        </w:tc>
        <w:tc>
          <w:tcPr>
            <w:tcW w:w="1418" w:type="dxa"/>
            <w:tcBorders>
              <w:bottom w:val="nil"/>
            </w:tcBorders>
          </w:tcPr>
          <w:p w:rsidR="00F53A97" w:rsidRPr="00D66F1A" w:rsidRDefault="00D66F1A">
            <w:pPr>
              <w:spacing w:line="230" w:lineRule="auto"/>
              <w:jc w:val="center"/>
            </w:pPr>
            <w:r w:rsidRPr="00D66F1A">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53A97" w:rsidRPr="00D66F1A" w:rsidRDefault="00F53A97">
            <w:pPr>
              <w:pStyle w:val="Normaltindrag"/>
              <w:jc w:val="center"/>
            </w:pPr>
          </w:p>
          <w:p w:rsidR="00F53A97" w:rsidRPr="00D66F1A" w:rsidRDefault="00F53A97">
            <w:pPr>
              <w:pStyle w:val="StatusSida1"/>
            </w:pPr>
          </w:p>
          <w:p w:rsidR="00F53A97" w:rsidRPr="00D66F1A" w:rsidRDefault="00F53A97">
            <w:pPr>
              <w:pStyle w:val="UtskriftsdatumSida1"/>
              <w:framePr w:wrap="around"/>
            </w:pPr>
          </w:p>
        </w:tc>
      </w:tr>
      <w:tr w:rsidR="00F53A97" w:rsidRPr="00D66F1A">
        <w:tblPrEx>
          <w:tblCellMar>
            <w:top w:w="0" w:type="dxa"/>
            <w:bottom w:w="0" w:type="dxa"/>
          </w:tblCellMar>
        </w:tblPrEx>
        <w:trPr>
          <w:cantSplit/>
        </w:trPr>
        <w:tc>
          <w:tcPr>
            <w:tcW w:w="6024" w:type="dxa"/>
            <w:gridSpan w:val="2"/>
            <w:tcBorders>
              <w:bottom w:val="single" w:sz="4" w:space="0" w:color="auto"/>
            </w:tcBorders>
          </w:tcPr>
          <w:p w:rsidR="00F53A97" w:rsidRPr="00D66F1A" w:rsidRDefault="00304D19">
            <w:pPr>
              <w:pStyle w:val="DokumentRubrik"/>
              <w:rPr>
                <w:noProof w:val="0"/>
              </w:rPr>
            </w:pPr>
            <w:bookmarkStart w:id="1" w:name="Huvudrubrik"/>
            <w:bookmarkEnd w:id="1"/>
            <w:r w:rsidRPr="00D66F1A">
              <w:rPr>
                <w:noProof w:val="0"/>
              </w:rPr>
              <w:t>Ny instans- och processordning</w:t>
            </w:r>
            <w:r w:rsidR="00850353" w:rsidRPr="00D66F1A">
              <w:rPr>
                <w:noProof w:val="0"/>
              </w:rPr>
              <w:t xml:space="preserve"> i utlännings- och medborgarskapsärenden</w:t>
            </w:r>
          </w:p>
        </w:tc>
        <w:tc>
          <w:tcPr>
            <w:tcW w:w="1418" w:type="dxa"/>
            <w:tcBorders>
              <w:bottom w:val="nil"/>
            </w:tcBorders>
          </w:tcPr>
          <w:p w:rsidR="00F53A97" w:rsidRPr="00D66F1A" w:rsidRDefault="00F53A97"/>
        </w:tc>
      </w:tr>
      <w:tr w:rsidR="00F53A97" w:rsidRPr="00D66F1A">
        <w:tblPrEx>
          <w:tblCellMar>
            <w:top w:w="0" w:type="dxa"/>
            <w:bottom w:w="0" w:type="dxa"/>
          </w:tblCellMar>
        </w:tblPrEx>
        <w:trPr>
          <w:cantSplit/>
          <w:trHeight w:hRule="exact" w:val="360"/>
        </w:trPr>
        <w:tc>
          <w:tcPr>
            <w:tcW w:w="3012" w:type="dxa"/>
          </w:tcPr>
          <w:p w:rsidR="00F53A97" w:rsidRPr="00D66F1A" w:rsidRDefault="00F53A97"/>
        </w:tc>
        <w:tc>
          <w:tcPr>
            <w:tcW w:w="3012" w:type="dxa"/>
          </w:tcPr>
          <w:p w:rsidR="00F53A97" w:rsidRPr="00D66F1A" w:rsidRDefault="00F53A97"/>
        </w:tc>
        <w:tc>
          <w:tcPr>
            <w:tcW w:w="1418" w:type="dxa"/>
          </w:tcPr>
          <w:p w:rsidR="00F53A97" w:rsidRPr="00D66F1A" w:rsidRDefault="00F53A97"/>
        </w:tc>
      </w:tr>
    </w:tbl>
    <w:p w:rsidR="00304D19" w:rsidRPr="00D66F1A" w:rsidRDefault="00304D19" w:rsidP="0099411D">
      <w:pPr>
        <w:pStyle w:val="R1"/>
        <w:spacing w:after="360"/>
      </w:pPr>
      <w:r w:rsidRPr="00D66F1A">
        <w:t>Till socialförsäkringsutskottet</w:t>
      </w:r>
    </w:p>
    <w:p w:rsidR="0099411D" w:rsidRPr="00D66F1A" w:rsidRDefault="0099411D" w:rsidP="0099411D">
      <w:pPr>
        <w:pStyle w:val="Rubrik1"/>
        <w:spacing w:after="0"/>
        <w:rPr>
          <w:noProof w:val="0"/>
        </w:rPr>
      </w:pPr>
    </w:p>
    <w:p w:rsidR="002C7524" w:rsidRPr="00D66F1A" w:rsidRDefault="00F544FD" w:rsidP="0099411D">
      <w:pPr>
        <w:pStyle w:val="Rubrik2"/>
        <w:spacing w:before="0"/>
      </w:pPr>
      <w:bookmarkStart w:id="2" w:name="_Toc109621074"/>
      <w:r w:rsidRPr="00D66F1A">
        <w:t>Inledning</w:t>
      </w:r>
      <w:bookmarkEnd w:id="2"/>
      <w:r w:rsidRPr="00D66F1A">
        <w:t xml:space="preserve"> </w:t>
      </w:r>
    </w:p>
    <w:p w:rsidR="00F544FD" w:rsidRPr="00D66F1A" w:rsidRDefault="00F544FD" w:rsidP="00F544FD">
      <w:r w:rsidRPr="00D66F1A">
        <w:t xml:space="preserve">Proposition 2004/05:170 Ny instans- och processordning </w:t>
      </w:r>
      <w:r w:rsidR="008019B6" w:rsidRPr="00D66F1A">
        <w:t xml:space="preserve">i </w:t>
      </w:r>
      <w:r w:rsidRPr="00D66F1A">
        <w:t xml:space="preserve">utlännings- och medborgarskapsärenden har hänvisats till socialförsäkringsutskottet. </w:t>
      </w:r>
      <w:r w:rsidR="003941EB" w:rsidRPr="00D66F1A">
        <w:t xml:space="preserve">Den </w:t>
      </w:r>
      <w:r w:rsidRPr="00D66F1A">
        <w:t>2</w:t>
      </w:r>
      <w:r w:rsidR="003941EB" w:rsidRPr="00D66F1A">
        <w:t> </w:t>
      </w:r>
      <w:r w:rsidRPr="00D66F1A">
        <w:t>juni 2005 beslutade socialförsäkringsutskottet att bereda justitieutsko</w:t>
      </w:r>
      <w:r w:rsidRPr="00D66F1A">
        <w:t>t</w:t>
      </w:r>
      <w:r w:rsidRPr="00D66F1A">
        <w:t>tet tillfälle att avge yt</w:t>
      </w:r>
      <w:r w:rsidRPr="00D66F1A">
        <w:t>t</w:t>
      </w:r>
      <w:r w:rsidRPr="00D66F1A">
        <w:t>rande över propositionen jämte eventuella motioner, i de delar som berör justitieutskottets beredning</w:t>
      </w:r>
      <w:r w:rsidRPr="00D66F1A">
        <w:t>s</w:t>
      </w:r>
      <w:r w:rsidRPr="00D66F1A">
        <w:t>område.</w:t>
      </w:r>
    </w:p>
    <w:p w:rsidR="00F544FD" w:rsidRPr="00D66F1A" w:rsidRDefault="00F544FD" w:rsidP="00F544FD">
      <w:pPr>
        <w:pStyle w:val="Normaltindrag"/>
      </w:pPr>
      <w:r w:rsidRPr="00D66F1A">
        <w:t>Med anledning av propositionen har motionerna 2004/05:Sf32</w:t>
      </w:r>
      <w:r w:rsidR="00860A17" w:rsidRPr="00D66F1A">
        <w:t>–</w:t>
      </w:r>
      <w:r w:rsidRPr="00D66F1A">
        <w:t>Sf34 väckts.</w:t>
      </w:r>
    </w:p>
    <w:p w:rsidR="00F544FD" w:rsidRPr="00D66F1A" w:rsidRDefault="00F544FD" w:rsidP="00F544FD">
      <w:pPr>
        <w:pStyle w:val="Normaltindrag"/>
      </w:pPr>
      <w:r w:rsidRPr="00D66F1A">
        <w:t>Ärendet föranleder följande yttrande från justitieutskottet.</w:t>
      </w:r>
    </w:p>
    <w:p w:rsidR="00DD5A5D" w:rsidRPr="00D66F1A" w:rsidRDefault="002C7524" w:rsidP="00DD5A5D">
      <w:pPr>
        <w:pStyle w:val="Normaltindrag"/>
      </w:pPr>
      <w:r w:rsidRPr="00D66F1A">
        <w:t xml:space="preserve">Till yttrandet har fogats </w:t>
      </w:r>
      <w:r w:rsidR="00887B31" w:rsidRPr="00D66F1A">
        <w:t xml:space="preserve">åtta </w:t>
      </w:r>
      <w:r w:rsidR="00FD4FC2" w:rsidRPr="00D66F1A">
        <w:t>a</w:t>
      </w:r>
      <w:r w:rsidRPr="00D66F1A">
        <w:t>vvikande meningar</w:t>
      </w:r>
      <w:r w:rsidR="008019B6" w:rsidRPr="00D66F1A">
        <w:t xml:space="preserve"> (m, fp, kd, c)</w:t>
      </w:r>
      <w:r w:rsidR="00457A95" w:rsidRPr="00D66F1A">
        <w:t>.</w:t>
      </w:r>
    </w:p>
    <w:p w:rsidR="00850353" w:rsidRPr="00D66F1A" w:rsidRDefault="001B4820" w:rsidP="00457A95">
      <w:pPr>
        <w:pStyle w:val="Rubrik2"/>
      </w:pPr>
      <w:bookmarkStart w:id="3" w:name="_Toc109621075"/>
      <w:r w:rsidRPr="00D66F1A">
        <w:t>P</w:t>
      </w:r>
      <w:r w:rsidR="00850353" w:rsidRPr="00D66F1A">
        <w:t>ropositionens huvudsakliga innehåll</w:t>
      </w:r>
      <w:bookmarkEnd w:id="3"/>
    </w:p>
    <w:p w:rsidR="00850353" w:rsidRPr="00D66F1A" w:rsidRDefault="00850353" w:rsidP="00850353">
      <w:r w:rsidRPr="00D66F1A">
        <w:t>I propositionen föreslås att en ny utlänningslag skall ersätta 1989 års utlä</w:t>
      </w:r>
      <w:r w:rsidRPr="00D66F1A">
        <w:t>n</w:t>
      </w:r>
      <w:r w:rsidRPr="00D66F1A">
        <w:t>ningslag</w:t>
      </w:r>
      <w:r w:rsidR="00F544FD" w:rsidRPr="00D66F1A">
        <w:t xml:space="preserve"> (1989:529)</w:t>
      </w:r>
      <w:r w:rsidRPr="00D66F1A">
        <w:t>. Det föreslås att en ny instans- och processordning i</w:t>
      </w:r>
      <w:r w:rsidR="00F544FD" w:rsidRPr="00D66F1A">
        <w:t>nförs i</w:t>
      </w:r>
      <w:r w:rsidRPr="00D66F1A">
        <w:t xml:space="preserve"> utlä</w:t>
      </w:r>
      <w:r w:rsidRPr="00D66F1A">
        <w:t>n</w:t>
      </w:r>
      <w:r w:rsidRPr="00D66F1A">
        <w:t>nings- och medborgarskapsärenden. Utlänningsnämnden skall upphöra. Överprövningen av Migrationsverkets beslut i utlännings- och medbo</w:t>
      </w:r>
      <w:r w:rsidRPr="00D66F1A">
        <w:t>r</w:t>
      </w:r>
      <w:r w:rsidRPr="00D66F1A">
        <w:t>garskapsärenden skall i stället ske i migrationsdomstolar och i en migration</w:t>
      </w:r>
      <w:r w:rsidRPr="00D66F1A">
        <w:t>s</w:t>
      </w:r>
      <w:r w:rsidRPr="00D66F1A">
        <w:t>överdomstol. Migr</w:t>
      </w:r>
      <w:r w:rsidRPr="00D66F1A">
        <w:t>a</w:t>
      </w:r>
      <w:r w:rsidRPr="00D66F1A">
        <w:t>tionsdomstolar skall vara vissa av regeringen utsedda länsrätter</w:t>
      </w:r>
      <w:r w:rsidR="00F544FD" w:rsidRPr="00D66F1A">
        <w:t>. K</w:t>
      </w:r>
      <w:r w:rsidRPr="00D66F1A">
        <w:t>ammarrätten i Stockholm skall vara migrationsöverdom</w:t>
      </w:r>
      <w:r w:rsidRPr="00D66F1A">
        <w:t>s</w:t>
      </w:r>
      <w:r w:rsidRPr="00D66F1A">
        <w:t xml:space="preserve">tol. </w:t>
      </w:r>
    </w:p>
    <w:p w:rsidR="00850353" w:rsidRPr="00D66F1A" w:rsidRDefault="009F741C" w:rsidP="00850353">
      <w:pPr>
        <w:pStyle w:val="Normaltindrag"/>
      </w:pPr>
      <w:r w:rsidRPr="00D66F1A">
        <w:t>Ändringar föreslås också i lagen (1991:572) om särskild utlänningsko</w:t>
      </w:r>
      <w:r w:rsidRPr="00D66F1A">
        <w:t>n</w:t>
      </w:r>
      <w:r w:rsidRPr="00D66F1A">
        <w:t xml:space="preserve">troll och lagen (2001:82) om svenskt medborgarskap. </w:t>
      </w:r>
      <w:r w:rsidR="00850353" w:rsidRPr="00D66F1A">
        <w:t>Därutöver föreslås följdän</w:t>
      </w:r>
      <w:r w:rsidR="00850353" w:rsidRPr="00D66F1A">
        <w:t>d</w:t>
      </w:r>
      <w:r w:rsidR="00850353" w:rsidRPr="00D66F1A">
        <w:t>ringar i annan la</w:t>
      </w:r>
      <w:r w:rsidR="00850353" w:rsidRPr="00D66F1A">
        <w:t>g</w:t>
      </w:r>
      <w:r w:rsidR="00850353" w:rsidRPr="00D66F1A">
        <w:t xml:space="preserve">stiftning. </w:t>
      </w:r>
    </w:p>
    <w:p w:rsidR="005B79A8" w:rsidRPr="00D66F1A" w:rsidRDefault="00850353" w:rsidP="00850353">
      <w:pPr>
        <w:pStyle w:val="Normaltindrag"/>
      </w:pPr>
      <w:r w:rsidRPr="00D66F1A">
        <w:t xml:space="preserve">Ändringarna föreslås </w:t>
      </w:r>
      <w:r w:rsidR="00C61945" w:rsidRPr="00D66F1A">
        <w:t>träda i kraft den 31 mars 2006.</w:t>
      </w:r>
    </w:p>
    <w:p w:rsidR="00CD03E6" w:rsidRPr="00D66F1A" w:rsidRDefault="00A76AD7" w:rsidP="00457A95">
      <w:pPr>
        <w:pStyle w:val="Rubrik2"/>
      </w:pPr>
      <w:bookmarkStart w:id="4" w:name="_Toc109621076"/>
      <w:r w:rsidRPr="00D66F1A">
        <w:lastRenderedPageBreak/>
        <w:t>Justitieutskottets</w:t>
      </w:r>
      <w:r w:rsidR="005B79A8" w:rsidRPr="00D66F1A">
        <w:t xml:space="preserve"> överväganden</w:t>
      </w:r>
      <w:bookmarkEnd w:id="4"/>
    </w:p>
    <w:p w:rsidR="00DD5A5D" w:rsidRPr="00D66F1A" w:rsidRDefault="00DD5A5D" w:rsidP="00457A95">
      <w:pPr>
        <w:pStyle w:val="Rubrik3"/>
        <w:rPr>
          <w:noProof w:val="0"/>
        </w:rPr>
      </w:pPr>
      <w:bookmarkStart w:id="5" w:name="_Toc109621077"/>
      <w:r w:rsidRPr="00D66F1A">
        <w:rPr>
          <w:noProof w:val="0"/>
        </w:rPr>
        <w:t>Yttrandets omfattning</w:t>
      </w:r>
      <w:bookmarkEnd w:id="5"/>
    </w:p>
    <w:p w:rsidR="00DD5A5D" w:rsidRPr="00D66F1A" w:rsidRDefault="00DD5A5D" w:rsidP="00DD5A5D">
      <w:r w:rsidRPr="00D66F1A">
        <w:t xml:space="preserve">De frågor som aktualiseras i ärendet och som ligger inom justitieutskottets beredningsområde är </w:t>
      </w:r>
      <w:r w:rsidR="00860A17" w:rsidRPr="00D66F1A">
        <w:t xml:space="preserve">främst </w:t>
      </w:r>
      <w:r w:rsidRPr="00D66F1A">
        <w:t>frågor om inrättande av migrationsdomstolar och vissa därmed sammanhängande processrättsliga frågor. I anslutning hä</w:t>
      </w:r>
      <w:r w:rsidRPr="00D66F1A">
        <w:t>r</w:t>
      </w:r>
      <w:r w:rsidRPr="00D66F1A">
        <w:t>till kommer några av de motionsyrkande</w:t>
      </w:r>
      <w:r w:rsidR="001529E6" w:rsidRPr="00D66F1A">
        <w:t>n</w:t>
      </w:r>
      <w:r w:rsidRPr="00D66F1A">
        <w:t xml:space="preserve"> som väckts med anledning av propos</w:t>
      </w:r>
      <w:r w:rsidRPr="00D66F1A">
        <w:t>i</w:t>
      </w:r>
      <w:r w:rsidRPr="00D66F1A">
        <w:t xml:space="preserve">tionen att behandlas, nämligen motionerna 2004/05:Sf33 yrkande 1 samt 2004/05:Sf34 yrkandena 4 och </w:t>
      </w:r>
      <w:r w:rsidR="00860A17" w:rsidRPr="00D66F1A">
        <w:t>8</w:t>
      </w:r>
      <w:r w:rsidR="00080FB8" w:rsidRPr="00D66F1A">
        <w:t>–11.</w:t>
      </w:r>
    </w:p>
    <w:p w:rsidR="000E5B7E" w:rsidRPr="00D66F1A" w:rsidRDefault="00DD5A5D" w:rsidP="00457A95">
      <w:pPr>
        <w:pStyle w:val="Rubrik3"/>
        <w:rPr>
          <w:noProof w:val="0"/>
        </w:rPr>
      </w:pPr>
      <w:bookmarkStart w:id="6" w:name="_Toc109621078"/>
      <w:r w:rsidRPr="00D66F1A">
        <w:rPr>
          <w:noProof w:val="0"/>
        </w:rPr>
        <w:t>M</w:t>
      </w:r>
      <w:r w:rsidR="00BB2868" w:rsidRPr="00D66F1A">
        <w:rPr>
          <w:noProof w:val="0"/>
        </w:rPr>
        <w:t>igrationsdomstolar</w:t>
      </w:r>
      <w:bookmarkEnd w:id="6"/>
    </w:p>
    <w:p w:rsidR="005A7074" w:rsidRPr="00D66F1A" w:rsidRDefault="000E5B7E" w:rsidP="00C61945">
      <w:pPr>
        <w:pStyle w:val="Rubrik4"/>
        <w:rPr>
          <w:noProof w:val="0"/>
        </w:rPr>
      </w:pPr>
      <w:bookmarkStart w:id="7" w:name="_Toc109621079"/>
      <w:r w:rsidRPr="00D66F1A">
        <w:rPr>
          <w:noProof w:val="0"/>
        </w:rPr>
        <w:t>Gällande rätt</w:t>
      </w:r>
      <w:bookmarkEnd w:id="7"/>
    </w:p>
    <w:p w:rsidR="000E5B7E" w:rsidRPr="00D66F1A" w:rsidRDefault="00BC3F08" w:rsidP="004D3665">
      <w:r w:rsidRPr="00D66F1A">
        <w:t xml:space="preserve">Migrationsverkets </w:t>
      </w:r>
      <w:r w:rsidR="000959AB" w:rsidRPr="00D66F1A">
        <w:t>beslut om avvisning och utvisning kan överklagas till U</w:t>
      </w:r>
      <w:r w:rsidR="000959AB" w:rsidRPr="00D66F1A">
        <w:t>t</w:t>
      </w:r>
      <w:r w:rsidR="000959AB" w:rsidRPr="00D66F1A">
        <w:t xml:space="preserve">länningsnämnden. </w:t>
      </w:r>
      <w:r w:rsidR="00DD5A5D" w:rsidRPr="00D66F1A">
        <w:t xml:space="preserve">Sedan den 1 januari 1997 kan också beslut om avslag på ansökningar om uppehållstillstånd överklagas, även </w:t>
      </w:r>
      <w:r w:rsidR="004D3665" w:rsidRPr="00D66F1A">
        <w:t xml:space="preserve">om </w:t>
      </w:r>
      <w:r w:rsidR="00DD5A5D" w:rsidRPr="00D66F1A">
        <w:t>de inte innebär att u</w:t>
      </w:r>
      <w:r w:rsidR="00DD5A5D" w:rsidRPr="00D66F1A">
        <w:t>t</w:t>
      </w:r>
      <w:r w:rsidR="00DD5A5D" w:rsidRPr="00D66F1A">
        <w:t xml:space="preserve">länningen avvisas eller utvisas. Till Utlänningsnämnden överklagas vidare verkets </w:t>
      </w:r>
      <w:r w:rsidR="000959AB" w:rsidRPr="00D66F1A">
        <w:t>beslut i ärenden om flyktingförklaring och resedokument samt i me</w:t>
      </w:r>
      <w:r w:rsidR="000959AB" w:rsidRPr="00D66F1A">
        <w:t>d</w:t>
      </w:r>
      <w:r w:rsidR="000959AB" w:rsidRPr="00D66F1A">
        <w:t>bo</w:t>
      </w:r>
      <w:r w:rsidR="000959AB" w:rsidRPr="00D66F1A">
        <w:t>r</w:t>
      </w:r>
      <w:r w:rsidR="000959AB" w:rsidRPr="00D66F1A">
        <w:t xml:space="preserve">garskapsärenden. </w:t>
      </w:r>
    </w:p>
    <w:p w:rsidR="000959AB" w:rsidRPr="00D66F1A" w:rsidRDefault="00BC3F08" w:rsidP="00E00982">
      <w:pPr>
        <w:pStyle w:val="Normaltindrag"/>
      </w:pPr>
      <w:r w:rsidRPr="00D66F1A">
        <w:t>Vissa andra beslut av Migrationsverket överklagas till allmän förval</w:t>
      </w:r>
      <w:r w:rsidRPr="00D66F1A">
        <w:t>t</w:t>
      </w:r>
      <w:r w:rsidRPr="00D66F1A">
        <w:t>ningsdomstol.</w:t>
      </w:r>
      <w:r w:rsidR="000E5B7E" w:rsidRPr="00D66F1A">
        <w:t xml:space="preserve"> Detta gäller beslut om omhändertagande av biljetter, b</w:t>
      </w:r>
      <w:r w:rsidR="000E5B7E" w:rsidRPr="00D66F1A">
        <w:t>e</w:t>
      </w:r>
      <w:r w:rsidR="004D3665" w:rsidRPr="00D66F1A">
        <w:t xml:space="preserve">slut </w:t>
      </w:r>
      <w:r w:rsidR="000E5B7E" w:rsidRPr="00D66F1A">
        <w:t xml:space="preserve">om förvar, beslut </w:t>
      </w:r>
      <w:r w:rsidR="00860A17" w:rsidRPr="00D66F1A">
        <w:t xml:space="preserve">om </w:t>
      </w:r>
      <w:r w:rsidR="000E5B7E" w:rsidRPr="00D66F1A">
        <w:t>placeringen och behandlingen av förvar</w:t>
      </w:r>
      <w:r w:rsidR="000E5B7E" w:rsidRPr="00D66F1A">
        <w:t>s</w:t>
      </w:r>
      <w:r w:rsidR="000E5B7E" w:rsidRPr="00D66F1A">
        <w:t>tagna samt beslut om kostnadsansvar och särskild avgift för tran</w:t>
      </w:r>
      <w:r w:rsidR="000E5B7E" w:rsidRPr="00D66F1A">
        <w:t>s</w:t>
      </w:r>
      <w:r w:rsidR="000E5B7E" w:rsidRPr="00D66F1A">
        <w:t>portörer.</w:t>
      </w:r>
    </w:p>
    <w:p w:rsidR="00BC3F08" w:rsidRPr="00D66F1A" w:rsidRDefault="00BC3F08" w:rsidP="00E00982">
      <w:pPr>
        <w:pStyle w:val="Normaltindrag"/>
        <w:rPr>
          <w:b/>
        </w:rPr>
      </w:pPr>
      <w:r w:rsidRPr="00D66F1A">
        <w:t xml:space="preserve">Regeringen, som innan </w:t>
      </w:r>
      <w:r w:rsidR="001529E6" w:rsidRPr="00D66F1A">
        <w:t>U</w:t>
      </w:r>
      <w:r w:rsidRPr="00D66F1A">
        <w:t>tlänningsnämnden inrättades den 1 januari 1992 prövade samtliga överklagande</w:t>
      </w:r>
      <w:r w:rsidR="00213934" w:rsidRPr="00D66F1A">
        <w:t>n</w:t>
      </w:r>
      <w:r w:rsidRPr="00D66F1A">
        <w:t xml:space="preserve"> av Migrationsverkets beslut, </w:t>
      </w:r>
      <w:r w:rsidR="00B449DA" w:rsidRPr="00D66F1A">
        <w:t xml:space="preserve">avgör </w:t>
      </w:r>
      <w:r w:rsidR="00860A17" w:rsidRPr="00D66F1A">
        <w:t>fortf</w:t>
      </w:r>
      <w:r w:rsidR="00860A17" w:rsidRPr="00D66F1A">
        <w:t>a</w:t>
      </w:r>
      <w:r w:rsidR="00860A17" w:rsidRPr="00D66F1A">
        <w:t xml:space="preserve">rande </w:t>
      </w:r>
      <w:r w:rsidRPr="00D66F1A">
        <w:t>ett mindre antal utlännings- och medborgarskapsärenden. En förutsät</w:t>
      </w:r>
      <w:r w:rsidRPr="00D66F1A">
        <w:t>t</w:t>
      </w:r>
      <w:r w:rsidRPr="00D66F1A">
        <w:t>ning för att ett enskilt ärende enligt utlänningslagen och lagen om svenskt medborgarskap skall komma under regeringens prövning är att ärendet lä</w:t>
      </w:r>
      <w:r w:rsidRPr="00D66F1A">
        <w:t>m</w:t>
      </w:r>
      <w:r w:rsidRPr="00D66F1A">
        <w:t xml:space="preserve">nas över dit från Migrationsverket </w:t>
      </w:r>
      <w:r w:rsidR="00860A17" w:rsidRPr="00D66F1A">
        <w:t xml:space="preserve">eller </w:t>
      </w:r>
      <w:r w:rsidRPr="00D66F1A">
        <w:t>Utlänningsnämnden. I medbo</w:t>
      </w:r>
      <w:r w:rsidRPr="00D66F1A">
        <w:t>r</w:t>
      </w:r>
      <w:r w:rsidRPr="00D66F1A">
        <w:t xml:space="preserve">garskapsärenden där Rikspolisstyrelsen har föreslagit att </w:t>
      </w:r>
      <w:r w:rsidR="00860A17" w:rsidRPr="00D66F1A">
        <w:t xml:space="preserve">en </w:t>
      </w:r>
      <w:r w:rsidRPr="00D66F1A">
        <w:t>ansökan skall avslås av skäl som rör rikets säkerhet eller allmän säkerhet, får dock Migr</w:t>
      </w:r>
      <w:r w:rsidRPr="00D66F1A">
        <w:t>a</w:t>
      </w:r>
      <w:r w:rsidRPr="00D66F1A">
        <w:t>tionsverkets beslut öve</w:t>
      </w:r>
      <w:r w:rsidRPr="00D66F1A">
        <w:t>r</w:t>
      </w:r>
      <w:r w:rsidRPr="00D66F1A">
        <w:t xml:space="preserve">klagas till regeringen.  </w:t>
      </w:r>
    </w:p>
    <w:p w:rsidR="0029110F" w:rsidRPr="00D66F1A" w:rsidRDefault="0029110F" w:rsidP="0029110F">
      <w:pPr>
        <w:pStyle w:val="Normaltindrag"/>
      </w:pPr>
      <w:r w:rsidRPr="00D66F1A">
        <w:t xml:space="preserve">Utlänningsnämnden är en förvaltningsmyndighet med domstolsliknande uppgifter. </w:t>
      </w:r>
      <w:r w:rsidR="00BC3F08" w:rsidRPr="00D66F1A">
        <w:t>N</w:t>
      </w:r>
      <w:r w:rsidRPr="00D66F1A">
        <w:t xml:space="preserve">ämnden </w:t>
      </w:r>
      <w:r w:rsidR="00BC3F08" w:rsidRPr="00D66F1A">
        <w:t xml:space="preserve">skall </w:t>
      </w:r>
      <w:r w:rsidRPr="00D66F1A">
        <w:t>enligt 7 kap. 3 § andra stycket utlänningsl</w:t>
      </w:r>
      <w:r w:rsidRPr="00D66F1A">
        <w:t>a</w:t>
      </w:r>
      <w:r w:rsidRPr="00D66F1A">
        <w:t xml:space="preserve">gen </w:t>
      </w:r>
      <w:r w:rsidR="00BC3F08" w:rsidRPr="00D66F1A">
        <w:t xml:space="preserve">bestå </w:t>
      </w:r>
      <w:r w:rsidRPr="00D66F1A">
        <w:t>av ordförande, varav en är generaldirektör och myndighetens chef, och övriga ledamöter av det antal som regeringen bestämmer. Det skall också finn</w:t>
      </w:r>
      <w:r w:rsidR="00BC3F08" w:rsidRPr="00D66F1A">
        <w:t>a</w:t>
      </w:r>
      <w:r w:rsidRPr="00D66F1A">
        <w:t>s ersä</w:t>
      </w:r>
      <w:r w:rsidRPr="00D66F1A">
        <w:t>t</w:t>
      </w:r>
      <w:r w:rsidRPr="00D66F1A">
        <w:t>tare för ordförande. Ordförande och ersättare för ordförande skall vara jurister och ha erfarenhet av tjänstgöring som domare eller annan likvä</w:t>
      </w:r>
      <w:r w:rsidRPr="00D66F1A">
        <w:t>r</w:t>
      </w:r>
      <w:r w:rsidRPr="00D66F1A">
        <w:t>dig erfarenhet</w:t>
      </w:r>
      <w:r w:rsidR="00E264CB" w:rsidRPr="00D66F1A">
        <w:t>. De övriga led</w:t>
      </w:r>
      <w:r w:rsidR="00BC3F08" w:rsidRPr="00D66F1A">
        <w:t>a</w:t>
      </w:r>
      <w:r w:rsidR="00E264CB" w:rsidRPr="00D66F1A">
        <w:t>möterna utses efter förslag av de politiska part</w:t>
      </w:r>
      <w:r w:rsidR="00E264CB" w:rsidRPr="00D66F1A">
        <w:t>i</w:t>
      </w:r>
      <w:r w:rsidR="008019B6" w:rsidRPr="00D66F1A">
        <w:t>erna.</w:t>
      </w:r>
    </w:p>
    <w:p w:rsidR="00860A17" w:rsidRPr="00D66F1A" w:rsidRDefault="00860A17" w:rsidP="00860A17">
      <w:pPr>
        <w:pStyle w:val="Normaltindrag"/>
      </w:pPr>
      <w:r w:rsidRPr="00D66F1A">
        <w:t>Förutom att överpröva Migrationsverkets beslut i utlännings- och medbo</w:t>
      </w:r>
      <w:r w:rsidRPr="00D66F1A">
        <w:t>r</w:t>
      </w:r>
      <w:r w:rsidRPr="00D66F1A">
        <w:t>garskapsärenden handlägger Utlänningsnämnden nya ansökningar om upp</w:t>
      </w:r>
      <w:r w:rsidRPr="00D66F1A">
        <w:t>e</w:t>
      </w:r>
      <w:r w:rsidRPr="00D66F1A">
        <w:t>hållstillstånd som görs efter det att ett beslut om avvisning eller utvisning har vunnit laga kraft (s.k. NUT-ärenden).</w:t>
      </w:r>
    </w:p>
    <w:p w:rsidR="00E264CB" w:rsidRPr="00D66F1A" w:rsidRDefault="00E264CB" w:rsidP="0029110F">
      <w:pPr>
        <w:pStyle w:val="Normaltindrag"/>
      </w:pPr>
      <w:r w:rsidRPr="00D66F1A">
        <w:t xml:space="preserve">Utlänningsnämnden är </w:t>
      </w:r>
      <w:r w:rsidR="009F741C" w:rsidRPr="00D66F1A">
        <w:t>beslut</w:t>
      </w:r>
      <w:r w:rsidR="00860A17" w:rsidRPr="00D66F1A">
        <w:t>s</w:t>
      </w:r>
      <w:r w:rsidR="009F741C" w:rsidRPr="00D66F1A">
        <w:t>för</w:t>
      </w:r>
      <w:r w:rsidRPr="00D66F1A">
        <w:t xml:space="preserve"> i olika sammansättningar. Huvudregeln är att nämnden är </w:t>
      </w:r>
      <w:r w:rsidR="009F741C" w:rsidRPr="00D66F1A">
        <w:t>beslut</w:t>
      </w:r>
      <w:r w:rsidR="00860A17" w:rsidRPr="00D66F1A">
        <w:t>s</w:t>
      </w:r>
      <w:r w:rsidR="009F741C" w:rsidRPr="00D66F1A">
        <w:t>för</w:t>
      </w:r>
      <w:r w:rsidRPr="00D66F1A">
        <w:t xml:space="preserve"> med en ordförande och två andra ledamöter. Om det uppkommer en fråga av principiell betydelse i ett ärende eller en fråga om att ändra nämndens praxis får det beslutas att ärendet skall avgöras av minst två ordförande och minst fyra andra ledamöter. I denna utökade sammansät</w:t>
      </w:r>
      <w:r w:rsidRPr="00D66F1A">
        <w:t>t</w:t>
      </w:r>
      <w:r w:rsidRPr="00D66F1A">
        <w:t>ning skall generaldirektören normalt delta i avgörandet. En ordföra</w:t>
      </w:r>
      <w:r w:rsidRPr="00D66F1A">
        <w:t>n</w:t>
      </w:r>
      <w:r w:rsidRPr="00D66F1A">
        <w:t>de får ensam avgöra bl.a. frågor om inhibition, frågor om förvar och uppsikt,</w:t>
      </w:r>
      <w:r w:rsidR="00860A17" w:rsidRPr="00D66F1A">
        <w:t xml:space="preserve"> NUT-ärenden</w:t>
      </w:r>
      <w:r w:rsidRPr="00D66F1A">
        <w:t xml:space="preserve"> och andra frågor, om prövningen är av e</w:t>
      </w:r>
      <w:r w:rsidRPr="00D66F1A">
        <w:t>n</w:t>
      </w:r>
      <w:r w:rsidRPr="00D66F1A">
        <w:t>kelt slag.</w:t>
      </w:r>
    </w:p>
    <w:p w:rsidR="00E264CB" w:rsidRPr="00D66F1A" w:rsidRDefault="00E264CB" w:rsidP="0029110F">
      <w:pPr>
        <w:pStyle w:val="Normaltindrag"/>
      </w:pPr>
      <w:r w:rsidRPr="00D66F1A">
        <w:t xml:space="preserve">Ordföranden bestämmer </w:t>
      </w:r>
      <w:r w:rsidR="00B449DA" w:rsidRPr="00D66F1A">
        <w:t xml:space="preserve">om ärendet </w:t>
      </w:r>
      <w:r w:rsidRPr="00D66F1A">
        <w:t>skall föredras för lekmannaledam</w:t>
      </w:r>
      <w:r w:rsidRPr="00D66F1A">
        <w:t>ö</w:t>
      </w:r>
      <w:r w:rsidRPr="00D66F1A">
        <w:t>ter. I vissa fall kallas utlänningen och även andra personer till muntlig handläg</w:t>
      </w:r>
      <w:r w:rsidRPr="00D66F1A">
        <w:t>g</w:t>
      </w:r>
      <w:r w:rsidRPr="00D66F1A">
        <w:t>ning. Nämnden får i vissa fall lämna över ärenden för avgörande av a</w:t>
      </w:r>
      <w:r w:rsidRPr="00D66F1A">
        <w:t>n</w:t>
      </w:r>
      <w:r w:rsidRPr="00D66F1A">
        <w:t>nan tjänsteman än ordförande. Det gäller ärenden om svenskt medborga</w:t>
      </w:r>
      <w:r w:rsidRPr="00D66F1A">
        <w:t>r</w:t>
      </w:r>
      <w:r w:rsidRPr="00D66F1A">
        <w:t>skap och om uppehållstillstånd i s.k. anknytningsfall, under förutsättning att prövnin</w:t>
      </w:r>
      <w:r w:rsidRPr="00D66F1A">
        <w:t>g</w:t>
      </w:r>
      <w:r w:rsidRPr="00D66F1A">
        <w:t xml:space="preserve">en är av enkelt slag och ansökan görs från ett annat land och inte omfattas av EES-avtalet. Ytterligare en förutsättning är att den tjänsteman som får avgöra ärendet är jurist och har särskild erfarenhet av verksamheten. </w:t>
      </w:r>
    </w:p>
    <w:p w:rsidR="004D3665" w:rsidRPr="00D66F1A" w:rsidRDefault="0009040A" w:rsidP="0029110F">
      <w:pPr>
        <w:pStyle w:val="Normaltindrag"/>
      </w:pPr>
      <w:r w:rsidRPr="00D66F1A">
        <w:t>Handläggningen i Utlänningsnämnden är enligt huvudregeln skriftlig. Muntlig handläggning skall dock enligt 11 kap</w:t>
      </w:r>
      <w:r w:rsidR="00E264CB" w:rsidRPr="00D66F1A">
        <w:t>. 1 § utlänningslagen ingå, om det kan anses vara till fördel för utredningen eller på annat sätt bidra till ett snabbt avgörande. Muntlig handläggning skall även annars företas på utlä</w:t>
      </w:r>
      <w:r w:rsidR="00E264CB" w:rsidRPr="00D66F1A">
        <w:t>n</w:t>
      </w:r>
      <w:r w:rsidR="00E264CB" w:rsidRPr="00D66F1A">
        <w:t>ningens begäran, om det inte står klart att en sådan handläggning är obehö</w:t>
      </w:r>
      <w:r w:rsidR="00E264CB" w:rsidRPr="00D66F1A">
        <w:t>v</w:t>
      </w:r>
      <w:r w:rsidR="00E264CB" w:rsidRPr="00D66F1A">
        <w:t xml:space="preserve">lig. </w:t>
      </w:r>
      <w:r w:rsidR="004D3665" w:rsidRPr="00D66F1A">
        <w:t>Utlänningsnämnden har rätt att besluta om formen för den muntliga han</w:t>
      </w:r>
      <w:r w:rsidR="004D3665" w:rsidRPr="00D66F1A">
        <w:t>d</w:t>
      </w:r>
      <w:r w:rsidR="004D3665" w:rsidRPr="00D66F1A">
        <w:t>läggningen från fall till fall. I förarbetena till regelns nuvarande lydelse påp</w:t>
      </w:r>
      <w:r w:rsidR="004D3665" w:rsidRPr="00D66F1A">
        <w:t>e</w:t>
      </w:r>
      <w:r w:rsidR="004D3665" w:rsidRPr="00D66F1A">
        <w:t>ka</w:t>
      </w:r>
      <w:r w:rsidR="00B449DA" w:rsidRPr="00D66F1A">
        <w:t>de</w:t>
      </w:r>
      <w:r w:rsidR="004D3665" w:rsidRPr="00D66F1A">
        <w:t xml:space="preserve"> dock regeringen att det är lämpligt att den nämndsamma</w:t>
      </w:r>
      <w:r w:rsidR="004D3665" w:rsidRPr="00D66F1A">
        <w:t>n</w:t>
      </w:r>
      <w:r w:rsidR="004D3665" w:rsidRPr="00D66F1A">
        <w:t>sättning som avgör ärendet deltar i den muntliga h</w:t>
      </w:r>
      <w:r w:rsidR="003F180F" w:rsidRPr="00D66F1A">
        <w:t xml:space="preserve">andläggningen (prop. 1996/97:25 </w:t>
      </w:r>
      <w:r w:rsidR="004D3665" w:rsidRPr="00D66F1A">
        <w:t>s.</w:t>
      </w:r>
      <w:r w:rsidR="00860A17" w:rsidRPr="00D66F1A">
        <w:t> </w:t>
      </w:r>
      <w:smartTag w:uri="urn:schemas-microsoft-com:office:smarttags" w:element="metricconverter">
        <w:smartTagPr>
          <w:attr w:name="ProductID" w:val="201ﾠf"/>
        </w:smartTagPr>
        <w:r w:rsidR="004D3665" w:rsidRPr="00D66F1A">
          <w:t>201 f</w:t>
        </w:r>
      </w:smartTag>
      <w:r w:rsidR="004D3665" w:rsidRPr="00D66F1A">
        <w:t xml:space="preserve">.). </w:t>
      </w:r>
    </w:p>
    <w:p w:rsidR="000E5B7E" w:rsidRPr="00D66F1A" w:rsidRDefault="000E5B7E" w:rsidP="00C61945">
      <w:pPr>
        <w:pStyle w:val="Rubrik4"/>
        <w:rPr>
          <w:noProof w:val="0"/>
        </w:rPr>
      </w:pPr>
      <w:bookmarkStart w:id="8" w:name="_Toc109621080"/>
      <w:r w:rsidRPr="00D66F1A">
        <w:rPr>
          <w:noProof w:val="0"/>
        </w:rPr>
        <w:t>Propositionen</w:t>
      </w:r>
      <w:bookmarkEnd w:id="8"/>
    </w:p>
    <w:p w:rsidR="00C809E1" w:rsidRPr="00D66F1A" w:rsidRDefault="005B79A8" w:rsidP="0081035F">
      <w:r w:rsidRPr="00D66F1A">
        <w:t>I propositionen föreslår regeringen att Utlänningsnämnden skall upphöra. Migrationsverkets beslut skall i stället överprövas i migr</w:t>
      </w:r>
      <w:r w:rsidR="002C066D" w:rsidRPr="00D66F1A">
        <w:t>ationsdomst</w:t>
      </w:r>
      <w:r w:rsidR="002C066D" w:rsidRPr="00D66F1A">
        <w:t>o</w:t>
      </w:r>
      <w:r w:rsidR="002C066D" w:rsidRPr="00D66F1A">
        <w:t xml:space="preserve">lar och en </w:t>
      </w:r>
      <w:r w:rsidR="003F180F" w:rsidRPr="00D66F1A">
        <w:t>m</w:t>
      </w:r>
      <w:r w:rsidR="002C066D" w:rsidRPr="00D66F1A">
        <w:t>igrationsöverdomstol</w:t>
      </w:r>
      <w:r w:rsidR="00860A17" w:rsidRPr="00D66F1A">
        <w:t>.</w:t>
      </w:r>
      <w:r w:rsidR="002C066D" w:rsidRPr="00D66F1A">
        <w:t xml:space="preserve"> De länsrätter som regeringen bestämmer i föror</w:t>
      </w:r>
      <w:r w:rsidR="002C066D" w:rsidRPr="00D66F1A">
        <w:t>d</w:t>
      </w:r>
      <w:r w:rsidR="002C066D" w:rsidRPr="00D66F1A">
        <w:t>ning skall vara migrationsdomstolar</w:t>
      </w:r>
      <w:r w:rsidRPr="00D66F1A">
        <w:t>.</w:t>
      </w:r>
      <w:r w:rsidR="002C066D" w:rsidRPr="00D66F1A">
        <w:t xml:space="preserve"> </w:t>
      </w:r>
      <w:r w:rsidR="00B449DA" w:rsidRPr="00D66F1A">
        <w:t>D</w:t>
      </w:r>
      <w:r w:rsidR="009A0CA1" w:rsidRPr="00D66F1A">
        <w:t xml:space="preserve">et </w:t>
      </w:r>
      <w:r w:rsidR="00B449DA" w:rsidRPr="00D66F1A">
        <w:t xml:space="preserve">är </w:t>
      </w:r>
      <w:r w:rsidR="009A0CA1" w:rsidRPr="00D66F1A">
        <w:t>regeringens avsikt att länsrä</w:t>
      </w:r>
      <w:r w:rsidR="009A0CA1" w:rsidRPr="00D66F1A">
        <w:t>t</w:t>
      </w:r>
      <w:r w:rsidR="009A0CA1" w:rsidRPr="00D66F1A">
        <w:t xml:space="preserve">terna i Stockholms län, Skåne län och Göteborg </w:t>
      </w:r>
      <w:r w:rsidR="00BA0DD4" w:rsidRPr="00D66F1A">
        <w:t>skall vara migrationsdomst</w:t>
      </w:r>
      <w:r w:rsidR="00BA0DD4" w:rsidRPr="00D66F1A">
        <w:t>o</w:t>
      </w:r>
      <w:r w:rsidR="00BA0DD4" w:rsidRPr="00D66F1A">
        <w:t xml:space="preserve">lar. </w:t>
      </w:r>
      <w:r w:rsidR="001D4E30" w:rsidRPr="00D66F1A">
        <w:t>Kammarrätten i Stockholm skall</w:t>
      </w:r>
      <w:r w:rsidR="007963FD" w:rsidRPr="00D66F1A">
        <w:t xml:space="preserve"> enligt lagförslaget i propositionen</w:t>
      </w:r>
      <w:r w:rsidR="001D4E30" w:rsidRPr="00D66F1A">
        <w:t xml:space="preserve"> vara m</w:t>
      </w:r>
      <w:r w:rsidR="001D4E30" w:rsidRPr="00D66F1A">
        <w:t>i</w:t>
      </w:r>
      <w:r w:rsidR="001D4E30" w:rsidRPr="00D66F1A">
        <w:t xml:space="preserve">grationsöverdomstol. </w:t>
      </w:r>
      <w:r w:rsidR="002B1FDA" w:rsidRPr="00D66F1A">
        <w:t>Migrationsöverdomstolen</w:t>
      </w:r>
      <w:r w:rsidR="00591AAE" w:rsidRPr="00D66F1A">
        <w:t>s beslut skall enligt försl</w:t>
      </w:r>
      <w:r w:rsidR="00591AAE" w:rsidRPr="00D66F1A">
        <w:t>a</w:t>
      </w:r>
      <w:r w:rsidR="00591AAE" w:rsidRPr="00D66F1A">
        <w:t>get inte kunna överklagas. Instansordningen kommer således att avvika från vad som i allmänhet gäller i förvaltningsprocessen, dvs. länsrätt</w:t>
      </w:r>
      <w:r w:rsidR="003F180F" w:rsidRPr="00D66F1A">
        <w:t>–</w:t>
      </w:r>
      <w:r w:rsidR="00591AAE" w:rsidRPr="00D66F1A">
        <w:t>kammarrätt</w:t>
      </w:r>
      <w:r w:rsidR="003F180F" w:rsidRPr="00D66F1A">
        <w:t>–</w:t>
      </w:r>
      <w:r w:rsidR="00591AAE" w:rsidRPr="00D66F1A">
        <w:t>R</w:t>
      </w:r>
      <w:r w:rsidR="00591AAE" w:rsidRPr="00D66F1A">
        <w:t>e</w:t>
      </w:r>
      <w:r w:rsidR="00591AAE" w:rsidRPr="00D66F1A">
        <w:t>geringsrätten.</w:t>
      </w:r>
    </w:p>
    <w:p w:rsidR="00346296" w:rsidRPr="00D66F1A" w:rsidRDefault="0081035F" w:rsidP="00C809E1">
      <w:pPr>
        <w:pStyle w:val="Normaltindrag"/>
      </w:pPr>
      <w:r w:rsidRPr="00D66F1A">
        <w:t>V</w:t>
      </w:r>
      <w:r w:rsidR="00346296" w:rsidRPr="00D66F1A">
        <w:t>id ett öve</w:t>
      </w:r>
      <w:r w:rsidR="00346296" w:rsidRPr="00D66F1A">
        <w:t>r</w:t>
      </w:r>
      <w:r w:rsidR="00346296" w:rsidRPr="00D66F1A">
        <w:t>klagande kommer en process mellan två parter – utlänningen och Migrationsverket – att föras i domstolarna.</w:t>
      </w:r>
      <w:r w:rsidR="00860A17" w:rsidRPr="00D66F1A">
        <w:t xml:space="preserve"> </w:t>
      </w:r>
      <w:r w:rsidR="00247BED" w:rsidRPr="00D66F1A">
        <w:t>Enskilda ärenden</w:t>
      </w:r>
      <w:r w:rsidR="00860A17" w:rsidRPr="00D66F1A">
        <w:t xml:space="preserve"> skall inte längre kunna </w:t>
      </w:r>
      <w:r w:rsidR="00247BED" w:rsidRPr="00D66F1A">
        <w:t>överlämnas till regeringen</w:t>
      </w:r>
      <w:r w:rsidR="00860A17" w:rsidRPr="00D66F1A">
        <w:t xml:space="preserve"> för vägledande b</w:t>
      </w:r>
      <w:r w:rsidR="00860A17" w:rsidRPr="00D66F1A">
        <w:t>e</w:t>
      </w:r>
      <w:r w:rsidR="00860A17" w:rsidRPr="00D66F1A">
        <w:t>slut.</w:t>
      </w:r>
    </w:p>
    <w:p w:rsidR="00346296" w:rsidRPr="00D66F1A" w:rsidRDefault="00B96B93" w:rsidP="00346296">
      <w:pPr>
        <w:pStyle w:val="Normaltindrag"/>
      </w:pPr>
      <w:r w:rsidRPr="00D66F1A">
        <w:t xml:space="preserve">De utlänningsmål som skall handläggas i </w:t>
      </w:r>
      <w:r w:rsidR="000E5B7E" w:rsidRPr="00D66F1A">
        <w:t xml:space="preserve">den nya ordningen </w:t>
      </w:r>
      <w:r w:rsidRPr="00D66F1A">
        <w:t xml:space="preserve">motsvarar </w:t>
      </w:r>
      <w:r w:rsidR="000E5B7E" w:rsidRPr="00D66F1A">
        <w:t xml:space="preserve">i huvudsak </w:t>
      </w:r>
      <w:r w:rsidRPr="00D66F1A">
        <w:t xml:space="preserve">de ärenden som i dag handläggs av Utlänningsnämnden. </w:t>
      </w:r>
      <w:r w:rsidR="00346296" w:rsidRPr="00D66F1A">
        <w:t>Regerin</w:t>
      </w:r>
      <w:r w:rsidR="00346296" w:rsidRPr="00D66F1A">
        <w:t>g</w:t>
      </w:r>
      <w:r w:rsidR="00346296" w:rsidRPr="00D66F1A">
        <w:t>en föreslår dock att även beslut om förvar och omhändertagande av biljetter, som i</w:t>
      </w:r>
      <w:r w:rsidR="00860A17" w:rsidRPr="00D66F1A">
        <w:t xml:space="preserve"> </w:t>
      </w:r>
      <w:r w:rsidR="00346296" w:rsidRPr="00D66F1A">
        <w:t xml:space="preserve">dag överklagas till de allmänna förvaltningsdomstolarna, </w:t>
      </w:r>
      <w:r w:rsidR="00860A17" w:rsidRPr="00D66F1A">
        <w:t>fortsättning</w:t>
      </w:r>
      <w:r w:rsidR="00860A17" w:rsidRPr="00D66F1A">
        <w:t>s</w:t>
      </w:r>
      <w:r w:rsidR="00860A17" w:rsidRPr="00D66F1A">
        <w:t xml:space="preserve">vis </w:t>
      </w:r>
      <w:r w:rsidR="00346296" w:rsidRPr="00D66F1A">
        <w:t xml:space="preserve">skall </w:t>
      </w:r>
      <w:r w:rsidR="00860A17" w:rsidRPr="00D66F1A">
        <w:t xml:space="preserve">överprövas </w:t>
      </w:r>
      <w:r w:rsidR="00247BED" w:rsidRPr="00D66F1A">
        <w:t xml:space="preserve">av </w:t>
      </w:r>
      <w:r w:rsidR="00346296" w:rsidRPr="00D66F1A">
        <w:t>migrationsdomstolarna och Migrations</w:t>
      </w:r>
      <w:r w:rsidR="0081035F" w:rsidRPr="00D66F1A">
        <w:t>över</w:t>
      </w:r>
      <w:r w:rsidR="00346296" w:rsidRPr="00D66F1A">
        <w:t>domstolen. Beslut om kostnadsansvar för transportörer skall däremot enligt regerin</w:t>
      </w:r>
      <w:r w:rsidR="00346296" w:rsidRPr="00D66F1A">
        <w:t>g</w:t>
      </w:r>
      <w:r w:rsidR="00346296" w:rsidRPr="00D66F1A">
        <w:t>ens förslag, liksom i den nuvarande ordningen, överklagas enligt den för förval</w:t>
      </w:r>
      <w:r w:rsidR="00346296" w:rsidRPr="00D66F1A">
        <w:t>t</w:t>
      </w:r>
      <w:r w:rsidR="00346296" w:rsidRPr="00D66F1A">
        <w:t>ningsprocessen normala ordnin</w:t>
      </w:r>
      <w:r w:rsidR="00346296" w:rsidRPr="00D66F1A">
        <w:t>g</w:t>
      </w:r>
      <w:r w:rsidR="00346296" w:rsidRPr="00D66F1A">
        <w:t xml:space="preserve">en. </w:t>
      </w:r>
    </w:p>
    <w:p w:rsidR="00C809E1" w:rsidRPr="00D66F1A" w:rsidRDefault="00C809E1" w:rsidP="00C809E1">
      <w:pPr>
        <w:pStyle w:val="Normaltindrag"/>
      </w:pPr>
      <w:r w:rsidRPr="00D66F1A">
        <w:t xml:space="preserve">Vid överklagande till Migrationsöverdomstolen skall </w:t>
      </w:r>
      <w:r w:rsidR="00247BED" w:rsidRPr="00D66F1A">
        <w:t xml:space="preserve">det </w:t>
      </w:r>
      <w:r w:rsidRPr="00D66F1A">
        <w:t>krävas prövning</w:t>
      </w:r>
      <w:r w:rsidRPr="00D66F1A">
        <w:t>s</w:t>
      </w:r>
      <w:r w:rsidRPr="00D66F1A">
        <w:t>tillstånd. Prövningstillstånd skall enligt förslaget få meddelas endast om det är av vikt för ledning av rättstillämpningen (prejudikatdispens) eller om det annars finns synnerliga skäl att pröva överklagandet (extraordinär</w:t>
      </w:r>
      <w:r w:rsidR="00247BED" w:rsidRPr="00D66F1A">
        <w:t xml:space="preserve"> </w:t>
      </w:r>
      <w:r w:rsidRPr="00D66F1A">
        <w:t>dispens). Beslut om förvar som en migrationsdomstol fattar utan att förvarsfrågan överklagats dit, skall dock få överklagas till Migrationsöverdomstolen utan krav på prö</w:t>
      </w:r>
      <w:r w:rsidRPr="00D66F1A">
        <w:t>v</w:t>
      </w:r>
      <w:r w:rsidRPr="00D66F1A">
        <w:t xml:space="preserve">ningstillstånd. </w:t>
      </w:r>
    </w:p>
    <w:p w:rsidR="00B96B93" w:rsidRPr="00D66F1A" w:rsidRDefault="00B96B93" w:rsidP="007D204D">
      <w:pPr>
        <w:pStyle w:val="Normaltindrag"/>
      </w:pPr>
      <w:r w:rsidRPr="00D66F1A">
        <w:t>Migrationsdomst</w:t>
      </w:r>
      <w:r w:rsidRPr="00D66F1A">
        <w:t>o</w:t>
      </w:r>
      <w:r w:rsidRPr="00D66F1A">
        <w:t>larna skall i princip ha samma sammansättning som i dag gäller för länsrätte</w:t>
      </w:r>
      <w:r w:rsidRPr="00D66F1A">
        <w:t>r</w:t>
      </w:r>
      <w:r w:rsidRPr="00D66F1A">
        <w:t xml:space="preserve">na. Det innebär att migrationsdomstolarna enligt huvudregeln kommer att vara domföra med en lagfaren domare och tre nämndemän. </w:t>
      </w:r>
    </w:p>
    <w:p w:rsidR="00B96B93" w:rsidRPr="00D66F1A" w:rsidRDefault="00B96B93" w:rsidP="007D204D">
      <w:pPr>
        <w:pStyle w:val="Normaltindrag"/>
      </w:pPr>
      <w:r w:rsidRPr="00D66F1A">
        <w:t xml:space="preserve">I Migrationsöverdomstolen, som enligt förslaget främst skall fungera som prejudikatinstans, skall det endast ingå lagfarna ledamöter i rätten. </w:t>
      </w:r>
      <w:r w:rsidR="00F75930" w:rsidRPr="00D66F1A">
        <w:t>M</w:t>
      </w:r>
      <w:r w:rsidRPr="00D66F1A">
        <w:t xml:space="preserve">ål som kan få stor principiell betydelse </w:t>
      </w:r>
      <w:r w:rsidR="00F75930" w:rsidRPr="00D66F1A">
        <w:t xml:space="preserve">föreslås </w:t>
      </w:r>
      <w:r w:rsidRPr="00D66F1A">
        <w:t>kunna avgöras i förstärkt samma</w:t>
      </w:r>
      <w:r w:rsidRPr="00D66F1A">
        <w:t>n</w:t>
      </w:r>
      <w:r w:rsidRPr="00D66F1A">
        <w:t xml:space="preserve">sättning. </w:t>
      </w:r>
      <w:r w:rsidR="00F75930" w:rsidRPr="00D66F1A">
        <w:t>De</w:t>
      </w:r>
      <w:r w:rsidRPr="00D66F1A">
        <w:t xml:space="preserve">n förstärkta sammansättningen </w:t>
      </w:r>
      <w:r w:rsidR="00F75930" w:rsidRPr="00D66F1A">
        <w:t xml:space="preserve">har i förslaget </w:t>
      </w:r>
      <w:r w:rsidRPr="00D66F1A">
        <w:t>u</w:t>
      </w:r>
      <w:r w:rsidRPr="00D66F1A">
        <w:t>t</w:t>
      </w:r>
      <w:r w:rsidRPr="00D66F1A">
        <w:t>tryckts så att om rätten vid handläggningen av ett mål finner att avgörandet kan få stor princ</w:t>
      </w:r>
      <w:r w:rsidRPr="00D66F1A">
        <w:t>i</w:t>
      </w:r>
      <w:r w:rsidRPr="00D66F1A">
        <w:t>piell betydelse</w:t>
      </w:r>
      <w:r w:rsidR="008F370C" w:rsidRPr="00D66F1A">
        <w:t>, får målet avgöras av Migrations</w:t>
      </w:r>
      <w:r w:rsidR="008A4A11" w:rsidRPr="00D66F1A">
        <w:t>över</w:t>
      </w:r>
      <w:r w:rsidR="008F370C" w:rsidRPr="00D66F1A">
        <w:t>domstolen med sju la</w:t>
      </w:r>
      <w:r w:rsidR="008F370C" w:rsidRPr="00D66F1A">
        <w:t>g</w:t>
      </w:r>
      <w:r w:rsidR="008F370C" w:rsidRPr="00D66F1A">
        <w:t xml:space="preserve">farna ledamöter. </w:t>
      </w:r>
      <w:r w:rsidR="00F75930" w:rsidRPr="00D66F1A">
        <w:t xml:space="preserve">I övrigt gäller för Migrationsöverdomstolen de bestämmelser om domförhet som i allmänhet gäller för kammarrätten. </w:t>
      </w:r>
      <w:r w:rsidR="00C809E1" w:rsidRPr="00D66F1A">
        <w:t>Det innebär att M</w:t>
      </w:r>
      <w:r w:rsidR="00C809E1" w:rsidRPr="00D66F1A">
        <w:t>i</w:t>
      </w:r>
      <w:r w:rsidR="00C809E1" w:rsidRPr="00D66F1A">
        <w:t>grationsöverdomstolen normalt kommer att vara domför med tre lagfarna dom</w:t>
      </w:r>
      <w:r w:rsidR="00C809E1" w:rsidRPr="00D66F1A">
        <w:t>a</w:t>
      </w:r>
      <w:r w:rsidR="00C809E1" w:rsidRPr="00D66F1A">
        <w:t>re, men att frågor om prövningstillstånd får avgöras av två lagfarna domare om de är ense om slutet.</w:t>
      </w:r>
    </w:p>
    <w:p w:rsidR="004C590C" w:rsidRPr="00D66F1A" w:rsidRDefault="00574008" w:rsidP="007D204D">
      <w:pPr>
        <w:pStyle w:val="Normaltindrag"/>
      </w:pPr>
      <w:r w:rsidRPr="00D66F1A">
        <w:t xml:space="preserve">Bestämmelser om muntlig handläggning i </w:t>
      </w:r>
      <w:r w:rsidR="00247BED" w:rsidRPr="00D66F1A">
        <w:t>migrationsdomstol</w:t>
      </w:r>
      <w:r w:rsidRPr="00D66F1A">
        <w:t xml:space="preserve"> skall enligt regeringens förslag motsvara vad som gäller enligt 9 § förvaltningsprocessl</w:t>
      </w:r>
      <w:r w:rsidRPr="00D66F1A">
        <w:t>a</w:t>
      </w:r>
      <w:r w:rsidRPr="00D66F1A">
        <w:t>gen (</w:t>
      </w:r>
      <w:r w:rsidR="00860A17" w:rsidRPr="00D66F1A">
        <w:t>1971:291).</w:t>
      </w:r>
      <w:r w:rsidR="00C06BF6" w:rsidRPr="00D66F1A">
        <w:t xml:space="preserve"> </w:t>
      </w:r>
      <w:r w:rsidR="004C590C" w:rsidRPr="00D66F1A">
        <w:t>Det innebär att det i handläggningen få</w:t>
      </w:r>
      <w:r w:rsidR="00247BED" w:rsidRPr="00D66F1A">
        <w:t>r</w:t>
      </w:r>
      <w:r w:rsidR="004C590C" w:rsidRPr="00D66F1A">
        <w:t xml:space="preserve"> ingå muntlig fö</w:t>
      </w:r>
      <w:r w:rsidR="004C590C" w:rsidRPr="00D66F1A">
        <w:t>r</w:t>
      </w:r>
      <w:r w:rsidR="004C590C" w:rsidRPr="00D66F1A">
        <w:t>handling beträffande en viss fråga, när det kan antas vara till fördel för utre</w:t>
      </w:r>
      <w:r w:rsidR="004C590C" w:rsidRPr="00D66F1A">
        <w:t>d</w:t>
      </w:r>
      <w:r w:rsidR="004C590C" w:rsidRPr="00D66F1A">
        <w:t>ningen eller främja ett snabbt avgörande av målet. I migr</w:t>
      </w:r>
      <w:r w:rsidR="004C590C" w:rsidRPr="00D66F1A">
        <w:t>a</w:t>
      </w:r>
      <w:r w:rsidR="004C590C" w:rsidRPr="00D66F1A">
        <w:t xml:space="preserve">tionsdomstol skall muntlig förhandling </w:t>
      </w:r>
      <w:r w:rsidR="00213934" w:rsidRPr="00D66F1A">
        <w:t>hållas om en utlänning som för talan i målet begär det samt fö</w:t>
      </w:r>
      <w:r w:rsidR="00213934" w:rsidRPr="00D66F1A">
        <w:t>r</w:t>
      </w:r>
      <w:r w:rsidR="00213934" w:rsidRPr="00D66F1A">
        <w:t xml:space="preserve">handlingen inte är obehövlig och inte heller särskilda skäl talar emot det. </w:t>
      </w:r>
    </w:p>
    <w:p w:rsidR="00BD6305" w:rsidRPr="00D66F1A" w:rsidRDefault="00543173" w:rsidP="007D204D">
      <w:pPr>
        <w:pStyle w:val="Normaltindrag"/>
      </w:pPr>
      <w:r w:rsidRPr="00D66F1A">
        <w:t xml:space="preserve">För att säkerställa att mål </w:t>
      </w:r>
      <w:r w:rsidR="00BD6305" w:rsidRPr="00D66F1A">
        <w:t>som rör avvisning eller utvi</w:t>
      </w:r>
      <w:r w:rsidR="00BD6305" w:rsidRPr="00D66F1A">
        <w:t>s</w:t>
      </w:r>
      <w:r w:rsidR="00BD6305" w:rsidRPr="00D66F1A">
        <w:t xml:space="preserve">ning och mål om förvar </w:t>
      </w:r>
      <w:r w:rsidRPr="00D66F1A">
        <w:t xml:space="preserve">handläggs skyndsamt föreslår regeringen att </w:t>
      </w:r>
      <w:r w:rsidR="004C590C" w:rsidRPr="00D66F1A">
        <w:t xml:space="preserve">det tas in </w:t>
      </w:r>
      <w:r w:rsidRPr="00D66F1A">
        <w:t>en särskild b</w:t>
      </w:r>
      <w:r w:rsidRPr="00D66F1A">
        <w:t>e</w:t>
      </w:r>
      <w:r w:rsidRPr="00D66F1A">
        <w:t xml:space="preserve">stämmelse </w:t>
      </w:r>
      <w:r w:rsidR="004C590C" w:rsidRPr="00D66F1A">
        <w:t xml:space="preserve">om detta </w:t>
      </w:r>
      <w:r w:rsidRPr="00D66F1A">
        <w:t>i utlänning</w:t>
      </w:r>
      <w:r w:rsidRPr="00D66F1A">
        <w:t>s</w:t>
      </w:r>
      <w:r w:rsidRPr="00D66F1A">
        <w:t>lagen.</w:t>
      </w:r>
      <w:r w:rsidR="00BD6305" w:rsidRPr="00D66F1A">
        <w:t xml:space="preserve"> </w:t>
      </w:r>
    </w:p>
    <w:p w:rsidR="004C590C" w:rsidRPr="00D66F1A" w:rsidRDefault="003B01E8" w:rsidP="003B01E8">
      <w:pPr>
        <w:pStyle w:val="Normaltindrag"/>
      </w:pPr>
      <w:r w:rsidRPr="00D66F1A">
        <w:t>För handläggningen i migrationsdomstolarna och Migrationsöverdomst</w:t>
      </w:r>
      <w:r w:rsidRPr="00D66F1A">
        <w:t>o</w:t>
      </w:r>
      <w:r w:rsidRPr="00D66F1A">
        <w:t>len skall i övrigt gälla samma regler och principer som för de allmänna fö</w:t>
      </w:r>
      <w:r w:rsidRPr="00D66F1A">
        <w:t>r</w:t>
      </w:r>
      <w:r w:rsidRPr="00D66F1A">
        <w:t xml:space="preserve">valtningsdomstolarna. </w:t>
      </w:r>
    </w:p>
    <w:p w:rsidR="003B01E8" w:rsidRPr="00D66F1A" w:rsidRDefault="003B01E8" w:rsidP="003B01E8">
      <w:pPr>
        <w:pStyle w:val="Normaltindrag"/>
      </w:pPr>
      <w:r w:rsidRPr="00D66F1A">
        <w:t>Sekretesslagstiftningen behöver enligt regeringens bedömning inte ändras med anledning av den föreslagna instans- och processordningen. I domstola</w:t>
      </w:r>
      <w:r w:rsidRPr="00D66F1A">
        <w:t>r</w:t>
      </w:r>
      <w:r w:rsidRPr="00D66F1A">
        <w:t xml:space="preserve">na i den nya ordningen kommer </w:t>
      </w:r>
      <w:r w:rsidR="009F741C" w:rsidRPr="00D66F1A">
        <w:t xml:space="preserve">således </w:t>
      </w:r>
      <w:r w:rsidRPr="00D66F1A">
        <w:t xml:space="preserve">bl.a. </w:t>
      </w:r>
      <w:r w:rsidR="00C96ADA" w:rsidRPr="00D66F1A">
        <w:t>bestämmelserna om utrikesse</w:t>
      </w:r>
      <w:r w:rsidR="00C96ADA" w:rsidRPr="00D66F1A">
        <w:t>k</w:t>
      </w:r>
      <w:r w:rsidR="00C96ADA" w:rsidRPr="00D66F1A">
        <w:t xml:space="preserve">retess i </w:t>
      </w:r>
      <w:r w:rsidR="004C590C" w:rsidRPr="00D66F1A">
        <w:t>2</w:t>
      </w:r>
      <w:r w:rsidRPr="00D66F1A">
        <w:t xml:space="preserve"> kap. </w:t>
      </w:r>
      <w:r w:rsidR="00C96ADA" w:rsidRPr="00D66F1A">
        <w:t xml:space="preserve">1 § sekretesslagen (1980:100) och om sekretess till skydd för utlänningar i 7 kap. </w:t>
      </w:r>
      <w:r w:rsidRPr="00D66F1A">
        <w:t>14 § första och andra styckena</w:t>
      </w:r>
      <w:r w:rsidR="00C96ADA" w:rsidRPr="00D66F1A">
        <w:t xml:space="preserve"> samma lag </w:t>
      </w:r>
      <w:r w:rsidRPr="00D66F1A">
        <w:t>att bli tilläm</w:t>
      </w:r>
      <w:r w:rsidRPr="00D66F1A">
        <w:t>p</w:t>
      </w:r>
      <w:r w:rsidRPr="00D66F1A">
        <w:t xml:space="preserve">liga. </w:t>
      </w:r>
    </w:p>
    <w:p w:rsidR="003B01E8" w:rsidRPr="00D66F1A" w:rsidRDefault="00247BED" w:rsidP="007D204D">
      <w:pPr>
        <w:pStyle w:val="Normaltindrag"/>
      </w:pPr>
      <w:r w:rsidRPr="00D66F1A">
        <w:t xml:space="preserve">Ändringarna föreslås </w:t>
      </w:r>
      <w:r w:rsidR="000157DC" w:rsidRPr="00D66F1A">
        <w:t>träda i kraft den 31 mars 2006.</w:t>
      </w:r>
    </w:p>
    <w:p w:rsidR="000B26F5" w:rsidRPr="00D66F1A" w:rsidRDefault="000B26F5" w:rsidP="00C61945">
      <w:pPr>
        <w:pStyle w:val="Rubrik4"/>
        <w:rPr>
          <w:noProof w:val="0"/>
        </w:rPr>
      </w:pPr>
      <w:bookmarkStart w:id="9" w:name="_Toc109621081"/>
      <w:r w:rsidRPr="00D66F1A">
        <w:rPr>
          <w:noProof w:val="0"/>
        </w:rPr>
        <w:t>Lagrådet</w:t>
      </w:r>
      <w:bookmarkEnd w:id="9"/>
    </w:p>
    <w:p w:rsidR="000B26F5" w:rsidRPr="00D66F1A" w:rsidRDefault="00850E55" w:rsidP="00850E55">
      <w:r w:rsidRPr="00D66F1A">
        <w:t>I sitt yttrande över lagrådsremissen i de delar den avsåg migrationsdomstolar anförde Lagrådet bl.a. följande. Att processordningen ändras för att möta anspråk på ökad rättssäkerhet är visserligen vällovligt. Tvåpartsförfarande och ökat inslag av muntlig förhandling är viktiga komponenter i detta sa</w:t>
      </w:r>
      <w:r w:rsidRPr="00D66F1A">
        <w:t>m</w:t>
      </w:r>
      <w:r w:rsidRPr="00D66F1A">
        <w:t>manhang. Tvåpartsförfarande ger bl.a. den fördelen att parts tillgång till sådan länderinformation som är av intresse i det enskilda fallet förbättras. Det står dock klart att dessa vinster står att uppnå också med en annan organisatorisk lösning än den i remissen föreslagna. Åtgärden att inordna prövningen i den allmänna förvaltningsdomstolsorganisationen kan möjligen tänkas bidra till att förbättra förtroendet hos allmänheten för handläggningen av utlänning</w:t>
      </w:r>
      <w:r w:rsidRPr="00D66F1A">
        <w:t>s</w:t>
      </w:r>
      <w:r w:rsidRPr="00D66F1A">
        <w:t>målen. De förhoppningar som på sina håll tycks hysas om att åtgärden i sig – eller i förening med den mest till formen nya utlänningslag som föreslås – skall medföra väsentligt ändrad tillämpning ter sig emellertid inte realistiska. Såvitt Lagrådet förstå</w:t>
      </w:r>
      <w:r w:rsidR="0051784F" w:rsidRPr="00D66F1A">
        <w:t>r</w:t>
      </w:r>
      <w:r w:rsidRPr="00D66F1A">
        <w:t xml:space="preserve"> måste det vara tämligen givet att den avsedda instan</w:t>
      </w:r>
      <w:r w:rsidRPr="00D66F1A">
        <w:t>s</w:t>
      </w:r>
      <w:r w:rsidRPr="00D66F1A">
        <w:t>ordningen med ytterligare en överprövningsinstans och med de nya förfara</w:t>
      </w:r>
      <w:r w:rsidRPr="00D66F1A">
        <w:t>n</w:t>
      </w:r>
      <w:r w:rsidRPr="00D66F1A">
        <w:t xml:space="preserve">dereglerna leder till extra omgångar med återverkningar på möjligheterna att hålla handläggningstiderna nere. Det är </w:t>
      </w:r>
      <w:r w:rsidR="0051784F" w:rsidRPr="00D66F1A">
        <w:t xml:space="preserve">en </w:t>
      </w:r>
      <w:r w:rsidRPr="00D66F1A">
        <w:t>uppenbar risk att angelägna a</w:t>
      </w:r>
      <w:r w:rsidRPr="00D66F1A">
        <w:t>n</w:t>
      </w:r>
      <w:r w:rsidRPr="00D66F1A">
        <w:t>språk på skyndsamhet i processen må</w:t>
      </w:r>
      <w:r w:rsidR="00247BED" w:rsidRPr="00D66F1A">
        <w:t>nga gånger blir mer eftersatta med</w:t>
      </w:r>
      <w:r w:rsidRPr="00D66F1A">
        <w:t xml:space="preserve"> den nya or</w:t>
      </w:r>
      <w:r w:rsidRPr="00D66F1A">
        <w:t>d</w:t>
      </w:r>
      <w:r w:rsidRPr="00D66F1A">
        <w:t>ningen. Huruvida dessa problem kan lösas godtagbart i anslutning till ännu pågående utredningsarbete om de organisatoriska förutsättningar</w:t>
      </w:r>
      <w:r w:rsidR="003F180F" w:rsidRPr="00D66F1A">
        <w:t>na</w:t>
      </w:r>
      <w:r w:rsidRPr="00D66F1A">
        <w:t xml:space="preserve"> </w:t>
      </w:r>
      <w:r w:rsidR="00C61945" w:rsidRPr="00D66F1A">
        <w:t>för reformen är en öppen fråga.</w:t>
      </w:r>
    </w:p>
    <w:p w:rsidR="00173E76" w:rsidRPr="00D66F1A" w:rsidRDefault="00790C78" w:rsidP="007D204D">
      <w:pPr>
        <w:pStyle w:val="Normaltindrag"/>
      </w:pPr>
      <w:r w:rsidRPr="00D66F1A">
        <w:t xml:space="preserve">Lagrådet ansåg sig med hänsyn till bl.a. det anförda inte kunna </w:t>
      </w:r>
      <w:r w:rsidR="000157DC" w:rsidRPr="00D66F1A">
        <w:t>tillstyrka regeringens förslag.</w:t>
      </w:r>
    </w:p>
    <w:p w:rsidR="00F2417E" w:rsidRPr="00D66F1A" w:rsidRDefault="000E5B7E" w:rsidP="00C61945">
      <w:pPr>
        <w:pStyle w:val="Rubrik4"/>
        <w:rPr>
          <w:noProof w:val="0"/>
        </w:rPr>
      </w:pPr>
      <w:bookmarkStart w:id="10" w:name="_Toc109621082"/>
      <w:r w:rsidRPr="00D66F1A">
        <w:rPr>
          <w:noProof w:val="0"/>
        </w:rPr>
        <w:t>Utskottets överväganden</w:t>
      </w:r>
      <w:bookmarkEnd w:id="10"/>
    </w:p>
    <w:p w:rsidR="006D5E39" w:rsidRPr="00D66F1A" w:rsidRDefault="004C590C" w:rsidP="005C4C79">
      <w:r w:rsidRPr="00D66F1A">
        <w:t xml:space="preserve">Utskottet </w:t>
      </w:r>
      <w:r w:rsidR="003B45CC" w:rsidRPr="00D66F1A">
        <w:t>delar regeringens uppfattning att det är en för</w:t>
      </w:r>
      <w:r w:rsidRPr="00D66F1A">
        <w:t>del att prö</w:t>
      </w:r>
      <w:r w:rsidRPr="00D66F1A">
        <w:t>v</w:t>
      </w:r>
      <w:r w:rsidRPr="00D66F1A">
        <w:t xml:space="preserve">ningen av utlänningsärendena </w:t>
      </w:r>
      <w:r w:rsidR="005135EA" w:rsidRPr="00D66F1A">
        <w:t>s</w:t>
      </w:r>
      <w:r w:rsidRPr="00D66F1A">
        <w:t>ke</w:t>
      </w:r>
      <w:r w:rsidR="005135EA" w:rsidRPr="00D66F1A">
        <w:t>r</w:t>
      </w:r>
      <w:r w:rsidRPr="00D66F1A">
        <w:t xml:space="preserve"> i en tvåpartsprocess med möjlighet till muntlig fö</w:t>
      </w:r>
      <w:r w:rsidRPr="00D66F1A">
        <w:t>r</w:t>
      </w:r>
      <w:r w:rsidRPr="00D66F1A">
        <w:t xml:space="preserve">handling inför </w:t>
      </w:r>
      <w:r w:rsidR="006D5E39" w:rsidRPr="00D66F1A">
        <w:t>domstol i enlighet med förvaltningsprocesslagens bestämme</w:t>
      </w:r>
      <w:r w:rsidR="006D5E39" w:rsidRPr="00D66F1A">
        <w:t>l</w:t>
      </w:r>
      <w:r w:rsidR="006D5E39" w:rsidRPr="00D66F1A">
        <w:t>ser. En domstolsprövning ökar öppenheten och rättssäkerheten i asylproce</w:t>
      </w:r>
      <w:r w:rsidR="006D5E39" w:rsidRPr="00D66F1A">
        <w:t>s</w:t>
      </w:r>
      <w:r w:rsidR="006D5E39" w:rsidRPr="00D66F1A">
        <w:t xml:space="preserve">sen. Utskottet delar </w:t>
      </w:r>
      <w:r w:rsidR="003B45CC" w:rsidRPr="00D66F1A">
        <w:t xml:space="preserve">också </w:t>
      </w:r>
      <w:r w:rsidR="006D5E39" w:rsidRPr="00D66F1A">
        <w:t>regeringens bedömning att de allmänna förval</w:t>
      </w:r>
      <w:r w:rsidR="006D5E39" w:rsidRPr="00D66F1A">
        <w:t>t</w:t>
      </w:r>
      <w:r w:rsidR="006D5E39" w:rsidRPr="00D66F1A">
        <w:t>ningsdomstolarna är väl skickade att pröva utlänningsmålen.</w:t>
      </w:r>
    </w:p>
    <w:p w:rsidR="008A4A11" w:rsidRPr="00D66F1A" w:rsidRDefault="006D5E39" w:rsidP="00484065">
      <w:pPr>
        <w:pStyle w:val="Normaltindrag"/>
      </w:pPr>
      <w:r w:rsidRPr="00D66F1A">
        <w:t xml:space="preserve">Utskottet konstaterar samtidigt att </w:t>
      </w:r>
      <w:r w:rsidR="00F10AAA" w:rsidRPr="00D66F1A">
        <w:t xml:space="preserve">förslaget </w:t>
      </w:r>
      <w:r w:rsidR="00DE630B" w:rsidRPr="00D66F1A">
        <w:t>om inrättande av migration</w:t>
      </w:r>
      <w:r w:rsidR="00DE630B" w:rsidRPr="00D66F1A">
        <w:t>s</w:t>
      </w:r>
      <w:r w:rsidR="00DE630B" w:rsidRPr="00D66F1A">
        <w:t xml:space="preserve">domstolar </w:t>
      </w:r>
      <w:r w:rsidR="00EC1527" w:rsidRPr="00D66F1A">
        <w:t>innebär att de allmänna förvaltningsdomstolarna kommer att tillf</w:t>
      </w:r>
      <w:r w:rsidR="00EC1527" w:rsidRPr="00D66F1A">
        <w:t>ö</w:t>
      </w:r>
      <w:r w:rsidR="00EC1527" w:rsidRPr="00D66F1A">
        <w:t xml:space="preserve">ras </w:t>
      </w:r>
      <w:r w:rsidR="001A1C21" w:rsidRPr="00D66F1A">
        <w:t>en i pri</w:t>
      </w:r>
      <w:r w:rsidR="001A1C21" w:rsidRPr="00D66F1A">
        <w:t>n</w:t>
      </w:r>
      <w:r w:rsidR="001A1C21" w:rsidRPr="00D66F1A">
        <w:t>cip helt ny och tillika stor målgrupp.</w:t>
      </w:r>
      <w:r w:rsidR="005135EA" w:rsidRPr="00D66F1A">
        <w:t xml:space="preserve"> </w:t>
      </w:r>
    </w:p>
    <w:p w:rsidR="006D5E39" w:rsidRPr="00D66F1A" w:rsidRDefault="00247BED" w:rsidP="00484065">
      <w:pPr>
        <w:pStyle w:val="Normaltindrag"/>
      </w:pPr>
      <w:r w:rsidRPr="00D66F1A">
        <w:t>Det är</w:t>
      </w:r>
      <w:r w:rsidR="00790C78" w:rsidRPr="00D66F1A">
        <w:t xml:space="preserve"> till en början tydligt att det övervägande antalet </w:t>
      </w:r>
      <w:r w:rsidR="008B08B5" w:rsidRPr="00D66F1A">
        <w:t>mål som skall han</w:t>
      </w:r>
      <w:r w:rsidR="008B08B5" w:rsidRPr="00D66F1A">
        <w:t>d</w:t>
      </w:r>
      <w:r w:rsidR="008B08B5" w:rsidRPr="00D66F1A">
        <w:t>läg</w:t>
      </w:r>
      <w:r w:rsidRPr="00D66F1A">
        <w:t>gas enligt</w:t>
      </w:r>
      <w:r w:rsidR="008B08B5" w:rsidRPr="00D66F1A">
        <w:t xml:space="preserve"> den nya ordningen är sådana att de kräver skyndsam handläg</w:t>
      </w:r>
      <w:r w:rsidR="008B08B5" w:rsidRPr="00D66F1A">
        <w:t>g</w:t>
      </w:r>
      <w:r w:rsidR="008B08B5" w:rsidRPr="00D66F1A">
        <w:t>ning. I flertalet av de</w:t>
      </w:r>
      <w:r w:rsidR="00790C78" w:rsidRPr="00D66F1A">
        <w:t xml:space="preserve">ssa </w:t>
      </w:r>
      <w:r w:rsidR="008B08B5" w:rsidRPr="00D66F1A">
        <w:t xml:space="preserve">mål </w:t>
      </w:r>
      <w:r w:rsidR="0051784F" w:rsidRPr="00D66F1A">
        <w:t>kommer</w:t>
      </w:r>
      <w:r w:rsidR="00484065" w:rsidRPr="00D66F1A">
        <w:t xml:space="preserve"> det </w:t>
      </w:r>
      <w:r w:rsidR="008B08B5" w:rsidRPr="00D66F1A">
        <w:t>dessutom att hållas muntlig förhan</w:t>
      </w:r>
      <w:r w:rsidR="008B08B5" w:rsidRPr="00D66F1A">
        <w:t>d</w:t>
      </w:r>
      <w:r w:rsidR="008B08B5" w:rsidRPr="00D66F1A">
        <w:t xml:space="preserve">ling. </w:t>
      </w:r>
      <w:r w:rsidR="00790C78" w:rsidRPr="00D66F1A">
        <w:t xml:space="preserve">Att den nya ordningen </w:t>
      </w:r>
      <w:r w:rsidR="00484065" w:rsidRPr="00D66F1A">
        <w:t xml:space="preserve">härigenom </w:t>
      </w:r>
      <w:r w:rsidR="00790C78" w:rsidRPr="00D66F1A">
        <w:t xml:space="preserve">riskerar att få en </w:t>
      </w:r>
      <w:r w:rsidR="005C4C79" w:rsidRPr="00D66F1A">
        <w:t>negativ inverkan på han</w:t>
      </w:r>
      <w:r w:rsidR="005C4C79" w:rsidRPr="00D66F1A">
        <w:t>d</w:t>
      </w:r>
      <w:r w:rsidR="005C4C79" w:rsidRPr="00D66F1A">
        <w:t>läggningstiderna</w:t>
      </w:r>
      <w:r w:rsidR="00790C78" w:rsidRPr="00D66F1A">
        <w:t xml:space="preserve"> går enligt utskottet inte att komma ifrån</w:t>
      </w:r>
      <w:r w:rsidR="005C4C79" w:rsidRPr="00D66F1A">
        <w:t xml:space="preserve">. </w:t>
      </w:r>
      <w:r w:rsidR="006D5E39" w:rsidRPr="00D66F1A">
        <w:t>Detta gäller såväl de nu aktuella målen som de som redan enligt den nuvarande ordningen handläggs i förvaltning</w:t>
      </w:r>
      <w:r w:rsidR="006D5E39" w:rsidRPr="00D66F1A">
        <w:t>s</w:t>
      </w:r>
      <w:r w:rsidR="006D5E39" w:rsidRPr="00D66F1A">
        <w:t xml:space="preserve">domstolarna. </w:t>
      </w:r>
    </w:p>
    <w:p w:rsidR="003B73F7" w:rsidRPr="00D66F1A" w:rsidRDefault="006D5E39" w:rsidP="00263BEB">
      <w:pPr>
        <w:pStyle w:val="Normaltindrag"/>
      </w:pPr>
      <w:r w:rsidRPr="00D66F1A">
        <w:t>I sammanhanget vill utskottet framhålla att den korta förberedelsetiden för att genomföra den omfattande reformen innebär att domstolsväsendet ställs inför en svår uppgift.</w:t>
      </w:r>
      <w:r w:rsidR="003B73F7" w:rsidRPr="00D66F1A">
        <w:t xml:space="preserve"> Inför </w:t>
      </w:r>
      <w:r w:rsidR="00C6622B" w:rsidRPr="00D66F1A">
        <w:t>den föreslagna tidpunkten för reformens ikrafttr</w:t>
      </w:r>
      <w:r w:rsidR="00C6622B" w:rsidRPr="00D66F1A">
        <w:t>ä</w:t>
      </w:r>
      <w:r w:rsidR="00C6622B" w:rsidRPr="00D66F1A">
        <w:t>dande</w:t>
      </w:r>
      <w:r w:rsidR="008F1B80" w:rsidRPr="00D66F1A">
        <w:t xml:space="preserve"> – den 31 mars 2006 –</w:t>
      </w:r>
      <w:r w:rsidR="00C6622B" w:rsidRPr="00D66F1A">
        <w:t xml:space="preserve"> </w:t>
      </w:r>
      <w:r w:rsidR="003B73F7" w:rsidRPr="00D66F1A">
        <w:t xml:space="preserve">skall </w:t>
      </w:r>
      <w:r w:rsidR="008F1B80" w:rsidRPr="00D66F1A">
        <w:t xml:space="preserve">enligt vad </w:t>
      </w:r>
      <w:r w:rsidR="00DE2FEF" w:rsidRPr="00D66F1A">
        <w:t>utskottet inhämtat</w:t>
      </w:r>
      <w:r w:rsidR="008F1B80" w:rsidRPr="00D66F1A">
        <w:t xml:space="preserve"> </w:t>
      </w:r>
      <w:r w:rsidR="003B73F7" w:rsidRPr="00D66F1A">
        <w:t>ca 120 dom</w:t>
      </w:r>
      <w:r w:rsidR="003B73F7" w:rsidRPr="00D66F1A">
        <w:t>a</w:t>
      </w:r>
      <w:r w:rsidR="003F180F" w:rsidRPr="00D66F1A">
        <w:t>re och 300–4</w:t>
      </w:r>
      <w:r w:rsidR="003B73F7" w:rsidRPr="00D66F1A">
        <w:t>00 b</w:t>
      </w:r>
      <w:r w:rsidR="008F1B80" w:rsidRPr="00D66F1A">
        <w:t>e</w:t>
      </w:r>
      <w:r w:rsidR="003B73F7" w:rsidRPr="00D66F1A">
        <w:t>redningsjurister rekryteras. Vidare skall omkring 1 200 näm</w:t>
      </w:r>
      <w:r w:rsidR="003B73F7" w:rsidRPr="00D66F1A">
        <w:t>n</w:t>
      </w:r>
      <w:r w:rsidR="003B73F7" w:rsidRPr="00D66F1A">
        <w:t>demän utses.</w:t>
      </w:r>
      <w:r w:rsidR="00C6622B" w:rsidRPr="00D66F1A">
        <w:t xml:space="preserve"> Härtill kommer att de berörda domstolarna måste ha u</w:t>
      </w:r>
      <w:r w:rsidR="00C6622B" w:rsidRPr="00D66F1A">
        <w:t>t</w:t>
      </w:r>
      <w:r w:rsidR="00C6622B" w:rsidRPr="00D66F1A">
        <w:t xml:space="preserve">ökade eller helt nya lokaler för verksamheten. Endast </w:t>
      </w:r>
      <w:r w:rsidR="00263BEB" w:rsidRPr="00D66F1A">
        <w:t>L</w:t>
      </w:r>
      <w:r w:rsidR="00C6622B" w:rsidRPr="00D66F1A">
        <w:t>änsrätten i Skåne län berä</w:t>
      </w:r>
      <w:r w:rsidR="00C6622B" w:rsidRPr="00D66F1A">
        <w:t>k</w:t>
      </w:r>
      <w:r w:rsidR="00C6622B" w:rsidRPr="00D66F1A">
        <w:t xml:space="preserve">nas ha permanenta </w:t>
      </w:r>
      <w:r w:rsidR="00DE2FEF" w:rsidRPr="00D66F1A">
        <w:t>lokaler i</w:t>
      </w:r>
      <w:r w:rsidR="00C6622B" w:rsidRPr="00D66F1A">
        <w:t>ordningställda vid tidpunkten för reformens ikraf</w:t>
      </w:r>
      <w:r w:rsidR="00C6622B" w:rsidRPr="00D66F1A">
        <w:t>t</w:t>
      </w:r>
      <w:r w:rsidR="00C6622B" w:rsidRPr="00D66F1A">
        <w:t>trädande.</w:t>
      </w:r>
      <w:r w:rsidR="00135EBA" w:rsidRPr="00D66F1A">
        <w:t xml:space="preserve"> För övriga berörda domstolar kommer verksamheten inle</w:t>
      </w:r>
      <w:r w:rsidR="00135EBA" w:rsidRPr="00D66F1A">
        <w:t>d</w:t>
      </w:r>
      <w:r w:rsidR="00135EBA" w:rsidRPr="00D66F1A">
        <w:t xml:space="preserve">ningsvis att få </w:t>
      </w:r>
      <w:r w:rsidR="00263BEB" w:rsidRPr="00D66F1A">
        <w:t xml:space="preserve">bedrivas </w:t>
      </w:r>
      <w:r w:rsidR="00135EBA" w:rsidRPr="00D66F1A">
        <w:t>i tillfälliga lok</w:t>
      </w:r>
      <w:r w:rsidR="00135EBA" w:rsidRPr="00D66F1A">
        <w:t>a</w:t>
      </w:r>
      <w:r w:rsidR="00DE2FEF" w:rsidRPr="00D66F1A">
        <w:t>ler.</w:t>
      </w:r>
    </w:p>
    <w:p w:rsidR="006D5E39" w:rsidRPr="00D66F1A" w:rsidRDefault="006D5E39" w:rsidP="003B73F7">
      <w:pPr>
        <w:pStyle w:val="Normaltindrag"/>
      </w:pPr>
      <w:r w:rsidRPr="00D66F1A">
        <w:t>Regeringen har i november 2004 givit en särskild utredare i uppdrag att förbereda och vidta åtgärder för att inrätta den nya instans- och processor</w:t>
      </w:r>
      <w:r w:rsidRPr="00D66F1A">
        <w:t>d</w:t>
      </w:r>
      <w:r w:rsidRPr="00D66F1A">
        <w:t>ningen. Do</w:t>
      </w:r>
      <w:r w:rsidRPr="00D66F1A">
        <w:t>m</w:t>
      </w:r>
      <w:r w:rsidRPr="00D66F1A">
        <w:t>stolsverket fick samtidigt ett liknande uppdrag. Utskottet har inhämtat att förberedelsearbetet fortskrider plane</w:t>
      </w:r>
      <w:r w:rsidRPr="00D66F1A">
        <w:t>n</w:t>
      </w:r>
      <w:r w:rsidRPr="00D66F1A">
        <w:t xml:space="preserve">ligt. </w:t>
      </w:r>
    </w:p>
    <w:p w:rsidR="00D97F48" w:rsidRPr="00D66F1A" w:rsidRDefault="00F10AAA" w:rsidP="00F10AAA">
      <w:pPr>
        <w:pStyle w:val="Normaltindrag"/>
      </w:pPr>
      <w:r w:rsidRPr="00D66F1A">
        <w:t>Utskottet vill vidare framhålla att regeringen i propositionen</w:t>
      </w:r>
      <w:r w:rsidR="00860A17" w:rsidRPr="00D66F1A">
        <w:t xml:space="preserve"> anfört</w:t>
      </w:r>
      <w:r w:rsidR="00D97F48" w:rsidRPr="00D66F1A">
        <w:t xml:space="preserve"> att en övergripande utvärdering av hela reformen bör göras efter det att den nya ordningen har geno</w:t>
      </w:r>
      <w:r w:rsidR="00D97F48" w:rsidRPr="00D66F1A">
        <w:t>m</w:t>
      </w:r>
      <w:r w:rsidR="00D97F48" w:rsidRPr="00D66F1A">
        <w:t xml:space="preserve">förts.  </w:t>
      </w:r>
    </w:p>
    <w:p w:rsidR="00DE2FEF" w:rsidRPr="00D66F1A" w:rsidRDefault="00DE2FEF" w:rsidP="004F039F">
      <w:pPr>
        <w:pStyle w:val="Normaltindrag"/>
      </w:pPr>
      <w:r w:rsidRPr="00D66F1A">
        <w:t>På de skäl som anförts inledningsvis delar utskottet regeringens bedö</w:t>
      </w:r>
      <w:r w:rsidRPr="00D66F1A">
        <w:t>m</w:t>
      </w:r>
      <w:r w:rsidRPr="00D66F1A">
        <w:t>ning att den nya instans- och processordningen bör införas. De svårigheter som utskottet pekat på angående genomförandet av reformen ändrar, mot bakgrund av det arbete som pågår, inte detta ställningstagande. Utskottet anser således att propositionen bör tillstyrkas i nu anförd del.</w:t>
      </w:r>
    </w:p>
    <w:p w:rsidR="00FA5E94" w:rsidRPr="00D66F1A" w:rsidRDefault="002D00DC" w:rsidP="004F039F">
      <w:pPr>
        <w:pStyle w:val="Normaltindrag"/>
      </w:pPr>
      <w:r w:rsidRPr="00D66F1A">
        <w:t>I motion Sf3</w:t>
      </w:r>
      <w:r w:rsidR="00860A17" w:rsidRPr="00D66F1A">
        <w:t>3</w:t>
      </w:r>
      <w:r w:rsidRPr="00D66F1A">
        <w:t xml:space="preserve"> </w:t>
      </w:r>
      <w:r w:rsidR="00D97F48" w:rsidRPr="00D66F1A">
        <w:t>(</w:t>
      </w:r>
      <w:r w:rsidR="00FD78C5" w:rsidRPr="00D66F1A">
        <w:t xml:space="preserve">m) </w:t>
      </w:r>
      <w:r w:rsidR="006D5E39" w:rsidRPr="00D66F1A">
        <w:t xml:space="preserve">understryks vikten av </w:t>
      </w:r>
      <w:r w:rsidR="00565654" w:rsidRPr="00D66F1A">
        <w:t>att migrationsdomstolarna få</w:t>
      </w:r>
      <w:r w:rsidR="006D5E39" w:rsidRPr="00D66F1A">
        <w:t>r</w:t>
      </w:r>
      <w:r w:rsidR="00565654" w:rsidRPr="00D66F1A">
        <w:t xml:space="preserve"> e</w:t>
      </w:r>
      <w:r w:rsidR="00565654" w:rsidRPr="00D66F1A">
        <w:t>r</w:t>
      </w:r>
      <w:r w:rsidR="00565654" w:rsidRPr="00D66F1A">
        <w:t>forderliga resurser.</w:t>
      </w:r>
    </w:p>
    <w:p w:rsidR="006D5E39" w:rsidRPr="00D66F1A" w:rsidRDefault="00FA5E94" w:rsidP="004F039F">
      <w:pPr>
        <w:pStyle w:val="Normaltindrag"/>
      </w:pPr>
      <w:r w:rsidRPr="00D66F1A">
        <w:t xml:space="preserve">Riksdagen har </w:t>
      </w:r>
      <w:r w:rsidR="00860A17" w:rsidRPr="00D66F1A">
        <w:t xml:space="preserve">den 18 juni 2005 </w:t>
      </w:r>
      <w:r w:rsidRPr="00D66F1A">
        <w:t xml:space="preserve">beslutat att domstolsväsendet </w:t>
      </w:r>
      <w:r w:rsidR="00860A17" w:rsidRPr="00D66F1A">
        <w:t>för innev</w:t>
      </w:r>
      <w:r w:rsidR="00860A17" w:rsidRPr="00D66F1A">
        <w:t>a</w:t>
      </w:r>
      <w:r w:rsidR="00860A17" w:rsidRPr="00D66F1A">
        <w:t xml:space="preserve">rande år </w:t>
      </w:r>
      <w:r w:rsidRPr="00D66F1A">
        <w:t>skall få ett tillskott på 120 miljoner kronor för att täcka kostnaderna för förberedelserna inför de nya arbetsuppgifterna med den nya i</w:t>
      </w:r>
      <w:r w:rsidRPr="00D66F1A">
        <w:t>n</w:t>
      </w:r>
      <w:r w:rsidRPr="00D66F1A">
        <w:t xml:space="preserve">stans- och processordningen. För åren 2006 och 2007 beräknas </w:t>
      </w:r>
      <w:r w:rsidR="006032D3" w:rsidRPr="00D66F1A">
        <w:t xml:space="preserve">den totala </w:t>
      </w:r>
      <w:r w:rsidRPr="00D66F1A">
        <w:t>utgiftsöknin</w:t>
      </w:r>
      <w:r w:rsidRPr="00D66F1A">
        <w:t>g</w:t>
      </w:r>
      <w:r w:rsidRPr="00D66F1A">
        <w:t>en till följd av den föreslagna reformen uppgå till 914 miljoner kronor respe</w:t>
      </w:r>
      <w:r w:rsidRPr="00D66F1A">
        <w:t>k</w:t>
      </w:r>
      <w:r w:rsidRPr="00D66F1A">
        <w:t>tive 901 miljoner kron</w:t>
      </w:r>
      <w:r w:rsidR="006032D3" w:rsidRPr="00D66F1A">
        <w:t>o</w:t>
      </w:r>
      <w:r w:rsidRPr="00D66F1A">
        <w:t xml:space="preserve">r. </w:t>
      </w:r>
      <w:r w:rsidR="006032D3" w:rsidRPr="00D66F1A">
        <w:t>Regeringen kommer i budgetpropos</w:t>
      </w:r>
      <w:r w:rsidR="006032D3" w:rsidRPr="00D66F1A">
        <w:t>i</w:t>
      </w:r>
      <w:r w:rsidR="006032D3" w:rsidRPr="00D66F1A">
        <w:t>tionen för år</w:t>
      </w:r>
      <w:r w:rsidR="00860A17" w:rsidRPr="00D66F1A">
        <w:t> </w:t>
      </w:r>
      <w:r w:rsidR="006032D3" w:rsidRPr="00D66F1A">
        <w:t>2006 att återkomma med uppdaterade bedömningar i dessa delar samt föreslå en fö</w:t>
      </w:r>
      <w:r w:rsidR="006032D3" w:rsidRPr="00D66F1A">
        <w:t>r</w:t>
      </w:r>
      <w:r w:rsidR="006032D3" w:rsidRPr="00D66F1A">
        <w:t xml:space="preserve">delning av kostnaderna på berörda anslag. </w:t>
      </w:r>
    </w:p>
    <w:p w:rsidR="00565654" w:rsidRPr="00D66F1A" w:rsidRDefault="006D5E39" w:rsidP="004F039F">
      <w:pPr>
        <w:pStyle w:val="Normaltindrag"/>
      </w:pPr>
      <w:r w:rsidRPr="00D66F1A">
        <w:t xml:space="preserve">Utskottet delar uppfattningen att det är </w:t>
      </w:r>
      <w:r w:rsidR="00E12B53" w:rsidRPr="00D66F1A">
        <w:t>angeläget att domstolsväsendet</w:t>
      </w:r>
      <w:r w:rsidRPr="00D66F1A">
        <w:t xml:space="preserve"> ge</w:t>
      </w:r>
      <w:r w:rsidR="00135EBA" w:rsidRPr="00D66F1A">
        <w:t>s</w:t>
      </w:r>
      <w:r w:rsidRPr="00D66F1A">
        <w:t xml:space="preserve"> e</w:t>
      </w:r>
      <w:r w:rsidRPr="00D66F1A">
        <w:t>r</w:t>
      </w:r>
      <w:r w:rsidRPr="00D66F1A">
        <w:t>forderliga resurser för att möta den ökade arbetsmängd som de nya målen medför. Utan tillräckliga resurser finns det en risk att de redan långa han</w:t>
      </w:r>
      <w:r w:rsidRPr="00D66F1A">
        <w:t>d</w:t>
      </w:r>
      <w:r w:rsidRPr="00D66F1A">
        <w:t>läggningstiderna i den aktue</w:t>
      </w:r>
      <w:r w:rsidRPr="00D66F1A">
        <w:t>l</w:t>
      </w:r>
      <w:r w:rsidRPr="00D66F1A">
        <w:t>la typen av ärenden kommer att bli ännu längre. Som nyss framgått avser regeringen att återkomma i frågan i höstens budge</w:t>
      </w:r>
      <w:r w:rsidRPr="00D66F1A">
        <w:t>t</w:t>
      </w:r>
      <w:r w:rsidRPr="00D66F1A">
        <w:t>prop</w:t>
      </w:r>
      <w:r w:rsidRPr="00D66F1A">
        <w:t>o</w:t>
      </w:r>
      <w:r w:rsidRPr="00D66F1A">
        <w:t xml:space="preserve">sition. Utskottet utgår från att domstolarna kommer att få </w:t>
      </w:r>
      <w:r w:rsidR="00B563A6" w:rsidRPr="00D66F1A">
        <w:t>disponera tillräckliga medel för att fullgöra sina uppgifter</w:t>
      </w:r>
      <w:r w:rsidR="006032D3" w:rsidRPr="00D66F1A">
        <w:t xml:space="preserve"> enligt den föreslagna ordnin</w:t>
      </w:r>
      <w:r w:rsidR="006032D3" w:rsidRPr="00D66F1A">
        <w:t>g</w:t>
      </w:r>
      <w:r w:rsidR="006032D3" w:rsidRPr="00D66F1A">
        <w:t>en</w:t>
      </w:r>
      <w:r w:rsidR="00B563A6" w:rsidRPr="00D66F1A">
        <w:t>. Motion</w:t>
      </w:r>
      <w:r w:rsidR="006032D3" w:rsidRPr="00D66F1A">
        <w:t xml:space="preserve"> </w:t>
      </w:r>
      <w:r w:rsidR="00B563A6" w:rsidRPr="00D66F1A">
        <w:t>Sf3</w:t>
      </w:r>
      <w:r w:rsidR="00860A17" w:rsidRPr="00D66F1A">
        <w:t>3</w:t>
      </w:r>
      <w:r w:rsidR="001529E6" w:rsidRPr="00D66F1A">
        <w:t xml:space="preserve"> </w:t>
      </w:r>
      <w:r w:rsidR="00E12B53" w:rsidRPr="00D66F1A">
        <w:t>bör avslås</w:t>
      </w:r>
      <w:r w:rsidR="001529E6" w:rsidRPr="00D66F1A">
        <w:t xml:space="preserve"> i denna del (</w:t>
      </w:r>
      <w:r w:rsidR="00E12B53" w:rsidRPr="00D66F1A">
        <w:t xml:space="preserve">del av </w:t>
      </w:r>
      <w:r w:rsidR="001529E6" w:rsidRPr="00D66F1A">
        <w:t>yrka</w:t>
      </w:r>
      <w:r w:rsidR="001529E6" w:rsidRPr="00D66F1A">
        <w:t>n</w:t>
      </w:r>
      <w:r w:rsidR="001529E6" w:rsidRPr="00D66F1A">
        <w:t>de 1)</w:t>
      </w:r>
      <w:r w:rsidR="00C06BF6" w:rsidRPr="00D66F1A">
        <w:t>.</w:t>
      </w:r>
    </w:p>
    <w:p w:rsidR="00481C63" w:rsidRPr="00D66F1A" w:rsidRDefault="00B563A6" w:rsidP="004F039F">
      <w:pPr>
        <w:pStyle w:val="Normaltindrag"/>
      </w:pPr>
      <w:r w:rsidRPr="00D66F1A">
        <w:t xml:space="preserve">I motion </w:t>
      </w:r>
      <w:r w:rsidR="00651A2F" w:rsidRPr="00D66F1A">
        <w:t>Sf</w:t>
      </w:r>
      <w:r w:rsidRPr="00D66F1A">
        <w:t>3</w:t>
      </w:r>
      <w:r w:rsidR="00860A17" w:rsidRPr="00D66F1A">
        <w:t xml:space="preserve">3 </w:t>
      </w:r>
      <w:r w:rsidRPr="00D66F1A">
        <w:t xml:space="preserve">efterfrågas vidare utbildningsinsatser för såväl </w:t>
      </w:r>
      <w:r w:rsidR="00381E04" w:rsidRPr="00D66F1A">
        <w:t>lagfarna l</w:t>
      </w:r>
      <w:r w:rsidR="00381E04" w:rsidRPr="00D66F1A">
        <w:t>e</w:t>
      </w:r>
      <w:r w:rsidR="00381E04" w:rsidRPr="00D66F1A">
        <w:t>damöter som nämndemän i de nya domstolarna</w:t>
      </w:r>
      <w:r w:rsidRPr="00D66F1A">
        <w:t>.</w:t>
      </w:r>
      <w:r w:rsidR="00381E04" w:rsidRPr="00D66F1A">
        <w:t xml:space="preserve"> Ett motsvarande yrka</w:t>
      </w:r>
      <w:r w:rsidR="00381E04" w:rsidRPr="00D66F1A">
        <w:t>n</w:t>
      </w:r>
      <w:r w:rsidR="00381E04" w:rsidRPr="00D66F1A">
        <w:t xml:space="preserve">de </w:t>
      </w:r>
      <w:r w:rsidR="00D97F48" w:rsidRPr="00D66F1A">
        <w:t>om utbildningsinsatser f</w:t>
      </w:r>
      <w:r w:rsidRPr="00D66F1A">
        <w:t xml:space="preserve">ramställs i </w:t>
      </w:r>
      <w:r w:rsidR="00381E04" w:rsidRPr="00D66F1A">
        <w:t>m</w:t>
      </w:r>
      <w:r w:rsidR="00381E04" w:rsidRPr="00D66F1A">
        <w:t>o</w:t>
      </w:r>
      <w:r w:rsidR="00381E04" w:rsidRPr="00D66F1A">
        <w:t>tion Sf3</w:t>
      </w:r>
      <w:r w:rsidR="00860A17" w:rsidRPr="00D66F1A">
        <w:t>4</w:t>
      </w:r>
      <w:r w:rsidR="00FD78C5" w:rsidRPr="00D66F1A">
        <w:t xml:space="preserve"> (fp, kd</w:t>
      </w:r>
      <w:r w:rsidR="00860A17" w:rsidRPr="00D66F1A">
        <w:t xml:space="preserve">, </w:t>
      </w:r>
      <w:r w:rsidR="00FD78C5" w:rsidRPr="00D66F1A">
        <w:t>c)</w:t>
      </w:r>
      <w:r w:rsidR="00381E04" w:rsidRPr="00D66F1A">
        <w:t xml:space="preserve">. </w:t>
      </w:r>
    </w:p>
    <w:p w:rsidR="006032D3" w:rsidRPr="00D66F1A" w:rsidRDefault="009F084B" w:rsidP="004F039F">
      <w:pPr>
        <w:pStyle w:val="Normaltindrag"/>
      </w:pPr>
      <w:r w:rsidRPr="00D66F1A">
        <w:t>Som tidigare nämnts har r</w:t>
      </w:r>
      <w:r w:rsidR="00B563A6" w:rsidRPr="00D66F1A">
        <w:t xml:space="preserve">egeringen </w:t>
      </w:r>
      <w:r w:rsidRPr="00D66F1A">
        <w:t>uppdragit</w:t>
      </w:r>
      <w:r w:rsidR="00B563A6" w:rsidRPr="00D66F1A">
        <w:t xml:space="preserve"> åt Domstolsverket att </w:t>
      </w:r>
      <w:r w:rsidR="00651A2F" w:rsidRPr="00D66F1A">
        <w:t>förb</w:t>
      </w:r>
      <w:r w:rsidR="00651A2F" w:rsidRPr="00D66F1A">
        <w:t>e</w:t>
      </w:r>
      <w:r w:rsidR="00651A2F" w:rsidRPr="00D66F1A">
        <w:t>reda och vidta åtgärder för att inrätta en ny instans- och processordning för utlä</w:t>
      </w:r>
      <w:r w:rsidR="00651A2F" w:rsidRPr="00D66F1A">
        <w:t>n</w:t>
      </w:r>
      <w:r w:rsidR="00651A2F" w:rsidRPr="00D66F1A">
        <w:t>nings- och medborgarskapsärenden. I verkets uppdrag ingår bl.a. att analysera behovet av särskild kompetens och hur detta i så fall kan tillgod</w:t>
      </w:r>
      <w:r w:rsidR="00651A2F" w:rsidRPr="00D66F1A">
        <w:t>o</w:t>
      </w:r>
      <w:r w:rsidR="00651A2F" w:rsidRPr="00D66F1A">
        <w:t xml:space="preserve">ses. </w:t>
      </w:r>
    </w:p>
    <w:p w:rsidR="00B563A6" w:rsidRPr="00D66F1A" w:rsidRDefault="00B563A6" w:rsidP="004F039F">
      <w:pPr>
        <w:pStyle w:val="Normaltindrag"/>
      </w:pPr>
      <w:r w:rsidRPr="00D66F1A">
        <w:t xml:space="preserve">Utskottet instämmer i motionärernas uppfattning att det är angeläget </w:t>
      </w:r>
      <w:r w:rsidR="00A43BFC" w:rsidRPr="00D66F1A">
        <w:t xml:space="preserve">att </w:t>
      </w:r>
      <w:r w:rsidRPr="00D66F1A">
        <w:t>säkerställa att domstolarna kan upprätth</w:t>
      </w:r>
      <w:r w:rsidR="00E12B53" w:rsidRPr="00D66F1A">
        <w:t xml:space="preserve">ålla erforderlig kompetens </w:t>
      </w:r>
      <w:r w:rsidRPr="00D66F1A">
        <w:t>i flyktin</w:t>
      </w:r>
      <w:r w:rsidRPr="00D66F1A">
        <w:t>g</w:t>
      </w:r>
      <w:r w:rsidRPr="00D66F1A">
        <w:t>rätt, mänskliga rättigheter och internation</w:t>
      </w:r>
      <w:r w:rsidR="00A43BFC" w:rsidRPr="00D66F1A">
        <w:t>ell</w:t>
      </w:r>
      <w:r w:rsidRPr="00D66F1A">
        <w:t xml:space="preserve"> rätt. </w:t>
      </w:r>
      <w:r w:rsidR="00A43BFC" w:rsidRPr="00D66F1A">
        <w:t>Utskottet kan ko</w:t>
      </w:r>
      <w:r w:rsidR="00A43BFC" w:rsidRPr="00D66F1A">
        <w:t>n</w:t>
      </w:r>
      <w:r w:rsidR="00A43BFC" w:rsidRPr="00D66F1A">
        <w:t xml:space="preserve">statera att </w:t>
      </w:r>
      <w:r w:rsidR="00651A2F" w:rsidRPr="00D66F1A">
        <w:t xml:space="preserve">Domstolsverkets uppdrag </w:t>
      </w:r>
      <w:r w:rsidR="00A43BFC" w:rsidRPr="00D66F1A">
        <w:t>ligger väl i linje med motionsönskem</w:t>
      </w:r>
      <w:r w:rsidR="00A43BFC" w:rsidRPr="00D66F1A">
        <w:t>å</w:t>
      </w:r>
      <w:r w:rsidR="00A43BFC" w:rsidRPr="00D66F1A">
        <w:t>len. Det behövs således i</w:t>
      </w:r>
      <w:r w:rsidR="00E12B53" w:rsidRPr="00D66F1A">
        <w:t xml:space="preserve">nte någon åtgärd från riksdagen </w:t>
      </w:r>
      <w:r w:rsidR="00A43BFC" w:rsidRPr="00D66F1A">
        <w:t>för att säkerställa att ledam</w:t>
      </w:r>
      <w:r w:rsidR="00A43BFC" w:rsidRPr="00D66F1A">
        <w:t>ö</w:t>
      </w:r>
      <w:r w:rsidR="00A43BFC" w:rsidRPr="00D66F1A">
        <w:t xml:space="preserve">terna i migrationsdomstolarna har erforderlig kompetens. </w:t>
      </w:r>
      <w:r w:rsidR="00E12B53" w:rsidRPr="00D66F1A">
        <w:t>M</w:t>
      </w:r>
      <w:r w:rsidR="00651A2F" w:rsidRPr="00D66F1A">
        <w:t>oti</w:t>
      </w:r>
      <w:r w:rsidR="00651A2F" w:rsidRPr="00D66F1A">
        <w:t>o</w:t>
      </w:r>
      <w:r w:rsidR="00651A2F" w:rsidRPr="00D66F1A">
        <w:t xml:space="preserve">nerna Sf33 och Sf34 </w:t>
      </w:r>
      <w:r w:rsidR="000240F6" w:rsidRPr="00D66F1A">
        <w:t xml:space="preserve">bör avslås </w:t>
      </w:r>
      <w:r w:rsidR="00651A2F" w:rsidRPr="00D66F1A">
        <w:t>i dessa delar</w:t>
      </w:r>
      <w:r w:rsidR="006032D3" w:rsidRPr="00D66F1A">
        <w:t xml:space="preserve"> (</w:t>
      </w:r>
      <w:r w:rsidR="00E12B53" w:rsidRPr="00D66F1A">
        <w:t xml:space="preserve">del av </w:t>
      </w:r>
      <w:r w:rsidR="006032D3" w:rsidRPr="00D66F1A">
        <w:t>yrkande 1 r</w:t>
      </w:r>
      <w:r w:rsidR="006032D3" w:rsidRPr="00D66F1A">
        <w:t>e</w:t>
      </w:r>
      <w:r w:rsidR="006032D3" w:rsidRPr="00D66F1A">
        <w:t>spektive 8)</w:t>
      </w:r>
      <w:r w:rsidR="00651A2F" w:rsidRPr="00D66F1A">
        <w:t>.</w:t>
      </w:r>
    </w:p>
    <w:p w:rsidR="000B26F5" w:rsidRPr="00D66F1A" w:rsidRDefault="000B26F5" w:rsidP="00457A95">
      <w:pPr>
        <w:pStyle w:val="Rubrik3"/>
        <w:rPr>
          <w:noProof w:val="0"/>
        </w:rPr>
      </w:pPr>
      <w:bookmarkStart w:id="11" w:name="_Toc109621083"/>
      <w:r w:rsidRPr="00D66F1A">
        <w:rPr>
          <w:noProof w:val="0"/>
        </w:rPr>
        <w:t>Övrig</w:t>
      </w:r>
      <w:r w:rsidR="000157DC" w:rsidRPr="00D66F1A">
        <w:rPr>
          <w:noProof w:val="0"/>
        </w:rPr>
        <w:t>a frågor</w:t>
      </w:r>
      <w:bookmarkEnd w:id="11"/>
    </w:p>
    <w:p w:rsidR="000B26F5" w:rsidRPr="00D66F1A" w:rsidRDefault="000B26F5" w:rsidP="00C61945">
      <w:pPr>
        <w:pStyle w:val="Rubrik4"/>
        <w:rPr>
          <w:noProof w:val="0"/>
        </w:rPr>
      </w:pPr>
      <w:bookmarkStart w:id="12" w:name="_Toc109621084"/>
      <w:r w:rsidRPr="00D66F1A">
        <w:rPr>
          <w:noProof w:val="0"/>
        </w:rPr>
        <w:t>Offentligt biträde m.m.</w:t>
      </w:r>
      <w:bookmarkEnd w:id="12"/>
    </w:p>
    <w:p w:rsidR="000B26F5" w:rsidRPr="00D66F1A" w:rsidRDefault="004C7399" w:rsidP="004C7399">
      <w:r w:rsidRPr="00D66F1A">
        <w:t>Av 2 § lagen (199</w:t>
      </w:r>
      <w:r w:rsidR="00135EBA" w:rsidRPr="00D66F1A">
        <w:t>6</w:t>
      </w:r>
      <w:r w:rsidRPr="00D66F1A">
        <w:t>:</w:t>
      </w:r>
      <w:r w:rsidR="00135EBA" w:rsidRPr="00D66F1A">
        <w:t>1620</w:t>
      </w:r>
      <w:r w:rsidRPr="00D66F1A">
        <w:t>) om offentligt biträde följer att den myndighet som handlägger ett ärende i sak också skall besluta i frågor om offentligt biträde.</w:t>
      </w:r>
    </w:p>
    <w:p w:rsidR="000B26F5" w:rsidRPr="00D66F1A" w:rsidRDefault="000B26F5" w:rsidP="004C7399">
      <w:pPr>
        <w:pStyle w:val="Normaltindrag"/>
      </w:pPr>
      <w:r w:rsidRPr="00D66F1A">
        <w:t>I motion Sf3</w:t>
      </w:r>
      <w:r w:rsidR="0051784F" w:rsidRPr="00D66F1A">
        <w:t>4</w:t>
      </w:r>
      <w:r w:rsidRPr="00D66F1A">
        <w:t xml:space="preserve"> </w:t>
      </w:r>
      <w:r w:rsidR="00E12B53" w:rsidRPr="00D66F1A">
        <w:t xml:space="preserve">(fp, kd, c) </w:t>
      </w:r>
      <w:r w:rsidRPr="00D66F1A">
        <w:t>begärs att migrationsdomstol skall förordna o</w:t>
      </w:r>
      <w:r w:rsidRPr="00D66F1A">
        <w:t>f</w:t>
      </w:r>
      <w:r w:rsidRPr="00D66F1A">
        <w:t>fentligt biträde i ärenden som handläggs av Migrationsverket. Motionärerna menar att det är olämpligt att Migr</w:t>
      </w:r>
      <w:r w:rsidR="00C06BF6" w:rsidRPr="00D66F1A">
        <w:t xml:space="preserve">ationsverket förordnar </w:t>
      </w:r>
      <w:r w:rsidRPr="00D66F1A">
        <w:t>biträde eftersom ve</w:t>
      </w:r>
      <w:r w:rsidRPr="00D66F1A">
        <w:t>r</w:t>
      </w:r>
      <w:r w:rsidRPr="00D66F1A">
        <w:t xml:space="preserve">ket blir utlänningens motpart vid ett överklagande till domstol. </w:t>
      </w:r>
    </w:p>
    <w:p w:rsidR="000B26F5" w:rsidRPr="00D66F1A" w:rsidRDefault="000B26F5" w:rsidP="000B26F5">
      <w:pPr>
        <w:pStyle w:val="Normaltindrag"/>
      </w:pPr>
      <w:r w:rsidRPr="00D66F1A">
        <w:t xml:space="preserve">Enligt regeringens </w:t>
      </w:r>
      <w:r w:rsidR="004C7399" w:rsidRPr="00D66F1A">
        <w:t xml:space="preserve">bedömning </w:t>
      </w:r>
      <w:r w:rsidRPr="00D66F1A">
        <w:t>skall de nuvarande bestämmelserna om rätt till o</w:t>
      </w:r>
      <w:r w:rsidRPr="00D66F1A">
        <w:t>f</w:t>
      </w:r>
      <w:r w:rsidRPr="00D66F1A">
        <w:t>fentligt biträde i utlänningslagen i allt väsentligt kvarstå oförändrade. Migrationsverket skall även fortsättningsvis förordna offentl</w:t>
      </w:r>
      <w:r w:rsidRPr="00D66F1A">
        <w:t>i</w:t>
      </w:r>
      <w:r w:rsidRPr="00D66F1A">
        <w:t xml:space="preserve">ga biträden i ärenden som handläggs hos verket. Regeringen anför emellertid </w:t>
      </w:r>
      <w:r w:rsidR="00C06BF6" w:rsidRPr="00D66F1A">
        <w:t>i propositi</w:t>
      </w:r>
      <w:r w:rsidR="00C06BF6" w:rsidRPr="00D66F1A">
        <w:t>o</w:t>
      </w:r>
      <w:r w:rsidR="00C06BF6" w:rsidRPr="00D66F1A">
        <w:t xml:space="preserve">nen </w:t>
      </w:r>
      <w:r w:rsidRPr="00D66F1A">
        <w:t>att det finns anledning att utvärdera hur bestämmelserna om b</w:t>
      </w:r>
      <w:r w:rsidRPr="00D66F1A">
        <w:t>e</w:t>
      </w:r>
      <w:r w:rsidRPr="00D66F1A">
        <w:t>slutande myndighet i frågor om offentligt biträde tillämpas i ärenden enligt utlänning</w:t>
      </w:r>
      <w:r w:rsidRPr="00D66F1A">
        <w:t>s</w:t>
      </w:r>
      <w:r w:rsidRPr="00D66F1A">
        <w:t>lagen. En sådan utvärdering bör enligt regeringen genomf</w:t>
      </w:r>
      <w:r w:rsidRPr="00D66F1A">
        <w:t>ö</w:t>
      </w:r>
      <w:r w:rsidRPr="00D66F1A">
        <w:t>ras inom ramen för den övergripande utvärdering som skall göras av hela den föreslagna refo</w:t>
      </w:r>
      <w:r w:rsidRPr="00D66F1A">
        <w:t>r</w:t>
      </w:r>
      <w:r w:rsidRPr="00D66F1A">
        <w:t xml:space="preserve">men. Utvärderingen </w:t>
      </w:r>
      <w:r w:rsidR="0051784F" w:rsidRPr="00D66F1A">
        <w:t>bör</w:t>
      </w:r>
      <w:r w:rsidRPr="00D66F1A">
        <w:t xml:space="preserve"> enligt regeringen ske snarast efter det att den nya ordningen genomförts och delredovisas inom ramen för den öve</w:t>
      </w:r>
      <w:r w:rsidRPr="00D66F1A">
        <w:t>r</w:t>
      </w:r>
      <w:r w:rsidRPr="00D66F1A">
        <w:t>gripande utvä</w:t>
      </w:r>
      <w:r w:rsidRPr="00D66F1A">
        <w:t>r</w:t>
      </w:r>
      <w:r w:rsidRPr="00D66F1A">
        <w:t>deringen. Det finns enligt regeringens mening inte skäl att i avvaktan på resultatet av utvärderingen föreslå att det i den nya instans- och processor</w:t>
      </w:r>
      <w:r w:rsidRPr="00D66F1A">
        <w:t>d</w:t>
      </w:r>
      <w:r w:rsidRPr="00D66F1A">
        <w:t xml:space="preserve">ningen skall gälla andra bestämmelser än de som gäller i dag. </w:t>
      </w:r>
    </w:p>
    <w:p w:rsidR="000B26F5" w:rsidRPr="00D66F1A" w:rsidRDefault="000B26F5" w:rsidP="000B26F5">
      <w:pPr>
        <w:pStyle w:val="Normaltindrag"/>
      </w:pPr>
      <w:r w:rsidRPr="00D66F1A">
        <w:t xml:space="preserve">Utskottet </w:t>
      </w:r>
      <w:r w:rsidR="004C7399" w:rsidRPr="00D66F1A">
        <w:t xml:space="preserve">anser i likhet med motionärerna att det kan riktas invändningar mot den nu </w:t>
      </w:r>
      <w:r w:rsidR="007A3513" w:rsidRPr="00D66F1A">
        <w:t xml:space="preserve">rådande </w:t>
      </w:r>
      <w:r w:rsidR="004C7399" w:rsidRPr="00D66F1A">
        <w:t xml:space="preserve">ordningen. Utskottet </w:t>
      </w:r>
      <w:r w:rsidRPr="00D66F1A">
        <w:t xml:space="preserve">instämmer </w:t>
      </w:r>
      <w:r w:rsidR="004C7399" w:rsidRPr="00D66F1A">
        <w:t xml:space="preserve">emellertid </w:t>
      </w:r>
      <w:r w:rsidRPr="00D66F1A">
        <w:t xml:space="preserve">i regeringens bedömning att resultatet av den aviserade utvärderingen bör avvaktas. </w:t>
      </w:r>
      <w:r w:rsidR="00E12B53" w:rsidRPr="00D66F1A">
        <w:t>M</w:t>
      </w:r>
      <w:r w:rsidRPr="00D66F1A">
        <w:t>otion Sf3</w:t>
      </w:r>
      <w:r w:rsidR="0051784F" w:rsidRPr="00D66F1A">
        <w:t>4</w:t>
      </w:r>
      <w:r w:rsidRPr="00D66F1A">
        <w:t xml:space="preserve"> </w:t>
      </w:r>
      <w:r w:rsidR="00E12B53" w:rsidRPr="00D66F1A">
        <w:t xml:space="preserve">bör avslås </w:t>
      </w:r>
      <w:r w:rsidRPr="00D66F1A">
        <w:t>i denna del (y</w:t>
      </w:r>
      <w:r w:rsidRPr="00D66F1A">
        <w:t>r</w:t>
      </w:r>
      <w:r w:rsidRPr="00D66F1A">
        <w:t>kande 4).</w:t>
      </w:r>
    </w:p>
    <w:p w:rsidR="00F61139" w:rsidRPr="00D66F1A" w:rsidRDefault="0051784F" w:rsidP="00F61139">
      <w:pPr>
        <w:pStyle w:val="Normaltindrag"/>
      </w:pPr>
      <w:r w:rsidRPr="00D66F1A">
        <w:t xml:space="preserve">I motion Sf34 </w:t>
      </w:r>
      <w:r w:rsidR="000B26F5" w:rsidRPr="00D66F1A">
        <w:t xml:space="preserve">begärs </w:t>
      </w:r>
      <w:r w:rsidRPr="00D66F1A">
        <w:t xml:space="preserve">vidare </w:t>
      </w:r>
      <w:r w:rsidR="000B26F5" w:rsidRPr="00D66F1A">
        <w:t>att s.k. medborgarvittnen skall ha rätt att nä</w:t>
      </w:r>
      <w:r w:rsidR="000B26F5" w:rsidRPr="00D66F1A">
        <w:t>r</w:t>
      </w:r>
      <w:r w:rsidR="000B26F5" w:rsidRPr="00D66F1A">
        <w:t>vara under asylprocessen</w:t>
      </w:r>
      <w:r w:rsidR="00F61139" w:rsidRPr="00D66F1A">
        <w:t xml:space="preserve"> i ärenden </w:t>
      </w:r>
      <w:r w:rsidR="004C7399" w:rsidRPr="00D66F1A">
        <w:t>där ansökan är up</w:t>
      </w:r>
      <w:r w:rsidR="00F61139" w:rsidRPr="00D66F1A">
        <w:t xml:space="preserve">penbart </w:t>
      </w:r>
      <w:r w:rsidR="004C7399" w:rsidRPr="00D66F1A">
        <w:t xml:space="preserve">ogrundad. </w:t>
      </w:r>
      <w:r w:rsidR="00C06BF6" w:rsidRPr="00D66F1A">
        <w:t xml:space="preserve">Det är fråga om </w:t>
      </w:r>
      <w:r w:rsidR="00F61139" w:rsidRPr="00D66F1A">
        <w:t xml:space="preserve">ärenden </w:t>
      </w:r>
      <w:r w:rsidR="00C06BF6" w:rsidRPr="00D66F1A">
        <w:t xml:space="preserve">där </w:t>
      </w:r>
      <w:r w:rsidR="00F61139" w:rsidRPr="00D66F1A">
        <w:t xml:space="preserve">utlänningen normalt inte </w:t>
      </w:r>
      <w:r w:rsidR="00C06BF6" w:rsidRPr="00D66F1A">
        <w:t xml:space="preserve">har </w:t>
      </w:r>
      <w:r w:rsidR="00F61139" w:rsidRPr="00D66F1A">
        <w:t>rätt till offentligt bitr</w:t>
      </w:r>
      <w:r w:rsidR="00F61139" w:rsidRPr="00D66F1A">
        <w:t>ä</w:t>
      </w:r>
      <w:r w:rsidR="00F61139" w:rsidRPr="00D66F1A">
        <w:t xml:space="preserve">de. </w:t>
      </w:r>
      <w:r w:rsidR="00C06BF6" w:rsidRPr="00D66F1A">
        <w:t xml:space="preserve">I syfte </w:t>
      </w:r>
      <w:r w:rsidR="00F61139" w:rsidRPr="00D66F1A">
        <w:t>att även värna asylrätten och öka öppenheten bör enligt motionäre</w:t>
      </w:r>
      <w:r w:rsidR="00F61139" w:rsidRPr="00D66F1A">
        <w:t>r</w:t>
      </w:r>
      <w:r w:rsidR="00F61139" w:rsidRPr="00D66F1A">
        <w:t>na medborgarvittnen få närvara om den asyls</w:t>
      </w:r>
      <w:r w:rsidR="00F61139" w:rsidRPr="00D66F1A">
        <w:t>ö</w:t>
      </w:r>
      <w:r w:rsidR="00F61139" w:rsidRPr="00D66F1A">
        <w:t xml:space="preserve">kande så önskar. </w:t>
      </w:r>
    </w:p>
    <w:p w:rsidR="000B26F5" w:rsidRPr="00D66F1A" w:rsidRDefault="0051784F" w:rsidP="000B26F5">
      <w:pPr>
        <w:pStyle w:val="Normaltindrag"/>
      </w:pPr>
      <w:r w:rsidRPr="00D66F1A">
        <w:t xml:space="preserve">Utskottet </w:t>
      </w:r>
      <w:r w:rsidR="004C7399" w:rsidRPr="00D66F1A">
        <w:t>finner inte skäl att förordna att s.k. medborgarvittnen skall närv</w:t>
      </w:r>
      <w:r w:rsidR="004C7399" w:rsidRPr="00D66F1A">
        <w:t>a</w:t>
      </w:r>
      <w:r w:rsidR="004C7399" w:rsidRPr="00D66F1A">
        <w:t xml:space="preserve">ra under </w:t>
      </w:r>
      <w:r w:rsidR="00F22D7F" w:rsidRPr="00D66F1A">
        <w:t>asylprocessen</w:t>
      </w:r>
      <w:r w:rsidR="00E12B53" w:rsidRPr="00D66F1A">
        <w:t>, och m</w:t>
      </w:r>
      <w:r w:rsidRPr="00D66F1A">
        <w:t xml:space="preserve">otion Sf34 </w:t>
      </w:r>
      <w:r w:rsidR="00E12B53" w:rsidRPr="00D66F1A">
        <w:t xml:space="preserve">bör avslås </w:t>
      </w:r>
      <w:r w:rsidRPr="00D66F1A">
        <w:t>i denna del (y</w:t>
      </w:r>
      <w:r w:rsidRPr="00D66F1A">
        <w:t>r</w:t>
      </w:r>
      <w:r w:rsidRPr="00D66F1A">
        <w:t>kande 1</w:t>
      </w:r>
      <w:r w:rsidR="00D563C5" w:rsidRPr="00D66F1A">
        <w:t>0</w:t>
      </w:r>
      <w:r w:rsidRPr="00D66F1A">
        <w:t>).</w:t>
      </w:r>
    </w:p>
    <w:p w:rsidR="000B26F5" w:rsidRPr="00D66F1A" w:rsidRDefault="00F22D7F" w:rsidP="00C61945">
      <w:pPr>
        <w:pStyle w:val="Rubrik4"/>
        <w:rPr>
          <w:noProof w:val="0"/>
        </w:rPr>
      </w:pPr>
      <w:bookmarkStart w:id="13" w:name="_Toc109621085"/>
      <w:r w:rsidRPr="00D66F1A">
        <w:rPr>
          <w:noProof w:val="0"/>
        </w:rPr>
        <w:t>R</w:t>
      </w:r>
      <w:r w:rsidR="000B26F5" w:rsidRPr="00D66F1A">
        <w:rPr>
          <w:noProof w:val="0"/>
        </w:rPr>
        <w:t>ätt till muntlig förhandling</w:t>
      </w:r>
      <w:bookmarkEnd w:id="13"/>
    </w:p>
    <w:p w:rsidR="000B26F5" w:rsidRPr="00D66F1A" w:rsidRDefault="000B26F5" w:rsidP="001529E6">
      <w:r w:rsidRPr="00D66F1A">
        <w:t>I motion Sf3</w:t>
      </w:r>
      <w:r w:rsidR="00F61139" w:rsidRPr="00D66F1A">
        <w:t>4</w:t>
      </w:r>
      <w:r w:rsidR="0051784F" w:rsidRPr="00D66F1A">
        <w:t xml:space="preserve"> </w:t>
      </w:r>
      <w:r w:rsidRPr="00D66F1A">
        <w:t>framhåller motionärerna att det måste tydliggöras i den för</w:t>
      </w:r>
      <w:r w:rsidRPr="00D66F1A">
        <w:t>e</w:t>
      </w:r>
      <w:r w:rsidRPr="00D66F1A">
        <w:t>slagna nya utlänningslagen att rätten till muntlig förhandling i migration</w:t>
      </w:r>
      <w:r w:rsidRPr="00D66F1A">
        <w:t>s</w:t>
      </w:r>
      <w:r w:rsidRPr="00D66F1A">
        <w:t xml:space="preserve">domstolarna också omfattar barn. </w:t>
      </w:r>
    </w:p>
    <w:p w:rsidR="00F22D7F" w:rsidRPr="00D66F1A" w:rsidRDefault="000B26F5" w:rsidP="000B26F5">
      <w:pPr>
        <w:pStyle w:val="Normaltindrag"/>
      </w:pPr>
      <w:r w:rsidRPr="00D66F1A">
        <w:t xml:space="preserve">I 16 kap. 5 § tredje stycket i den föreslagna </w:t>
      </w:r>
      <w:r w:rsidR="00F61139" w:rsidRPr="00D66F1A">
        <w:t xml:space="preserve">nya </w:t>
      </w:r>
      <w:r w:rsidRPr="00D66F1A">
        <w:t xml:space="preserve">utlänningslagen föreskrivs att muntlig förhandling skall hållas i migrationsdomstol om den som för talan begär det samt förhandlingen inte är obehövlig eller annars särskilda skäl talar emot det. </w:t>
      </w:r>
    </w:p>
    <w:p w:rsidR="000B26F5" w:rsidRPr="00D66F1A" w:rsidRDefault="00F22D7F" w:rsidP="000B26F5">
      <w:pPr>
        <w:pStyle w:val="Normaltindrag"/>
      </w:pPr>
      <w:r w:rsidRPr="00D66F1A">
        <w:t>Utskottet konstaterar att b</w:t>
      </w:r>
      <w:r w:rsidR="000B26F5" w:rsidRPr="00D66F1A">
        <w:t>estämmelsen gäller alla utlänningar som är pa</w:t>
      </w:r>
      <w:r w:rsidR="000B26F5" w:rsidRPr="00D66F1A">
        <w:t>r</w:t>
      </w:r>
      <w:r w:rsidR="000B26F5" w:rsidRPr="00D66F1A">
        <w:t xml:space="preserve">ter i migrationsdomstolarna, även barn under 18 år. Utskottet ser inget behov av att </w:t>
      </w:r>
      <w:r w:rsidR="00F61139" w:rsidRPr="00D66F1A">
        <w:t>föreslå</w:t>
      </w:r>
      <w:r w:rsidR="00C06BF6" w:rsidRPr="00D66F1A">
        <w:t xml:space="preserve"> någon ändring av bestämmelsens lydelse</w:t>
      </w:r>
      <w:r w:rsidR="00F61139" w:rsidRPr="00D66F1A">
        <w:t>.</w:t>
      </w:r>
      <w:r w:rsidR="000B26F5" w:rsidRPr="00D66F1A">
        <w:t xml:space="preserve"> Motion Sf3</w:t>
      </w:r>
      <w:r w:rsidR="00F61139" w:rsidRPr="00D66F1A">
        <w:t>4</w:t>
      </w:r>
      <w:r w:rsidR="000B26F5" w:rsidRPr="00D66F1A">
        <w:t xml:space="preserve"> bör avslås i denna del (y</w:t>
      </w:r>
      <w:r w:rsidR="000B26F5" w:rsidRPr="00D66F1A">
        <w:t>r</w:t>
      </w:r>
      <w:r w:rsidR="000157DC" w:rsidRPr="00D66F1A">
        <w:t>kande 9).</w:t>
      </w:r>
    </w:p>
    <w:p w:rsidR="000B26F5" w:rsidRPr="00D66F1A" w:rsidRDefault="000B26F5" w:rsidP="00C61945">
      <w:pPr>
        <w:pStyle w:val="Rubrik4"/>
        <w:rPr>
          <w:noProof w:val="0"/>
        </w:rPr>
      </w:pPr>
      <w:bookmarkStart w:id="14" w:name="_Toc109621086"/>
      <w:r w:rsidRPr="00D66F1A">
        <w:rPr>
          <w:noProof w:val="0"/>
        </w:rPr>
        <w:t>Nämndemän</w:t>
      </w:r>
      <w:bookmarkEnd w:id="14"/>
    </w:p>
    <w:p w:rsidR="006032D3" w:rsidRPr="00D66F1A" w:rsidRDefault="00651A2F" w:rsidP="006032D3">
      <w:r w:rsidRPr="00D66F1A">
        <w:t>I motion Sf3</w:t>
      </w:r>
      <w:r w:rsidR="001529E6" w:rsidRPr="00D66F1A">
        <w:t>3</w:t>
      </w:r>
      <w:r w:rsidRPr="00D66F1A">
        <w:t xml:space="preserve"> begärs att regeringen skall </w:t>
      </w:r>
      <w:r w:rsidR="0067256D" w:rsidRPr="00D66F1A">
        <w:t>återkomma till riksdagen med fö</w:t>
      </w:r>
      <w:r w:rsidR="0067256D" w:rsidRPr="00D66F1A">
        <w:t>r</w:t>
      </w:r>
      <w:r w:rsidR="0067256D" w:rsidRPr="00D66F1A">
        <w:t>slag till lagstiftning i enlighet med vad Nämndemannakommittén föreslagit i b</w:t>
      </w:r>
      <w:r w:rsidR="0067256D" w:rsidRPr="00D66F1A">
        <w:t>e</w:t>
      </w:r>
      <w:r w:rsidR="0067256D" w:rsidRPr="00D66F1A">
        <w:t>tänkandet Framtidens nämndemän (SOU</w:t>
      </w:r>
      <w:r w:rsidR="006032D3" w:rsidRPr="00D66F1A">
        <w:t xml:space="preserve"> 2002:61)</w:t>
      </w:r>
      <w:r w:rsidR="0067256D" w:rsidRPr="00D66F1A">
        <w:t xml:space="preserve">. </w:t>
      </w:r>
    </w:p>
    <w:p w:rsidR="003B45CC" w:rsidRPr="00D66F1A" w:rsidRDefault="006032D3" w:rsidP="004F039F">
      <w:pPr>
        <w:pStyle w:val="Normaltindrag"/>
      </w:pPr>
      <w:r w:rsidRPr="00D66F1A">
        <w:t xml:space="preserve">Nämndemannakommittén har i betänkandet bl.a. föreslagit att en femtedel av </w:t>
      </w:r>
      <w:r w:rsidR="00F22D7F" w:rsidRPr="00D66F1A">
        <w:t xml:space="preserve">de </w:t>
      </w:r>
      <w:r w:rsidRPr="00D66F1A">
        <w:t xml:space="preserve">nämndemän som skall väljas skall tas ur en kvot där allmänheten kan lämna förslag på tänkbara kandidater. </w:t>
      </w:r>
      <w:r w:rsidR="003F0FC0" w:rsidRPr="00D66F1A">
        <w:t xml:space="preserve">Betänkandet, som </w:t>
      </w:r>
      <w:r w:rsidR="00842B55" w:rsidRPr="00D66F1A">
        <w:t xml:space="preserve">har </w:t>
      </w:r>
      <w:r w:rsidR="003F0FC0" w:rsidRPr="00D66F1A">
        <w:t>remissbehan</w:t>
      </w:r>
      <w:r w:rsidR="003F0FC0" w:rsidRPr="00D66F1A">
        <w:t>d</w:t>
      </w:r>
      <w:r w:rsidR="003F0FC0" w:rsidRPr="00D66F1A">
        <w:t xml:space="preserve">lats, bereds i Regeringskansliet. </w:t>
      </w:r>
      <w:r w:rsidR="00F22D7F" w:rsidRPr="00D66F1A">
        <w:t xml:space="preserve">Regeringen </w:t>
      </w:r>
      <w:r w:rsidR="003B45CC" w:rsidRPr="00D66F1A">
        <w:t>har för avsikt att överlämna ett lagfö</w:t>
      </w:r>
      <w:r w:rsidR="003B45CC" w:rsidRPr="00D66F1A">
        <w:t>r</w:t>
      </w:r>
      <w:r w:rsidR="003B45CC" w:rsidRPr="00D66F1A">
        <w:t>slag till Lagrådet senare under innevarande år.</w:t>
      </w:r>
    </w:p>
    <w:p w:rsidR="00F22D7F" w:rsidRPr="00D66F1A" w:rsidRDefault="00D46F9F" w:rsidP="004F039F">
      <w:pPr>
        <w:pStyle w:val="Normaltindrag"/>
      </w:pPr>
      <w:r w:rsidRPr="00D66F1A">
        <w:t>När utskottet senast t</w:t>
      </w:r>
      <w:r w:rsidR="00E12B53" w:rsidRPr="00D66F1A">
        <w:t>og</w:t>
      </w:r>
      <w:r w:rsidRPr="00D66F1A">
        <w:t xml:space="preserve"> ställning till motsvarande yrkande rörande rekryt</w:t>
      </w:r>
      <w:r w:rsidRPr="00D66F1A">
        <w:t>e</w:t>
      </w:r>
      <w:r w:rsidRPr="00D66F1A">
        <w:t xml:space="preserve">ring av nämndemän </w:t>
      </w:r>
      <w:r w:rsidR="00E12B53" w:rsidRPr="00D66F1A">
        <w:t xml:space="preserve">hänvisade </w:t>
      </w:r>
      <w:r w:rsidRPr="00D66F1A">
        <w:t>utskottet till det nyss nämnda beredningsarb</w:t>
      </w:r>
      <w:r w:rsidRPr="00D66F1A">
        <w:t>e</w:t>
      </w:r>
      <w:r w:rsidRPr="00D66F1A">
        <w:t xml:space="preserve">tet (bet. 2002/03:JuU1 s. </w:t>
      </w:r>
      <w:smartTag w:uri="urn:schemas-microsoft-com:office:smarttags" w:element="metricconverter">
        <w:smartTagPr>
          <w:attr w:name="ProductID" w:val="79 f"/>
        </w:smartTagPr>
        <w:r w:rsidRPr="00D66F1A">
          <w:t>79 f</w:t>
        </w:r>
      </w:smartTag>
      <w:r w:rsidRPr="00D66F1A">
        <w:t xml:space="preserve">. och bet. 2003/04:JuU14 s. 17). </w:t>
      </w:r>
    </w:p>
    <w:p w:rsidR="00C06BF6" w:rsidRPr="00D66F1A" w:rsidRDefault="00D46F9F" w:rsidP="000157DC">
      <w:pPr>
        <w:pStyle w:val="Normaltindrag"/>
      </w:pPr>
      <w:r w:rsidRPr="00D66F1A">
        <w:t xml:space="preserve">Utskottet </w:t>
      </w:r>
      <w:r w:rsidR="00F22D7F" w:rsidRPr="00D66F1A">
        <w:t xml:space="preserve">håller fast vid sitt tidigare ställningstagande. </w:t>
      </w:r>
      <w:r w:rsidR="0067256D" w:rsidRPr="00D66F1A">
        <w:t>Motion Sf3</w:t>
      </w:r>
      <w:r w:rsidR="00C06BF6" w:rsidRPr="00D66F1A">
        <w:t>3</w:t>
      </w:r>
      <w:r w:rsidR="00E12B53" w:rsidRPr="00D66F1A">
        <w:t xml:space="preserve"> bör avslås</w:t>
      </w:r>
      <w:r w:rsidR="003F0FC0" w:rsidRPr="00D66F1A">
        <w:t xml:space="preserve"> </w:t>
      </w:r>
      <w:r w:rsidR="0067256D" w:rsidRPr="00D66F1A">
        <w:t>i denna del</w:t>
      </w:r>
      <w:r w:rsidR="003F0FC0" w:rsidRPr="00D66F1A">
        <w:t xml:space="preserve"> (</w:t>
      </w:r>
      <w:r w:rsidR="00E12B53" w:rsidRPr="00D66F1A">
        <w:t xml:space="preserve">del av </w:t>
      </w:r>
      <w:r w:rsidR="003F0FC0" w:rsidRPr="00D66F1A">
        <w:t>y</w:t>
      </w:r>
      <w:r w:rsidR="003F0FC0" w:rsidRPr="00D66F1A">
        <w:t>r</w:t>
      </w:r>
      <w:r w:rsidR="003F0FC0" w:rsidRPr="00D66F1A">
        <w:t>kande 1)</w:t>
      </w:r>
      <w:r w:rsidR="000157DC" w:rsidRPr="00D66F1A">
        <w:t>.</w:t>
      </w:r>
    </w:p>
    <w:p w:rsidR="00EA5380" w:rsidRPr="00D66F1A" w:rsidRDefault="00C06BF6" w:rsidP="00C61945">
      <w:pPr>
        <w:pStyle w:val="Rubrik4"/>
        <w:rPr>
          <w:noProof w:val="0"/>
        </w:rPr>
      </w:pPr>
      <w:bookmarkStart w:id="15" w:name="_Toc109621087"/>
      <w:r w:rsidRPr="00D66F1A">
        <w:rPr>
          <w:noProof w:val="0"/>
        </w:rPr>
        <w:t xml:space="preserve">Ökad parlamentarisk kontroll i </w:t>
      </w:r>
      <w:bookmarkEnd w:id="15"/>
      <w:r w:rsidR="008A4A11" w:rsidRPr="00D66F1A">
        <w:rPr>
          <w:noProof w:val="0"/>
        </w:rPr>
        <w:t>säkerhetsärenden</w:t>
      </w:r>
    </w:p>
    <w:p w:rsidR="000B26F5" w:rsidRPr="00D66F1A" w:rsidRDefault="001529E6" w:rsidP="000B26F5">
      <w:r w:rsidRPr="00D66F1A">
        <w:t>I motion Sf34</w:t>
      </w:r>
      <w:r w:rsidR="000B26F5" w:rsidRPr="00D66F1A">
        <w:t xml:space="preserve"> föreslås att riksdagen skall utse en särskild riksdag</w:t>
      </w:r>
      <w:r w:rsidR="000B26F5" w:rsidRPr="00D66F1A">
        <w:t>s</w:t>
      </w:r>
      <w:r w:rsidR="000B26F5" w:rsidRPr="00D66F1A">
        <w:t xml:space="preserve">kommitté som skall </w:t>
      </w:r>
      <w:r w:rsidR="00F22D7F" w:rsidRPr="00D66F1A">
        <w:t xml:space="preserve">ta emot </w:t>
      </w:r>
      <w:r w:rsidR="000B26F5" w:rsidRPr="00D66F1A">
        <w:t xml:space="preserve">kontinuerlig information från regeringen om aktuella </w:t>
      </w:r>
      <w:r w:rsidR="008A4A11" w:rsidRPr="00D66F1A">
        <w:t>säke</w:t>
      </w:r>
      <w:r w:rsidR="008A4A11" w:rsidRPr="00D66F1A">
        <w:t>r</w:t>
      </w:r>
      <w:r w:rsidR="008A4A11" w:rsidRPr="00D66F1A">
        <w:t>hetsärenden.</w:t>
      </w:r>
    </w:p>
    <w:p w:rsidR="00F22D7F" w:rsidRPr="00D66F1A" w:rsidRDefault="000B26F5" w:rsidP="000B26F5">
      <w:pPr>
        <w:pStyle w:val="Normaltindrag"/>
      </w:pPr>
      <w:r w:rsidRPr="00D66F1A">
        <w:t>I samband med införandet av lagen om särskild utlänningsko</w:t>
      </w:r>
      <w:r w:rsidRPr="00D66F1A">
        <w:t>n</w:t>
      </w:r>
      <w:r w:rsidRPr="00D66F1A">
        <w:t>troll ansågs att den parlamentariska kontrollen av hur regeringen tillämpa</w:t>
      </w:r>
      <w:r w:rsidR="00F22D7F" w:rsidRPr="00D66F1A">
        <w:t>r</w:t>
      </w:r>
      <w:r w:rsidRPr="00D66F1A">
        <w:t xml:space="preserve"> terroristb</w:t>
      </w:r>
      <w:r w:rsidRPr="00D66F1A">
        <w:t>e</w:t>
      </w:r>
      <w:r w:rsidRPr="00D66F1A">
        <w:t xml:space="preserve">stämmelserna och reglerna om tvångsåtgärder </w:t>
      </w:r>
      <w:r w:rsidR="00842B55" w:rsidRPr="00D66F1A">
        <w:t>bör</w:t>
      </w:r>
      <w:r w:rsidRPr="00D66F1A">
        <w:t xml:space="preserve"> ske genom att regerin</w:t>
      </w:r>
      <w:r w:rsidRPr="00D66F1A">
        <w:t>g</w:t>
      </w:r>
      <w:r w:rsidRPr="00D66F1A">
        <w:t>en årligen lämnar en skrivelse till riksdagen (prop. 1990/91:118 s. 72, bet. 1990/91:JuU29 s. 32, rskr. 1990/91:289). Regeringens skrivelse har varje år bedömts innehålla en tillfreds</w:t>
      </w:r>
      <w:r w:rsidR="003F180F" w:rsidRPr="00D66F1A">
        <w:t>s</w:t>
      </w:r>
      <w:r w:rsidRPr="00D66F1A">
        <w:t>tällande redovisning av tillämpningen av l</w:t>
      </w:r>
      <w:r w:rsidRPr="00D66F1A">
        <w:t>a</w:t>
      </w:r>
      <w:r w:rsidRPr="00D66F1A">
        <w:t xml:space="preserve">gen. </w:t>
      </w:r>
      <w:r w:rsidR="00F22D7F" w:rsidRPr="00D66F1A">
        <w:t>Riksdagen får också insyn i hanteringen av säkerhetsärendena genom att regeringen läm</w:t>
      </w:r>
      <w:r w:rsidR="007A3513" w:rsidRPr="00D66F1A">
        <w:t xml:space="preserve">nar information om aktuella säkerhetsärenden till </w:t>
      </w:r>
      <w:r w:rsidR="00F22D7F" w:rsidRPr="00D66F1A">
        <w:t>representa</w:t>
      </w:r>
      <w:r w:rsidR="00F22D7F" w:rsidRPr="00D66F1A">
        <w:t>n</w:t>
      </w:r>
      <w:r w:rsidR="00F22D7F" w:rsidRPr="00D66F1A">
        <w:t>t</w:t>
      </w:r>
      <w:r w:rsidR="007A3513" w:rsidRPr="00D66F1A">
        <w:t xml:space="preserve">er </w:t>
      </w:r>
      <w:r w:rsidR="00F22D7F" w:rsidRPr="00D66F1A">
        <w:t>för part</w:t>
      </w:r>
      <w:r w:rsidR="00F22D7F" w:rsidRPr="00D66F1A">
        <w:t>i</w:t>
      </w:r>
      <w:r w:rsidR="007A3513" w:rsidRPr="00D66F1A">
        <w:t>erna</w:t>
      </w:r>
      <w:r w:rsidR="00F22D7F" w:rsidRPr="00D66F1A">
        <w:t xml:space="preserve">. </w:t>
      </w:r>
    </w:p>
    <w:p w:rsidR="00304D19" w:rsidRPr="00D66F1A" w:rsidRDefault="000B26F5" w:rsidP="00D56F85">
      <w:pPr>
        <w:pStyle w:val="Normaltindrag"/>
      </w:pPr>
      <w:r w:rsidRPr="00D66F1A">
        <w:t xml:space="preserve">Utskottet </w:t>
      </w:r>
      <w:r w:rsidR="00F22D7F" w:rsidRPr="00D66F1A">
        <w:t>anser att den nuvarande ordningen tillgodoser de krav på insyn som kan ställa</w:t>
      </w:r>
      <w:r w:rsidR="00842B55" w:rsidRPr="00D66F1A">
        <w:t>s</w:t>
      </w:r>
      <w:r w:rsidR="00F22D7F" w:rsidRPr="00D66F1A">
        <w:t xml:space="preserve">. </w:t>
      </w:r>
      <w:r w:rsidRPr="00D66F1A">
        <w:t>Motion Sf3</w:t>
      </w:r>
      <w:r w:rsidR="008A4A11" w:rsidRPr="00D66F1A">
        <w:t>4</w:t>
      </w:r>
      <w:r w:rsidRPr="00D66F1A">
        <w:t xml:space="preserve"> bör avslås i denna del (y</w:t>
      </w:r>
      <w:r w:rsidRPr="00D66F1A">
        <w:t>r</w:t>
      </w:r>
      <w:r w:rsidRPr="00D66F1A">
        <w:t>kande 11).</w:t>
      </w:r>
    </w:p>
    <w:p w:rsidR="00D56F85" w:rsidRPr="00D66F1A" w:rsidRDefault="00D56F85" w:rsidP="00D56F85">
      <w:pPr>
        <w:pStyle w:val="Normaltindrag"/>
      </w:pPr>
    </w:p>
    <w:p w:rsidR="00304D19" w:rsidRPr="00D66F1A" w:rsidRDefault="00304D19" w:rsidP="00D56F85">
      <w:pPr>
        <w:pStyle w:val="OrtochDatum"/>
      </w:pPr>
      <w:r w:rsidRPr="00D66F1A">
        <w:t xml:space="preserve">Stockholm den </w:t>
      </w:r>
      <w:r w:rsidR="006B05AB" w:rsidRPr="00D66F1A">
        <w:t>9 augusti 2005</w:t>
      </w:r>
    </w:p>
    <w:p w:rsidR="00304D19" w:rsidRPr="00D66F1A" w:rsidRDefault="00304D19" w:rsidP="00D56F85">
      <w:pPr>
        <w:pStyle w:val="Pxx-utskottetsvgnar"/>
      </w:pPr>
      <w:r w:rsidRPr="00D66F1A">
        <w:t>På justitieutskottets vägnar</w:t>
      </w:r>
    </w:p>
    <w:p w:rsidR="00304D19" w:rsidRPr="00D66F1A" w:rsidRDefault="00AF38C2" w:rsidP="00AF38C2">
      <w:pPr>
        <w:pStyle w:val="Ordfranden"/>
        <w:rPr>
          <w:noProof w:val="0"/>
        </w:rPr>
      </w:pPr>
      <w:bookmarkStart w:id="16" w:name="Ordförande"/>
      <w:bookmarkEnd w:id="16"/>
      <w:r w:rsidRPr="00D66F1A">
        <w:rPr>
          <w:noProof w:val="0"/>
        </w:rPr>
        <w:t xml:space="preserve">Johan Pehrson </w:t>
      </w:r>
    </w:p>
    <w:p w:rsidR="00304D19" w:rsidRPr="00D66F1A" w:rsidRDefault="00AF38C2" w:rsidP="00AF38C2">
      <w:pPr>
        <w:pStyle w:val="Deltagare"/>
        <w:rPr>
          <w:noProof w:val="0"/>
        </w:rPr>
      </w:pPr>
      <w:bookmarkStart w:id="17" w:name="Deltagare"/>
      <w:bookmarkEnd w:id="17"/>
      <w:r w:rsidRPr="00D66F1A">
        <w:rPr>
          <w:noProof w:val="0"/>
        </w:rPr>
        <w:t>Följande ledamöter har deltagit i beslutet: Johan Pehrson (fp), Britta Lejon (s), Rolf Olsson (v), Margareta Sandgren (s), Beatrice Ask (m), Peter Althin (kd), Elisebeht Markström (s), Jeppe Johnsson (m), Göran Norlander (s), Torkild Strandberg (fp), Johan Linander (c), Joe Frans (s), Cecilia Magnusson (m), Kerstin Andersson (s), Leif Björnlod (mp), Christer Erlandsson (s) och Ameer Sachet (s).</w:t>
      </w:r>
    </w:p>
    <w:p w:rsidR="00304D19" w:rsidRPr="00D66F1A" w:rsidRDefault="00304D19" w:rsidP="00304D19">
      <w:pPr>
        <w:pStyle w:val="Normaltindrag"/>
      </w:pPr>
    </w:p>
    <w:p w:rsidR="00304D19" w:rsidRPr="00D66F1A" w:rsidRDefault="00304D19" w:rsidP="00304D19">
      <w:pPr>
        <w:pStyle w:val="Normaltindrag"/>
        <w:sectPr w:rsidR="00304D19" w:rsidRPr="00D66F1A" w:rsidSect="0099411D">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docGrid w:linePitch="258"/>
        </w:sectPr>
      </w:pPr>
    </w:p>
    <w:p w:rsidR="00C61945" w:rsidRPr="00D66F1A" w:rsidRDefault="00304D19" w:rsidP="00C61945">
      <w:pPr>
        <w:pStyle w:val="Rubrik2"/>
      </w:pPr>
      <w:bookmarkStart w:id="18" w:name="_Toc109621088"/>
      <w:r w:rsidRPr="00D66F1A">
        <w:t>Avvikande mening</w:t>
      </w:r>
      <w:r w:rsidR="00CD03E6" w:rsidRPr="00D66F1A">
        <w:t>ar</w:t>
      </w:r>
      <w:bookmarkEnd w:id="18"/>
    </w:p>
    <w:p w:rsidR="00842B55" w:rsidRPr="00D66F1A" w:rsidRDefault="00842B55" w:rsidP="00457A95">
      <w:pPr>
        <w:pStyle w:val="Yttrandepunkt"/>
        <w:rPr>
          <w:noProof w:val="0"/>
        </w:rPr>
      </w:pPr>
      <w:bookmarkStart w:id="19" w:name="_Toc109621089"/>
      <w:r w:rsidRPr="00D66F1A">
        <w:rPr>
          <w:noProof w:val="0"/>
        </w:rPr>
        <w:t>1. Tidpunkt för ikraftträdande</w:t>
      </w:r>
      <w:bookmarkEnd w:id="19"/>
    </w:p>
    <w:p w:rsidR="00842B55" w:rsidRPr="00D66F1A" w:rsidRDefault="00842B55" w:rsidP="00C61945">
      <w:pPr>
        <w:pStyle w:val="Reservanter"/>
      </w:pPr>
      <w:r w:rsidRPr="00D66F1A">
        <w:t>av (fp, kd, c)</w:t>
      </w:r>
    </w:p>
    <w:p w:rsidR="00842B55" w:rsidRPr="00D66F1A" w:rsidRDefault="008A4A11" w:rsidP="00842B55">
      <w:r w:rsidRPr="00D66F1A">
        <w:t xml:space="preserve">Risken är stor att </w:t>
      </w:r>
      <w:r w:rsidR="00842B55" w:rsidRPr="00D66F1A">
        <w:t>den korta förberedelsetiden för genomförandet av den för</w:t>
      </w:r>
      <w:r w:rsidR="00842B55" w:rsidRPr="00D66F1A">
        <w:t>e</w:t>
      </w:r>
      <w:r w:rsidR="00842B55" w:rsidRPr="00D66F1A">
        <w:t>slagna instans- och processordningsreformen leder till att de nyinrättade do</w:t>
      </w:r>
      <w:r w:rsidR="00842B55" w:rsidRPr="00D66F1A">
        <w:t>m</w:t>
      </w:r>
      <w:r w:rsidR="00842B55" w:rsidRPr="00D66F1A">
        <w:t>stolarna inledningsvis får svårigh</w:t>
      </w:r>
      <w:r w:rsidR="00842B55" w:rsidRPr="00D66F1A">
        <w:t>e</w:t>
      </w:r>
      <w:r w:rsidR="00842B55" w:rsidRPr="00D66F1A">
        <w:t xml:space="preserve">ter att klara sina nya uppgifter på ett bra och rättssäkert sätt. </w:t>
      </w:r>
      <w:r w:rsidRPr="00D66F1A">
        <w:t xml:space="preserve">Myndigheter, </w:t>
      </w:r>
      <w:r w:rsidR="00EE3A18" w:rsidRPr="00D66F1A">
        <w:t xml:space="preserve">Sveriges </w:t>
      </w:r>
      <w:r w:rsidRPr="00D66F1A">
        <w:t>advokatsamfund och ideella org</w:t>
      </w:r>
      <w:r w:rsidRPr="00D66F1A">
        <w:t>a</w:t>
      </w:r>
      <w:r w:rsidRPr="00D66F1A">
        <w:t>nisationer har vädjat om att reformen bör senareläggas. Därmed finns goda skäl att denna viktiga reform senareläggs något för att inte riskera att dess geno</w:t>
      </w:r>
      <w:r w:rsidRPr="00D66F1A">
        <w:t>m</w:t>
      </w:r>
      <w:r w:rsidRPr="00D66F1A">
        <w:t>förande omgärdas av onödiga problem vad gäller kvalitet.</w:t>
      </w:r>
    </w:p>
    <w:p w:rsidR="00842B55" w:rsidRPr="00D66F1A" w:rsidRDefault="00842B55" w:rsidP="00842B55">
      <w:pPr>
        <w:pStyle w:val="Normaltindrag"/>
      </w:pPr>
      <w:r w:rsidRPr="00D66F1A">
        <w:t>Riksdagen bör besluta att reformen skall träda i kraft den 1 septe</w:t>
      </w:r>
      <w:r w:rsidRPr="00D66F1A">
        <w:t>m</w:t>
      </w:r>
      <w:r w:rsidR="00C61945" w:rsidRPr="00D66F1A">
        <w:t>ber 2006.</w:t>
      </w:r>
    </w:p>
    <w:p w:rsidR="00A025A9" w:rsidRPr="00D66F1A" w:rsidRDefault="00842B55" w:rsidP="00C61945">
      <w:pPr>
        <w:pStyle w:val="Yttrandepunkt"/>
        <w:rPr>
          <w:noProof w:val="0"/>
        </w:rPr>
      </w:pPr>
      <w:bookmarkStart w:id="20" w:name="_Toc109621090"/>
      <w:r w:rsidRPr="00D66F1A">
        <w:rPr>
          <w:noProof w:val="0"/>
        </w:rPr>
        <w:t xml:space="preserve">2. </w:t>
      </w:r>
      <w:r w:rsidR="00D5001F" w:rsidRPr="00D66F1A">
        <w:rPr>
          <w:noProof w:val="0"/>
        </w:rPr>
        <w:t>Finansiering av reformen</w:t>
      </w:r>
      <w:bookmarkEnd w:id="20"/>
    </w:p>
    <w:p w:rsidR="00A025A9" w:rsidRPr="00D66F1A" w:rsidRDefault="00A025A9" w:rsidP="00C61945">
      <w:pPr>
        <w:pStyle w:val="Reservanter"/>
        <w:rPr>
          <w:i/>
        </w:rPr>
      </w:pPr>
      <w:r w:rsidRPr="00D66F1A">
        <w:t xml:space="preserve">av </w:t>
      </w:r>
      <w:r w:rsidR="007A3513" w:rsidRPr="00D66F1A">
        <w:t>(m</w:t>
      </w:r>
      <w:r w:rsidR="008A4A11" w:rsidRPr="00D66F1A">
        <w:t>, fp, kd, c</w:t>
      </w:r>
      <w:r w:rsidR="007A3513" w:rsidRPr="00D66F1A">
        <w:t>)</w:t>
      </w:r>
    </w:p>
    <w:p w:rsidR="00A9142D" w:rsidRPr="00D66F1A" w:rsidRDefault="00777C45" w:rsidP="00777C45">
      <w:r w:rsidRPr="00D66F1A">
        <w:t>Vi välkomnar regeringens förslag att inrätta migrationsdomstolar för öve</w:t>
      </w:r>
      <w:r w:rsidRPr="00D66F1A">
        <w:t>r</w:t>
      </w:r>
      <w:r w:rsidRPr="00D66F1A">
        <w:t>prövning av Migrationsverkets beslut i utlännings- och medborgarskapsäre</w:t>
      </w:r>
      <w:r w:rsidRPr="00D66F1A">
        <w:t>n</w:t>
      </w:r>
      <w:r w:rsidRPr="00D66F1A">
        <w:t xml:space="preserve">den. Vi vill emellertid understryka vikten </w:t>
      </w:r>
      <w:r w:rsidR="00CD0010" w:rsidRPr="00D66F1A">
        <w:t xml:space="preserve">av </w:t>
      </w:r>
      <w:r w:rsidRPr="00D66F1A">
        <w:t>att domstolsväsendet har tillräc</w:t>
      </w:r>
      <w:r w:rsidRPr="00D66F1A">
        <w:t>k</w:t>
      </w:r>
      <w:r w:rsidRPr="00D66F1A">
        <w:t>liga res</w:t>
      </w:r>
      <w:r w:rsidR="00A9142D" w:rsidRPr="00D66F1A">
        <w:t>urser för att klara sina uppgifter enligt den nya ordningen. Det är enligt vår mening viktigt att finansieringen av reformen säkras på längre sikt, inte bara för att klara övergången till den nya processformen</w:t>
      </w:r>
      <w:r w:rsidR="008A4A11" w:rsidRPr="00D66F1A">
        <w:t xml:space="preserve"> utan också för att undvika negativa effekter för domstolarnas arbete i övrigt.</w:t>
      </w:r>
    </w:p>
    <w:p w:rsidR="007A3513" w:rsidRPr="00D66F1A" w:rsidRDefault="00D3282D" w:rsidP="007A3513">
      <w:pPr>
        <w:pStyle w:val="Normaltindrag"/>
      </w:pPr>
      <w:r w:rsidRPr="00D66F1A">
        <w:t>Det får ankomma på regeringen att</w:t>
      </w:r>
      <w:r w:rsidR="003B73F7" w:rsidRPr="00D66F1A">
        <w:t xml:space="preserve"> beakta det anförda</w:t>
      </w:r>
      <w:r w:rsidR="006C5253" w:rsidRPr="00D66F1A">
        <w:t xml:space="preserve"> i det fortsatta bu</w:t>
      </w:r>
      <w:r w:rsidR="006C5253" w:rsidRPr="00D66F1A">
        <w:t>d</w:t>
      </w:r>
      <w:r w:rsidR="006C5253" w:rsidRPr="00D66F1A">
        <w:t>getarbetet.</w:t>
      </w:r>
    </w:p>
    <w:p w:rsidR="00A9142D" w:rsidRPr="00D66F1A" w:rsidRDefault="00D5001F" w:rsidP="00C61945">
      <w:pPr>
        <w:pStyle w:val="Yttrandepunkt"/>
        <w:rPr>
          <w:noProof w:val="0"/>
        </w:rPr>
      </w:pPr>
      <w:bookmarkStart w:id="21" w:name="_Toc109621091"/>
      <w:r w:rsidRPr="00D66F1A">
        <w:rPr>
          <w:noProof w:val="0"/>
        </w:rPr>
        <w:t xml:space="preserve">3. </w:t>
      </w:r>
      <w:r w:rsidR="00A9142D" w:rsidRPr="00D66F1A">
        <w:rPr>
          <w:noProof w:val="0"/>
        </w:rPr>
        <w:t>Utbildning</w:t>
      </w:r>
      <w:r w:rsidR="00236D8C" w:rsidRPr="00D66F1A">
        <w:rPr>
          <w:noProof w:val="0"/>
        </w:rPr>
        <w:t xml:space="preserve"> för domare och nämndemän</w:t>
      </w:r>
      <w:bookmarkEnd w:id="21"/>
    </w:p>
    <w:p w:rsidR="00A9142D" w:rsidRPr="00D66F1A" w:rsidRDefault="00E63AF4" w:rsidP="00C61945">
      <w:pPr>
        <w:pStyle w:val="Reservanter"/>
      </w:pPr>
      <w:r w:rsidRPr="00D66F1A">
        <w:t>a</w:t>
      </w:r>
      <w:r w:rsidR="00A9142D" w:rsidRPr="00D66F1A">
        <w:t xml:space="preserve">v </w:t>
      </w:r>
      <w:r w:rsidR="00C61945" w:rsidRPr="00D66F1A">
        <w:t>(fp, kd, c)</w:t>
      </w:r>
    </w:p>
    <w:p w:rsidR="00CB34A8" w:rsidRPr="00D66F1A" w:rsidRDefault="00AE5287" w:rsidP="00CB34A8">
      <w:r w:rsidRPr="00D66F1A">
        <w:t>Vi anser att det är angeläget att såväl domare som nämndemän ges förutsät</w:t>
      </w:r>
      <w:r w:rsidRPr="00D66F1A">
        <w:t>t</w:t>
      </w:r>
      <w:r w:rsidRPr="00D66F1A">
        <w:t>ningar att skaffa sig kunskap om den nya utlänningslag</w:t>
      </w:r>
      <w:r w:rsidR="00961CAE" w:rsidRPr="00D66F1A">
        <w:t>stiftningen</w:t>
      </w:r>
      <w:r w:rsidRPr="00D66F1A">
        <w:t xml:space="preserve">. </w:t>
      </w:r>
      <w:r w:rsidR="00CB34A8" w:rsidRPr="00D66F1A">
        <w:t>De</w:t>
      </w:r>
      <w:r w:rsidR="003F180F" w:rsidRPr="00D66F1A">
        <w:t>t</w:t>
      </w:r>
      <w:r w:rsidR="00CB34A8" w:rsidRPr="00D66F1A">
        <w:t xml:space="preserve"> krävs enligt vår mening riktade utbildningsinsatser för att förbereda domst</w:t>
      </w:r>
      <w:r w:rsidR="00CB34A8" w:rsidRPr="00D66F1A">
        <w:t>o</w:t>
      </w:r>
      <w:r w:rsidR="00CB34A8" w:rsidRPr="00D66F1A">
        <w:t>larna på övertagandet av överprövningen av utlänningsmålen. Domare och nämnd</w:t>
      </w:r>
      <w:r w:rsidR="00CB34A8" w:rsidRPr="00D66F1A">
        <w:t>e</w:t>
      </w:r>
      <w:r w:rsidR="00CB34A8" w:rsidRPr="00D66F1A">
        <w:t>män bör också ges möjlighet till fortbildning i takt med att den nya ordningen etableras och rättspraxis bildas.</w:t>
      </w:r>
    </w:p>
    <w:p w:rsidR="006C5253" w:rsidRPr="00D66F1A" w:rsidRDefault="006C5253" w:rsidP="006C5253">
      <w:pPr>
        <w:pStyle w:val="Normaltindrag"/>
      </w:pPr>
      <w:r w:rsidRPr="00D66F1A">
        <w:t>Det får ankomma på regeringen a</w:t>
      </w:r>
      <w:r w:rsidR="002B62DA" w:rsidRPr="00D66F1A">
        <w:t>tt vidta erforderliga åtgärder.</w:t>
      </w:r>
    </w:p>
    <w:p w:rsidR="00D5001F" w:rsidRPr="00D66F1A" w:rsidRDefault="00D5001F" w:rsidP="00C61945">
      <w:pPr>
        <w:pStyle w:val="Yttrandepunkt"/>
        <w:rPr>
          <w:noProof w:val="0"/>
        </w:rPr>
      </w:pPr>
      <w:bookmarkStart w:id="22" w:name="_Toc109621092"/>
      <w:r w:rsidRPr="00D66F1A">
        <w:rPr>
          <w:noProof w:val="0"/>
        </w:rPr>
        <w:t>4. Offentligt biträde</w:t>
      </w:r>
      <w:bookmarkEnd w:id="22"/>
    </w:p>
    <w:p w:rsidR="00D5001F" w:rsidRPr="00D66F1A" w:rsidRDefault="00C61945" w:rsidP="00C61945">
      <w:pPr>
        <w:pStyle w:val="Reservanter"/>
      </w:pPr>
      <w:r w:rsidRPr="00D66F1A">
        <w:t>av (fp, kd, c)</w:t>
      </w:r>
    </w:p>
    <w:p w:rsidR="00D5001F" w:rsidRPr="00D66F1A" w:rsidRDefault="00D5001F" w:rsidP="00D5001F">
      <w:r w:rsidRPr="00D66F1A">
        <w:t>Enligt vår mening är det olämpligt att Migrationsverket besl</w:t>
      </w:r>
      <w:r w:rsidRPr="00D66F1A">
        <w:t>u</w:t>
      </w:r>
      <w:r w:rsidRPr="00D66F1A">
        <w:t>tar i frågor om offentligt biträde enligt utlänningslagen. Den nya instans- och processor</w:t>
      </w:r>
      <w:r w:rsidRPr="00D66F1A">
        <w:t>d</w:t>
      </w:r>
      <w:r w:rsidRPr="00D66F1A">
        <w:t>ningen innebär att Migrationsverket och utlänningen kommer att bli va</w:t>
      </w:r>
      <w:r w:rsidRPr="00D66F1A">
        <w:t>r</w:t>
      </w:r>
      <w:r w:rsidRPr="00D66F1A">
        <w:t>andras motparter i ärenden som överklagas till migrationsdomstolarna. Med hänsyn till att verket även är det offentliga biträdets uppdragsgivare finns det risk att biträdet hamnar i en lojalitetskonflikt. Beslutanderätten i frågor om föror</w:t>
      </w:r>
      <w:r w:rsidRPr="00D66F1A">
        <w:t>d</w:t>
      </w:r>
      <w:r w:rsidRPr="00D66F1A">
        <w:t>nande av offentligt biträde bör enligt vår mening föras över till migration</w:t>
      </w:r>
      <w:r w:rsidRPr="00D66F1A">
        <w:t>s</w:t>
      </w:r>
      <w:r w:rsidRPr="00D66F1A">
        <w:t>domstolarna. Vi anser det inte nödvändigt att avvakta den av regeringen av</w:t>
      </w:r>
      <w:r w:rsidRPr="00D66F1A">
        <w:t>i</w:t>
      </w:r>
      <w:r w:rsidRPr="00D66F1A">
        <w:t>serade utvärderingen.</w:t>
      </w:r>
    </w:p>
    <w:p w:rsidR="006C5253" w:rsidRPr="00D66F1A" w:rsidRDefault="001F0A3A" w:rsidP="00236D8C">
      <w:pPr>
        <w:pStyle w:val="Normaltindrag"/>
      </w:pPr>
      <w:r w:rsidRPr="00D66F1A">
        <w:t>Regeringen</w:t>
      </w:r>
      <w:r w:rsidR="00D5001F" w:rsidRPr="00D66F1A">
        <w:t xml:space="preserve"> </w:t>
      </w:r>
      <w:r w:rsidRPr="00D66F1A">
        <w:t>bör</w:t>
      </w:r>
      <w:r w:rsidR="00D5001F" w:rsidRPr="00D66F1A">
        <w:t xml:space="preserve"> återkomma </w:t>
      </w:r>
      <w:r w:rsidRPr="00D66F1A">
        <w:t xml:space="preserve">till riksdagen </w:t>
      </w:r>
      <w:r w:rsidR="00D5001F" w:rsidRPr="00D66F1A">
        <w:t>med ett lagförslag</w:t>
      </w:r>
      <w:r w:rsidRPr="00D66F1A">
        <w:t xml:space="preserve"> med detta i</w:t>
      </w:r>
      <w:r w:rsidRPr="00D66F1A">
        <w:t>n</w:t>
      </w:r>
      <w:r w:rsidRPr="00D66F1A">
        <w:t>nehåll</w:t>
      </w:r>
      <w:r w:rsidR="002B62DA" w:rsidRPr="00D66F1A">
        <w:t>.</w:t>
      </w:r>
    </w:p>
    <w:p w:rsidR="0009116A" w:rsidRPr="00D66F1A" w:rsidRDefault="008A4A11" w:rsidP="00C61945">
      <w:pPr>
        <w:pStyle w:val="Yttrandepunkt"/>
        <w:rPr>
          <w:noProof w:val="0"/>
        </w:rPr>
      </w:pPr>
      <w:bookmarkStart w:id="23" w:name="_Toc109621094"/>
      <w:r w:rsidRPr="00D66F1A">
        <w:rPr>
          <w:noProof w:val="0"/>
        </w:rPr>
        <w:t>5</w:t>
      </w:r>
      <w:r w:rsidR="00D5001F" w:rsidRPr="00D66F1A">
        <w:rPr>
          <w:noProof w:val="0"/>
        </w:rPr>
        <w:t xml:space="preserve">. </w:t>
      </w:r>
      <w:r w:rsidR="0009116A" w:rsidRPr="00D66F1A">
        <w:rPr>
          <w:noProof w:val="0"/>
        </w:rPr>
        <w:t>Medborgarvittnen</w:t>
      </w:r>
      <w:bookmarkEnd w:id="23"/>
    </w:p>
    <w:p w:rsidR="0009116A" w:rsidRPr="00D66F1A" w:rsidRDefault="00C61945" w:rsidP="00C61945">
      <w:pPr>
        <w:pStyle w:val="Reservanter"/>
      </w:pPr>
      <w:r w:rsidRPr="00D66F1A">
        <w:t>av (fp, kd, c)</w:t>
      </w:r>
    </w:p>
    <w:p w:rsidR="00453D09" w:rsidRPr="00D66F1A" w:rsidRDefault="00425925" w:rsidP="00453D09">
      <w:r w:rsidRPr="00D66F1A">
        <w:t>Vi anser att den kompetens och det engagemang som finns hos frivilligorg</w:t>
      </w:r>
      <w:r w:rsidRPr="00D66F1A">
        <w:t>a</w:t>
      </w:r>
      <w:r w:rsidRPr="00D66F1A">
        <w:t xml:space="preserve">nisationer som engagerar sig i flyktingfrågor bör </w:t>
      </w:r>
      <w:r w:rsidR="00453D09" w:rsidRPr="00D66F1A">
        <w:t>tas till vara i asylpr</w:t>
      </w:r>
      <w:r w:rsidR="00453D09" w:rsidRPr="00D66F1A">
        <w:t>o</w:t>
      </w:r>
      <w:r w:rsidR="00961CAE" w:rsidRPr="00D66F1A">
        <w:t>cessen. Vid handläggning</w:t>
      </w:r>
      <w:r w:rsidR="00453D09" w:rsidRPr="00D66F1A">
        <w:t xml:space="preserve"> av uppenbart ogrundade ansökningar, där utlä</w:t>
      </w:r>
      <w:r w:rsidR="00453D09" w:rsidRPr="00D66F1A">
        <w:t>n</w:t>
      </w:r>
      <w:r w:rsidR="00453D09" w:rsidRPr="00D66F1A">
        <w:t xml:space="preserve">ningen i normalfallet inte har rätt till offentligt biträde, bör </w:t>
      </w:r>
      <w:r w:rsidR="00CD0010" w:rsidRPr="00D66F1A">
        <w:t xml:space="preserve">det </w:t>
      </w:r>
      <w:r w:rsidR="00453D09" w:rsidRPr="00D66F1A">
        <w:t>enligt vår mening inf</w:t>
      </w:r>
      <w:r w:rsidR="00453D09" w:rsidRPr="00D66F1A">
        <w:t>ö</w:t>
      </w:r>
      <w:r w:rsidR="00453D09" w:rsidRPr="00D66F1A">
        <w:t>ras en rätt för s.k. medborgarvittnen att närvara om utlänningen så önskar. Härigenom vä</w:t>
      </w:r>
      <w:r w:rsidR="00453D09" w:rsidRPr="00D66F1A">
        <w:t>r</w:t>
      </w:r>
      <w:r w:rsidR="00453D09" w:rsidRPr="00D66F1A">
        <w:t>nas asylrätten</w:t>
      </w:r>
      <w:r w:rsidR="003F180F" w:rsidRPr="00D66F1A">
        <w:t>,</w:t>
      </w:r>
      <w:r w:rsidR="00453D09" w:rsidRPr="00D66F1A">
        <w:t xml:space="preserve"> och </w:t>
      </w:r>
      <w:r w:rsidR="003F180F" w:rsidRPr="00D66F1A">
        <w:t xml:space="preserve">ökar </w:t>
      </w:r>
      <w:r w:rsidR="00453D09" w:rsidRPr="00D66F1A">
        <w:t xml:space="preserve">öppenheten </w:t>
      </w:r>
      <w:r w:rsidR="003F180F" w:rsidRPr="00D66F1A">
        <w:t>i asylprocessen.</w:t>
      </w:r>
    </w:p>
    <w:p w:rsidR="00FD7B21" w:rsidRPr="00D66F1A" w:rsidRDefault="001F0A3A" w:rsidP="00453D09">
      <w:pPr>
        <w:pStyle w:val="Normaltindrag"/>
      </w:pPr>
      <w:r w:rsidRPr="00D66F1A">
        <w:t>R</w:t>
      </w:r>
      <w:r w:rsidR="00FD7B21" w:rsidRPr="00D66F1A">
        <w:t xml:space="preserve">egeringen </w:t>
      </w:r>
      <w:r w:rsidRPr="00D66F1A">
        <w:t>bör</w:t>
      </w:r>
      <w:r w:rsidR="00FD7B21" w:rsidRPr="00D66F1A">
        <w:t xml:space="preserve"> återkomma </w:t>
      </w:r>
      <w:r w:rsidRPr="00D66F1A">
        <w:t xml:space="preserve">till riksdagen </w:t>
      </w:r>
      <w:r w:rsidR="00FD7B21" w:rsidRPr="00D66F1A">
        <w:t>med ett lagförslag.</w:t>
      </w:r>
    </w:p>
    <w:p w:rsidR="008A4A11" w:rsidRPr="00D66F1A" w:rsidRDefault="008A4A11" w:rsidP="00453D09">
      <w:pPr>
        <w:pStyle w:val="Normaltindrag"/>
      </w:pPr>
    </w:p>
    <w:p w:rsidR="008A4A11" w:rsidRPr="00D66F1A" w:rsidRDefault="00AF38C2" w:rsidP="008A4A11">
      <w:pPr>
        <w:pStyle w:val="Yttrandepunkt"/>
        <w:rPr>
          <w:noProof w:val="0"/>
        </w:rPr>
      </w:pPr>
      <w:bookmarkStart w:id="24" w:name="_Toc109621093"/>
      <w:r w:rsidRPr="00D66F1A">
        <w:rPr>
          <w:noProof w:val="0"/>
        </w:rPr>
        <w:t>6</w:t>
      </w:r>
      <w:r w:rsidR="008A4A11" w:rsidRPr="00D66F1A">
        <w:rPr>
          <w:noProof w:val="0"/>
        </w:rPr>
        <w:t>. Rätt till muntlig förhandling</w:t>
      </w:r>
      <w:bookmarkEnd w:id="24"/>
    </w:p>
    <w:p w:rsidR="008A4A11" w:rsidRPr="00D66F1A" w:rsidRDefault="008A4A11" w:rsidP="008A4A11">
      <w:pPr>
        <w:pStyle w:val="Reservanter"/>
        <w:rPr>
          <w:i/>
        </w:rPr>
      </w:pPr>
      <w:r w:rsidRPr="00D66F1A">
        <w:t>av (fp, kd, c)</w:t>
      </w:r>
    </w:p>
    <w:p w:rsidR="008A4A11" w:rsidRPr="00D66F1A" w:rsidRDefault="008A4A11" w:rsidP="008A4A11">
      <w:r w:rsidRPr="00D66F1A">
        <w:t>Vi anser att det är av yttersta vikt att klargöra att även barn har rätt till mun</w:t>
      </w:r>
      <w:r w:rsidRPr="00D66F1A">
        <w:t>t</w:t>
      </w:r>
      <w:r w:rsidRPr="00D66F1A">
        <w:t>lig förhandling enligt den nya ordningen. Detta framgår enligt vår mening inte tillräckligt tydligt av lagtexten, som därför bör förtydligas i detta avsee</w:t>
      </w:r>
      <w:r w:rsidRPr="00D66F1A">
        <w:t>n</w:t>
      </w:r>
      <w:r w:rsidRPr="00D66F1A">
        <w:t xml:space="preserve">de. </w:t>
      </w:r>
    </w:p>
    <w:p w:rsidR="008A4A11" w:rsidRPr="00D66F1A" w:rsidRDefault="008A4A11" w:rsidP="008A4A11">
      <w:pPr>
        <w:pStyle w:val="Normaltindrag"/>
        <w:rPr>
          <w:i/>
        </w:rPr>
      </w:pPr>
      <w:r w:rsidRPr="00D66F1A">
        <w:t>Regeringen bör återkomma till riksdagen med ett lagförslag. I avva</w:t>
      </w:r>
      <w:r w:rsidRPr="00D66F1A">
        <w:t>k</w:t>
      </w:r>
      <w:r w:rsidRPr="00D66F1A">
        <w:t>tan på detta accepterar vi det framlagda försl</w:t>
      </w:r>
      <w:r w:rsidRPr="00D66F1A">
        <w:t>a</w:t>
      </w:r>
      <w:r w:rsidRPr="00D66F1A">
        <w:t>get.</w:t>
      </w:r>
    </w:p>
    <w:p w:rsidR="008A4A11" w:rsidRPr="00D66F1A" w:rsidRDefault="008A4A11" w:rsidP="00453D09">
      <w:pPr>
        <w:pStyle w:val="Normaltindrag"/>
      </w:pPr>
    </w:p>
    <w:p w:rsidR="00D5001F" w:rsidRPr="00D66F1A" w:rsidRDefault="00D5001F" w:rsidP="00C61945">
      <w:pPr>
        <w:pStyle w:val="Yttrandepunkt"/>
        <w:rPr>
          <w:noProof w:val="0"/>
        </w:rPr>
      </w:pPr>
      <w:bookmarkStart w:id="25" w:name="_Toc109621095"/>
      <w:r w:rsidRPr="00D66F1A">
        <w:rPr>
          <w:noProof w:val="0"/>
        </w:rPr>
        <w:t>7. Rekrytering av nämndemän</w:t>
      </w:r>
      <w:bookmarkEnd w:id="25"/>
    </w:p>
    <w:p w:rsidR="00D5001F" w:rsidRPr="00D66F1A" w:rsidRDefault="00D5001F" w:rsidP="00C61945">
      <w:pPr>
        <w:pStyle w:val="Reservanter"/>
      </w:pPr>
      <w:r w:rsidRPr="00D66F1A">
        <w:t>av (m</w:t>
      </w:r>
      <w:r w:rsidR="008A4A11" w:rsidRPr="00D66F1A">
        <w:t>, c</w:t>
      </w:r>
      <w:r w:rsidRPr="00D66F1A">
        <w:t>)</w:t>
      </w:r>
    </w:p>
    <w:p w:rsidR="00D5001F" w:rsidRPr="00D66F1A" w:rsidRDefault="00D5001F" w:rsidP="00D5001F">
      <w:r w:rsidRPr="00D66F1A">
        <w:t xml:space="preserve">Det är </w:t>
      </w:r>
      <w:r w:rsidR="008A4A11" w:rsidRPr="00D66F1A">
        <w:t>a</w:t>
      </w:r>
      <w:r w:rsidRPr="00D66F1A">
        <w:t>ngeläget att nämndemannakåren har en allsidig sammansät</w:t>
      </w:r>
      <w:r w:rsidRPr="00D66F1A">
        <w:t>t</w:t>
      </w:r>
      <w:r w:rsidRPr="00D66F1A">
        <w:t>ning som speglar befolkningen i landet. Åtgärder för att bredda rekrytering</w:t>
      </w:r>
      <w:r w:rsidR="00961CAE" w:rsidRPr="00D66F1A">
        <w:t>en av näm</w:t>
      </w:r>
      <w:r w:rsidR="00961CAE" w:rsidRPr="00D66F1A">
        <w:t>n</w:t>
      </w:r>
      <w:r w:rsidR="00961CAE" w:rsidRPr="00D66F1A">
        <w:t>demän har lagts fram i</w:t>
      </w:r>
      <w:r w:rsidRPr="00D66F1A">
        <w:t xml:space="preserve"> Nämndemannakommitténs betänkande Framt</w:t>
      </w:r>
      <w:r w:rsidRPr="00D66F1A">
        <w:t>i</w:t>
      </w:r>
      <w:r w:rsidRPr="00D66F1A">
        <w:t>dens nämnd</w:t>
      </w:r>
      <w:r w:rsidRPr="00D66F1A">
        <w:t>e</w:t>
      </w:r>
      <w:r w:rsidRPr="00D66F1A">
        <w:t>män (SOU 2002:61).</w:t>
      </w:r>
    </w:p>
    <w:p w:rsidR="00EE3A18" w:rsidRPr="00D66F1A" w:rsidRDefault="001F0A3A" w:rsidP="00EE3A18">
      <w:pPr>
        <w:pStyle w:val="Normaltindrag"/>
      </w:pPr>
      <w:r w:rsidRPr="00D66F1A">
        <w:t>R</w:t>
      </w:r>
      <w:r w:rsidR="00D5001F" w:rsidRPr="00D66F1A">
        <w:t xml:space="preserve">egeringen </w:t>
      </w:r>
      <w:r w:rsidRPr="00D66F1A">
        <w:t>bör</w:t>
      </w:r>
      <w:r w:rsidR="00D5001F" w:rsidRPr="00D66F1A">
        <w:t xml:space="preserve"> skynda på beredningen av ärendet och snarast återkomma til</w:t>
      </w:r>
      <w:r w:rsidR="00C61945" w:rsidRPr="00D66F1A">
        <w:t>l riksdagen med ett lagförslag.</w:t>
      </w:r>
      <w:bookmarkStart w:id="26" w:name="_Toc109621096"/>
      <w:r w:rsidR="00EE3A18" w:rsidRPr="00D66F1A">
        <w:t xml:space="preserve"> </w:t>
      </w:r>
    </w:p>
    <w:p w:rsidR="0009116A" w:rsidRPr="00D66F1A" w:rsidRDefault="00EE3A18" w:rsidP="00C61945">
      <w:pPr>
        <w:pStyle w:val="Yttrandepunkt"/>
        <w:rPr>
          <w:noProof w:val="0"/>
        </w:rPr>
      </w:pPr>
      <w:r w:rsidRPr="00D66F1A">
        <w:rPr>
          <w:noProof w:val="0"/>
        </w:rPr>
        <w:br w:type="column"/>
      </w:r>
      <w:r w:rsidR="00D5001F" w:rsidRPr="00D66F1A">
        <w:rPr>
          <w:noProof w:val="0"/>
        </w:rPr>
        <w:t xml:space="preserve">8. </w:t>
      </w:r>
      <w:r w:rsidR="00CD0010" w:rsidRPr="00D66F1A">
        <w:rPr>
          <w:noProof w:val="0"/>
        </w:rPr>
        <w:t>Förstärkt parlamentarisk kontroll i sä</w:t>
      </w:r>
      <w:r w:rsidR="0009116A" w:rsidRPr="00D66F1A">
        <w:rPr>
          <w:noProof w:val="0"/>
        </w:rPr>
        <w:t>kerhetsärenden</w:t>
      </w:r>
      <w:bookmarkEnd w:id="26"/>
    </w:p>
    <w:p w:rsidR="0009116A" w:rsidRPr="00D66F1A" w:rsidRDefault="00C61945" w:rsidP="002B62DA">
      <w:pPr>
        <w:pStyle w:val="Reservanter"/>
        <w:rPr>
          <w:i/>
        </w:rPr>
      </w:pPr>
      <w:r w:rsidRPr="00D66F1A">
        <w:t>av (fp, kd, c)</w:t>
      </w:r>
    </w:p>
    <w:p w:rsidR="00FD4FC2" w:rsidRPr="00D66F1A" w:rsidRDefault="00871DBD" w:rsidP="00871DBD">
      <w:r w:rsidRPr="00D66F1A">
        <w:t xml:space="preserve">Vi anser att det bör inrättas en </w:t>
      </w:r>
      <w:r w:rsidR="00961CAE" w:rsidRPr="00D66F1A">
        <w:t xml:space="preserve">permanent </w:t>
      </w:r>
      <w:r w:rsidRPr="00D66F1A">
        <w:t>riksdagskommitté som får kontin</w:t>
      </w:r>
      <w:r w:rsidRPr="00D66F1A">
        <w:t>u</w:t>
      </w:r>
      <w:r w:rsidRPr="00D66F1A">
        <w:t>erlig information från regeringen om aktuella säkerhet</w:t>
      </w:r>
      <w:r w:rsidRPr="00D66F1A">
        <w:t>s</w:t>
      </w:r>
      <w:r w:rsidRPr="00D66F1A">
        <w:t>ärenden. Inte minst det uppmärksammade fallet med de två egyptiska me</w:t>
      </w:r>
      <w:r w:rsidRPr="00D66F1A">
        <w:t>d</w:t>
      </w:r>
      <w:r w:rsidRPr="00D66F1A">
        <w:t>borgar</w:t>
      </w:r>
      <w:r w:rsidR="00D5001F" w:rsidRPr="00D66F1A">
        <w:t>e</w:t>
      </w:r>
      <w:r w:rsidRPr="00D66F1A">
        <w:t xml:space="preserve"> som avvisades till Egypten i december 2001 visar enligt vår mening att den parlamentariska kontrollen måste stärkas. Regeringens årliga redovi</w:t>
      </w:r>
      <w:r w:rsidRPr="00D66F1A">
        <w:t>s</w:t>
      </w:r>
      <w:r w:rsidRPr="00D66F1A">
        <w:t xml:space="preserve">ning till riksdagen </w:t>
      </w:r>
      <w:r w:rsidR="00961CAE" w:rsidRPr="00D66F1A">
        <w:t xml:space="preserve">om </w:t>
      </w:r>
      <w:r w:rsidRPr="00D66F1A">
        <w:t>tillämpningen av lagen om särskild utlänning</w:t>
      </w:r>
      <w:r w:rsidRPr="00D66F1A">
        <w:t>s</w:t>
      </w:r>
      <w:r w:rsidRPr="00D66F1A">
        <w:t xml:space="preserve">kontroll är enligt vår mening inte tillräcklig i detta avseende. </w:t>
      </w:r>
      <w:r w:rsidR="00156D70" w:rsidRPr="00D66F1A">
        <w:t>Inte heller den informella ordningen med inform</w:t>
      </w:r>
      <w:r w:rsidR="00156D70" w:rsidRPr="00D66F1A">
        <w:t>a</w:t>
      </w:r>
      <w:r w:rsidR="00156D70" w:rsidRPr="00D66F1A">
        <w:t>tion om aktuella säkerhetsärenden från regeringen till särskilt utsedda företr</w:t>
      </w:r>
      <w:r w:rsidR="00156D70" w:rsidRPr="00D66F1A">
        <w:t>ä</w:t>
      </w:r>
      <w:r w:rsidR="00156D70" w:rsidRPr="00D66F1A">
        <w:t>dare för de politiska part</w:t>
      </w:r>
      <w:r w:rsidR="00961CAE" w:rsidRPr="00D66F1A">
        <w:t>i</w:t>
      </w:r>
      <w:r w:rsidR="00156D70" w:rsidRPr="00D66F1A">
        <w:t xml:space="preserve">erna är </w:t>
      </w:r>
      <w:r w:rsidR="006E3016" w:rsidRPr="00D66F1A">
        <w:t xml:space="preserve">enligt vår mening </w:t>
      </w:r>
      <w:r w:rsidR="00156D70" w:rsidRPr="00D66F1A">
        <w:t xml:space="preserve">tillräcklig. </w:t>
      </w:r>
    </w:p>
    <w:p w:rsidR="00871DBD" w:rsidRPr="00D66F1A" w:rsidRDefault="00CD0010" w:rsidP="00871DBD">
      <w:pPr>
        <w:pStyle w:val="Normaltindrag"/>
      </w:pPr>
      <w:r w:rsidRPr="00D66F1A">
        <w:t>R</w:t>
      </w:r>
      <w:r w:rsidR="00E63AF4" w:rsidRPr="00D66F1A">
        <w:t xml:space="preserve">iksdagen bör besluta att inrätta en fast riksdagskommitté som skall få kontinuerlig information från regeringen i aktuella säkerhetsärenden. </w:t>
      </w:r>
    </w:p>
    <w:p w:rsidR="0099411D" w:rsidRPr="00D66F1A" w:rsidRDefault="0099411D" w:rsidP="00871DBD">
      <w:pPr>
        <w:pStyle w:val="Normaltindrag"/>
      </w:pPr>
    </w:p>
    <w:p w:rsidR="0099411D" w:rsidRPr="00D66F1A" w:rsidRDefault="0099411D" w:rsidP="00871DBD">
      <w:pPr>
        <w:pStyle w:val="Normaltindrag"/>
        <w:sectPr w:rsidR="0099411D" w:rsidRPr="00D66F1A" w:rsidSect="0099411D">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docGrid w:linePitch="258"/>
        </w:sectPr>
      </w:pPr>
    </w:p>
    <w:p w:rsidR="00304D19" w:rsidRPr="00D66F1A" w:rsidRDefault="00304D19" w:rsidP="00304D19">
      <w:pPr>
        <w:pStyle w:val="Rubrik1"/>
        <w:rPr>
          <w:noProof w:val="0"/>
        </w:rPr>
      </w:pPr>
      <w:bookmarkStart w:id="27" w:name="_Toc109621097"/>
      <w:r w:rsidRPr="00D66F1A">
        <w:rPr>
          <w:noProof w:val="0"/>
        </w:rPr>
        <w:t>Innehållsförteckning</w:t>
      </w:r>
      <w:bookmarkEnd w:id="27"/>
    </w:p>
    <w:p w:rsidR="00A025A9" w:rsidRPr="00D66F1A" w:rsidRDefault="00A025A9" w:rsidP="00A025A9"/>
    <w:p w:rsidR="005A7366" w:rsidRPr="00D66F1A" w:rsidRDefault="005A7366">
      <w:pPr>
        <w:pStyle w:val="Innehll2"/>
        <w:rPr>
          <w:sz w:val="24"/>
          <w:szCs w:val="24"/>
        </w:rPr>
      </w:pPr>
      <w:r w:rsidRPr="00D66F1A">
        <w:t>Inledning</w:t>
      </w:r>
      <w:r w:rsidRPr="00D66F1A">
        <w:tab/>
      </w:r>
      <w:r w:rsidR="00161FA0" w:rsidRPr="00D66F1A">
        <w:t>1</w:t>
      </w:r>
    </w:p>
    <w:p w:rsidR="005A7366" w:rsidRPr="00D66F1A" w:rsidRDefault="005A7366">
      <w:pPr>
        <w:pStyle w:val="Innehll2"/>
        <w:rPr>
          <w:sz w:val="24"/>
          <w:szCs w:val="24"/>
        </w:rPr>
      </w:pPr>
      <w:r w:rsidRPr="00D66F1A">
        <w:t>Propositionens huvudsakliga innehåll</w:t>
      </w:r>
      <w:r w:rsidRPr="00D66F1A">
        <w:tab/>
      </w:r>
      <w:r w:rsidR="00161FA0" w:rsidRPr="00D66F1A">
        <w:t>1</w:t>
      </w:r>
    </w:p>
    <w:p w:rsidR="005A7366" w:rsidRPr="00D66F1A" w:rsidRDefault="005A7366">
      <w:pPr>
        <w:pStyle w:val="Innehll2"/>
        <w:rPr>
          <w:sz w:val="24"/>
          <w:szCs w:val="24"/>
        </w:rPr>
      </w:pPr>
      <w:r w:rsidRPr="00D66F1A">
        <w:t>Justiteutskottets överväganden</w:t>
      </w:r>
      <w:r w:rsidRPr="00D66F1A">
        <w:tab/>
      </w:r>
      <w:r w:rsidR="00161FA0" w:rsidRPr="00D66F1A">
        <w:t>2</w:t>
      </w:r>
    </w:p>
    <w:p w:rsidR="005A7366" w:rsidRPr="00D66F1A" w:rsidRDefault="005A7366">
      <w:pPr>
        <w:pStyle w:val="Innehll3"/>
        <w:rPr>
          <w:sz w:val="24"/>
          <w:szCs w:val="24"/>
        </w:rPr>
      </w:pPr>
      <w:r w:rsidRPr="00D66F1A">
        <w:t>Yttrandets omfattning</w:t>
      </w:r>
      <w:r w:rsidRPr="00D66F1A">
        <w:tab/>
      </w:r>
      <w:r w:rsidR="00161FA0" w:rsidRPr="00D66F1A">
        <w:t>2</w:t>
      </w:r>
    </w:p>
    <w:p w:rsidR="005A7366" w:rsidRPr="00D66F1A" w:rsidRDefault="005A7366">
      <w:pPr>
        <w:pStyle w:val="Innehll3"/>
        <w:rPr>
          <w:sz w:val="24"/>
          <w:szCs w:val="24"/>
        </w:rPr>
      </w:pPr>
      <w:r w:rsidRPr="00D66F1A">
        <w:t>Migrationsdomstolar</w:t>
      </w:r>
      <w:r w:rsidRPr="00D66F1A">
        <w:tab/>
      </w:r>
      <w:r w:rsidR="00161FA0" w:rsidRPr="00D66F1A">
        <w:t>2</w:t>
      </w:r>
    </w:p>
    <w:p w:rsidR="005A7366" w:rsidRPr="00D66F1A" w:rsidRDefault="005A7366">
      <w:pPr>
        <w:pStyle w:val="Innehll4"/>
        <w:rPr>
          <w:sz w:val="24"/>
          <w:szCs w:val="24"/>
        </w:rPr>
      </w:pPr>
      <w:r w:rsidRPr="00D66F1A">
        <w:t>Gällande rätt</w:t>
      </w:r>
      <w:r w:rsidRPr="00D66F1A">
        <w:tab/>
      </w:r>
      <w:r w:rsidR="00161FA0" w:rsidRPr="00D66F1A">
        <w:t>2</w:t>
      </w:r>
    </w:p>
    <w:p w:rsidR="005A7366" w:rsidRPr="00D66F1A" w:rsidRDefault="005A7366">
      <w:pPr>
        <w:pStyle w:val="Innehll4"/>
        <w:rPr>
          <w:sz w:val="24"/>
          <w:szCs w:val="24"/>
        </w:rPr>
      </w:pPr>
      <w:r w:rsidRPr="00D66F1A">
        <w:t>Propositionen</w:t>
      </w:r>
      <w:r w:rsidRPr="00D66F1A">
        <w:tab/>
      </w:r>
      <w:r w:rsidR="00161FA0" w:rsidRPr="00D66F1A">
        <w:t>3</w:t>
      </w:r>
    </w:p>
    <w:p w:rsidR="005A7366" w:rsidRPr="00D66F1A" w:rsidRDefault="005A7366">
      <w:pPr>
        <w:pStyle w:val="Innehll4"/>
        <w:rPr>
          <w:sz w:val="24"/>
          <w:szCs w:val="24"/>
        </w:rPr>
      </w:pPr>
      <w:r w:rsidRPr="00D66F1A">
        <w:t>Lagrådet</w:t>
      </w:r>
      <w:r w:rsidRPr="00D66F1A">
        <w:tab/>
      </w:r>
      <w:r w:rsidR="00161FA0" w:rsidRPr="00D66F1A">
        <w:t>5</w:t>
      </w:r>
    </w:p>
    <w:p w:rsidR="005A7366" w:rsidRPr="00D66F1A" w:rsidRDefault="005A7366">
      <w:pPr>
        <w:pStyle w:val="Innehll4"/>
        <w:rPr>
          <w:sz w:val="24"/>
          <w:szCs w:val="24"/>
        </w:rPr>
      </w:pPr>
      <w:r w:rsidRPr="00D66F1A">
        <w:t>Utskottets överväganden</w:t>
      </w:r>
      <w:r w:rsidRPr="00D66F1A">
        <w:tab/>
      </w:r>
      <w:r w:rsidR="00161FA0" w:rsidRPr="00D66F1A">
        <w:t>5</w:t>
      </w:r>
    </w:p>
    <w:p w:rsidR="005A7366" w:rsidRPr="00D66F1A" w:rsidRDefault="005A7366">
      <w:pPr>
        <w:pStyle w:val="Innehll3"/>
        <w:rPr>
          <w:sz w:val="24"/>
          <w:szCs w:val="24"/>
        </w:rPr>
      </w:pPr>
      <w:r w:rsidRPr="00D66F1A">
        <w:t>Övriga frågor</w:t>
      </w:r>
      <w:r w:rsidRPr="00D66F1A">
        <w:tab/>
      </w:r>
      <w:r w:rsidR="00161FA0" w:rsidRPr="00D66F1A">
        <w:t>7</w:t>
      </w:r>
    </w:p>
    <w:p w:rsidR="005A7366" w:rsidRPr="00D66F1A" w:rsidRDefault="005A7366">
      <w:pPr>
        <w:pStyle w:val="Innehll4"/>
        <w:rPr>
          <w:sz w:val="24"/>
          <w:szCs w:val="24"/>
        </w:rPr>
      </w:pPr>
      <w:r w:rsidRPr="00D66F1A">
        <w:t>Offentligt biträde m.m.</w:t>
      </w:r>
      <w:r w:rsidRPr="00D66F1A">
        <w:tab/>
      </w:r>
      <w:r w:rsidR="00161FA0" w:rsidRPr="00D66F1A">
        <w:t>7</w:t>
      </w:r>
    </w:p>
    <w:p w:rsidR="005A7366" w:rsidRPr="00D66F1A" w:rsidRDefault="005A7366">
      <w:pPr>
        <w:pStyle w:val="Innehll4"/>
        <w:rPr>
          <w:sz w:val="24"/>
          <w:szCs w:val="24"/>
        </w:rPr>
      </w:pPr>
      <w:r w:rsidRPr="00D66F1A">
        <w:t>Rätt till muntlig förhandling</w:t>
      </w:r>
      <w:r w:rsidRPr="00D66F1A">
        <w:tab/>
      </w:r>
      <w:r w:rsidR="00161FA0" w:rsidRPr="00D66F1A">
        <w:t>8</w:t>
      </w:r>
    </w:p>
    <w:p w:rsidR="005A7366" w:rsidRPr="00D66F1A" w:rsidRDefault="005A7366">
      <w:pPr>
        <w:pStyle w:val="Innehll4"/>
        <w:rPr>
          <w:sz w:val="24"/>
          <w:szCs w:val="24"/>
        </w:rPr>
      </w:pPr>
      <w:r w:rsidRPr="00D66F1A">
        <w:t>Nämndemän</w:t>
      </w:r>
      <w:r w:rsidRPr="00D66F1A">
        <w:tab/>
      </w:r>
      <w:r w:rsidR="00161FA0" w:rsidRPr="00D66F1A">
        <w:t>8</w:t>
      </w:r>
    </w:p>
    <w:p w:rsidR="005A7366" w:rsidRPr="00D66F1A" w:rsidRDefault="005A7366">
      <w:pPr>
        <w:pStyle w:val="Innehll4"/>
        <w:rPr>
          <w:sz w:val="24"/>
          <w:szCs w:val="24"/>
        </w:rPr>
      </w:pPr>
      <w:r w:rsidRPr="00D66F1A">
        <w:t>Ökad parlamentarisk kontroll i</w:t>
      </w:r>
      <w:r w:rsidR="00EE3A18" w:rsidRPr="00D66F1A">
        <w:t xml:space="preserve"> säkerhetsärenden</w:t>
      </w:r>
      <w:r w:rsidRPr="00D66F1A">
        <w:tab/>
      </w:r>
      <w:r w:rsidR="00161FA0" w:rsidRPr="00D66F1A">
        <w:t>8</w:t>
      </w:r>
    </w:p>
    <w:p w:rsidR="005A7366" w:rsidRPr="00D66F1A" w:rsidRDefault="005A7366">
      <w:pPr>
        <w:pStyle w:val="Innehll2"/>
        <w:rPr>
          <w:sz w:val="24"/>
          <w:szCs w:val="24"/>
        </w:rPr>
      </w:pPr>
      <w:r w:rsidRPr="00D66F1A">
        <w:t>Avvikande meningar</w:t>
      </w:r>
      <w:r w:rsidRPr="00D66F1A">
        <w:tab/>
      </w:r>
      <w:r w:rsidR="00161FA0" w:rsidRPr="00D66F1A">
        <w:t>10</w:t>
      </w:r>
    </w:p>
    <w:p w:rsidR="005A7366" w:rsidRPr="00D66F1A" w:rsidRDefault="005A7366">
      <w:pPr>
        <w:pStyle w:val="Innehll2"/>
        <w:rPr>
          <w:sz w:val="24"/>
          <w:szCs w:val="24"/>
        </w:rPr>
      </w:pPr>
      <w:r w:rsidRPr="00D66F1A">
        <w:t>1. Tidpunkt för ikraftträdande</w:t>
      </w:r>
      <w:r w:rsidRPr="00D66F1A">
        <w:tab/>
      </w:r>
      <w:r w:rsidR="00161FA0" w:rsidRPr="00D66F1A">
        <w:t>10</w:t>
      </w:r>
    </w:p>
    <w:p w:rsidR="005A7366" w:rsidRPr="00D66F1A" w:rsidRDefault="005A7366">
      <w:pPr>
        <w:pStyle w:val="Innehll2"/>
        <w:rPr>
          <w:sz w:val="24"/>
          <w:szCs w:val="24"/>
        </w:rPr>
      </w:pPr>
      <w:r w:rsidRPr="00D66F1A">
        <w:t>2. Finansiering av reformen</w:t>
      </w:r>
      <w:r w:rsidRPr="00D66F1A">
        <w:tab/>
      </w:r>
      <w:r w:rsidR="00161FA0" w:rsidRPr="00D66F1A">
        <w:t>10</w:t>
      </w:r>
    </w:p>
    <w:p w:rsidR="005A7366" w:rsidRPr="00D66F1A" w:rsidRDefault="005A7366">
      <w:pPr>
        <w:pStyle w:val="Innehll2"/>
        <w:rPr>
          <w:sz w:val="24"/>
          <w:szCs w:val="24"/>
        </w:rPr>
      </w:pPr>
      <w:r w:rsidRPr="00D66F1A">
        <w:t>3. Utbildning för domare och nämndemän</w:t>
      </w:r>
      <w:r w:rsidRPr="00D66F1A">
        <w:tab/>
      </w:r>
      <w:r w:rsidR="00161FA0" w:rsidRPr="00D66F1A">
        <w:t>10</w:t>
      </w:r>
    </w:p>
    <w:p w:rsidR="005A7366" w:rsidRPr="00D66F1A" w:rsidRDefault="005A7366">
      <w:pPr>
        <w:pStyle w:val="Innehll2"/>
        <w:rPr>
          <w:sz w:val="24"/>
          <w:szCs w:val="24"/>
        </w:rPr>
      </w:pPr>
      <w:r w:rsidRPr="00D66F1A">
        <w:t>4. Offentligt biträde</w:t>
      </w:r>
      <w:r w:rsidRPr="00D66F1A">
        <w:tab/>
      </w:r>
      <w:r w:rsidR="00161FA0" w:rsidRPr="00D66F1A">
        <w:t>10</w:t>
      </w:r>
    </w:p>
    <w:p w:rsidR="005A7366" w:rsidRPr="00D66F1A" w:rsidRDefault="005A7366">
      <w:pPr>
        <w:pStyle w:val="Innehll2"/>
        <w:rPr>
          <w:sz w:val="24"/>
          <w:szCs w:val="24"/>
        </w:rPr>
      </w:pPr>
      <w:r w:rsidRPr="00D66F1A">
        <w:t>5.</w:t>
      </w:r>
      <w:r w:rsidR="00EE3A18" w:rsidRPr="00D66F1A">
        <w:t xml:space="preserve"> Medborgarvittnen</w:t>
      </w:r>
      <w:r w:rsidRPr="00D66F1A">
        <w:tab/>
      </w:r>
      <w:r w:rsidR="00161FA0" w:rsidRPr="00D66F1A">
        <w:t>11</w:t>
      </w:r>
    </w:p>
    <w:p w:rsidR="005A7366" w:rsidRPr="00D66F1A" w:rsidRDefault="00EE3A18">
      <w:pPr>
        <w:pStyle w:val="Innehll2"/>
        <w:rPr>
          <w:sz w:val="24"/>
          <w:szCs w:val="24"/>
        </w:rPr>
      </w:pPr>
      <w:r w:rsidRPr="00D66F1A">
        <w:t>6. Rätt till muntlig förhandling</w:t>
      </w:r>
      <w:r w:rsidR="005A7366" w:rsidRPr="00D66F1A">
        <w:tab/>
      </w:r>
      <w:r w:rsidR="00161FA0" w:rsidRPr="00D66F1A">
        <w:t>11</w:t>
      </w:r>
    </w:p>
    <w:p w:rsidR="005A7366" w:rsidRPr="00D66F1A" w:rsidRDefault="005A7366">
      <w:pPr>
        <w:pStyle w:val="Innehll2"/>
        <w:rPr>
          <w:sz w:val="24"/>
          <w:szCs w:val="24"/>
        </w:rPr>
      </w:pPr>
      <w:r w:rsidRPr="00D66F1A">
        <w:t xml:space="preserve">7. </w:t>
      </w:r>
      <w:r w:rsidR="00EE3A18" w:rsidRPr="00D66F1A">
        <w:t>Rekrytering av nämndemän</w:t>
      </w:r>
      <w:r w:rsidRPr="00D66F1A">
        <w:tab/>
      </w:r>
      <w:r w:rsidR="00161FA0" w:rsidRPr="00D66F1A">
        <w:t>11</w:t>
      </w:r>
    </w:p>
    <w:p w:rsidR="005A7366" w:rsidRPr="00D66F1A" w:rsidRDefault="005A7366">
      <w:pPr>
        <w:pStyle w:val="Innehll2"/>
        <w:rPr>
          <w:sz w:val="24"/>
          <w:szCs w:val="24"/>
        </w:rPr>
      </w:pPr>
      <w:r w:rsidRPr="00D66F1A">
        <w:t>8. Förstärkt parlamentarisk kontroll i säkerhetsärenden</w:t>
      </w:r>
      <w:r w:rsidRPr="00D66F1A">
        <w:tab/>
      </w:r>
      <w:r w:rsidR="00161FA0" w:rsidRPr="00D66F1A">
        <w:t>1</w:t>
      </w:r>
      <w:r w:rsidR="00A76AD7" w:rsidRPr="00D66F1A">
        <w:t>2</w:t>
      </w:r>
    </w:p>
    <w:p w:rsidR="005A7366" w:rsidRPr="00D66F1A" w:rsidRDefault="005A7366" w:rsidP="008B7DA7"/>
    <w:p w:rsidR="000A0938" w:rsidRPr="00D66F1A" w:rsidRDefault="000A0938" w:rsidP="00304D19"/>
    <w:p w:rsidR="000A0938" w:rsidRPr="00D66F1A" w:rsidRDefault="000A0938" w:rsidP="000A0938">
      <w:pPr>
        <w:pStyle w:val="Tryckort"/>
        <w:framePr w:wrap="around"/>
      </w:pPr>
      <w:r w:rsidRPr="00D66F1A">
        <w:t>Elanders Gotab, Stockholm  2005</w:t>
      </w:r>
    </w:p>
    <w:p w:rsidR="00304D19" w:rsidRPr="00D66F1A" w:rsidRDefault="00304D19" w:rsidP="000A0938">
      <w:pPr>
        <w:pStyle w:val="Normaltindrag"/>
      </w:pPr>
    </w:p>
    <w:sectPr w:rsidR="00304D19" w:rsidRPr="00D66F1A" w:rsidSect="0099411D">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798A" w:rsidRPr="00D66F1A" w:rsidRDefault="00ED798A">
      <w:r w:rsidRPr="00D66F1A">
        <w:separator/>
      </w:r>
    </w:p>
  </w:endnote>
  <w:endnote w:type="continuationSeparator" w:id="0">
    <w:p w:rsidR="00ED798A" w:rsidRPr="00D66F1A" w:rsidRDefault="00ED798A">
      <w:r w:rsidRPr="00D66F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089" w:rsidRPr="00D66F1A" w:rsidRDefault="008C6089">
    <w:pPr>
      <w:pStyle w:val="SidfotV"/>
      <w:framePr w:w="8732" w:h="284" w:hRule="exact" w:hSpace="0" w:vSpace="0" w:wrap="around" w:xAlign="inside" w:y="13042" w:anchorLock="0"/>
    </w:pPr>
    <w:r w:rsidRPr="00D66F1A">
      <w:fldChar w:fldCharType="begin" w:fldLock="1"/>
    </w:r>
    <w:r w:rsidRPr="00D66F1A">
      <w:instrText xml:space="preserve"> P</w:instrText>
    </w:r>
    <w:r w:rsidRPr="00D66F1A">
      <w:instrText>A</w:instrText>
    </w:r>
    <w:r w:rsidRPr="00D66F1A">
      <w:instrText xml:space="preserve">GE </w:instrText>
    </w:r>
    <w:r w:rsidRPr="00D66F1A">
      <w:fldChar w:fldCharType="separate"/>
    </w:r>
    <w:r w:rsidR="00E44B1F" w:rsidRPr="00D66F1A">
      <w:t>8</w:t>
    </w:r>
    <w:r w:rsidRPr="00D66F1A">
      <w:fldChar w:fldCharType="end"/>
    </w:r>
  </w:p>
  <w:p w:rsidR="008C6089" w:rsidRPr="00D66F1A" w:rsidRDefault="008C608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089" w:rsidRPr="00D66F1A" w:rsidRDefault="008C6089">
    <w:pPr>
      <w:pStyle w:val="SidfotH"/>
      <w:framePr w:w="8732" w:h="284" w:hRule="exact" w:hSpace="0" w:vSpace="0" w:wrap="around" w:xAlign="inside" w:y="13042" w:anchorLock="0"/>
    </w:pPr>
    <w:r w:rsidRPr="00D66F1A">
      <w:fldChar w:fldCharType="begin" w:fldLock="1"/>
    </w:r>
    <w:r w:rsidRPr="00D66F1A">
      <w:instrText xml:space="preserve"> P</w:instrText>
    </w:r>
    <w:r w:rsidRPr="00D66F1A">
      <w:instrText>A</w:instrText>
    </w:r>
    <w:r w:rsidRPr="00D66F1A">
      <w:instrText xml:space="preserve">GE </w:instrText>
    </w:r>
    <w:r w:rsidRPr="00D66F1A">
      <w:fldChar w:fldCharType="separate"/>
    </w:r>
    <w:r w:rsidR="00E44B1F" w:rsidRPr="00D66F1A">
      <w:t>9</w:t>
    </w:r>
    <w:r w:rsidRPr="00D66F1A">
      <w:fldChar w:fldCharType="end"/>
    </w:r>
  </w:p>
  <w:p w:rsidR="008C6089" w:rsidRPr="00D66F1A" w:rsidRDefault="008C608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089" w:rsidRPr="00D66F1A" w:rsidRDefault="008C6089">
    <w:pPr>
      <w:pStyle w:val="SidfotV"/>
      <w:framePr w:w="8732" w:h="284" w:hRule="exact" w:hSpace="0" w:vSpace="0" w:wrap="around" w:xAlign="inside" w:y="13042" w:anchorLock="0"/>
    </w:pPr>
    <w:r w:rsidRPr="00D66F1A">
      <w:fldChar w:fldCharType="begin" w:fldLock="1"/>
    </w:r>
    <w:r w:rsidRPr="00D66F1A">
      <w:instrText xml:space="preserve"> if </w:instrText>
    </w:r>
    <w:r w:rsidRPr="00D66F1A">
      <w:fldChar w:fldCharType="begin" w:fldLock="1"/>
    </w:r>
    <w:r w:rsidRPr="00D66F1A">
      <w:instrText xml:space="preserve"> = </w:instrText>
    </w:r>
    <w:r w:rsidRPr="00D66F1A">
      <w:fldChar w:fldCharType="begin" w:fldLock="1"/>
    </w:r>
    <w:r w:rsidRPr="00D66F1A">
      <w:instrText xml:space="preserve"> = </w:instrText>
    </w:r>
    <w:r w:rsidRPr="00D66F1A">
      <w:fldChar w:fldCharType="begin" w:fldLock="1"/>
    </w:r>
    <w:r w:rsidRPr="00D66F1A">
      <w:instrText xml:space="preserve"> page</w:instrText>
    </w:r>
    <w:r w:rsidRPr="00D66F1A">
      <w:fldChar w:fldCharType="separate"/>
    </w:r>
    <w:r w:rsidR="00D66F1A">
      <w:rPr>
        <w:noProof/>
      </w:rPr>
      <w:instrText>1</w:instrText>
    </w:r>
    <w:r w:rsidRPr="00D66F1A">
      <w:fldChar w:fldCharType="end"/>
    </w:r>
    <w:r w:rsidRPr="00D66F1A">
      <w:instrText xml:space="preserve">/2 </w:instrText>
    </w:r>
    <w:r w:rsidRPr="00D66F1A">
      <w:fldChar w:fldCharType="separate"/>
    </w:r>
    <w:r w:rsidR="00D66F1A">
      <w:rPr>
        <w:noProof/>
      </w:rPr>
      <w:instrText>0,5</w:instrText>
    </w:r>
    <w:r w:rsidRPr="00D66F1A">
      <w:fldChar w:fldCharType="end"/>
    </w:r>
    <w:r w:rsidRPr="00D66F1A">
      <w:instrText xml:space="preserve"> - </w:instrText>
    </w:r>
    <w:r w:rsidRPr="00D66F1A">
      <w:fldChar w:fldCharType="begin" w:fldLock="1"/>
    </w:r>
    <w:r w:rsidRPr="00D66F1A">
      <w:instrText xml:space="preserve"> = int(</w:instrText>
    </w:r>
    <w:r w:rsidRPr="00D66F1A">
      <w:fldChar w:fldCharType="begin" w:fldLock="1"/>
    </w:r>
    <w:r w:rsidRPr="00D66F1A">
      <w:instrText xml:space="preserve"> page</w:instrText>
    </w:r>
    <w:r w:rsidRPr="00D66F1A">
      <w:fldChar w:fldCharType="separate"/>
    </w:r>
    <w:r w:rsidR="00D66F1A">
      <w:rPr>
        <w:noProof/>
      </w:rPr>
      <w:instrText>1</w:instrText>
    </w:r>
    <w:r w:rsidRPr="00D66F1A">
      <w:fldChar w:fldCharType="end"/>
    </w:r>
    <w:r w:rsidRPr="00D66F1A">
      <w:instrText xml:space="preserve">/2) </w:instrText>
    </w:r>
    <w:r w:rsidRPr="00D66F1A">
      <w:fldChar w:fldCharType="separate"/>
    </w:r>
    <w:r w:rsidR="00D66F1A">
      <w:rPr>
        <w:noProof/>
      </w:rPr>
      <w:instrText>0</w:instrText>
    </w:r>
    <w:r w:rsidRPr="00D66F1A">
      <w:fldChar w:fldCharType="end"/>
    </w:r>
    <w:r w:rsidRPr="00D66F1A">
      <w:fldChar w:fldCharType="separate"/>
    </w:r>
    <w:r w:rsidR="00D66F1A">
      <w:rPr>
        <w:noProof/>
      </w:rPr>
      <w:instrText>0,5</w:instrText>
    </w:r>
    <w:r w:rsidRPr="00D66F1A">
      <w:fldChar w:fldCharType="end"/>
    </w:r>
    <w:r w:rsidRPr="00D66F1A">
      <w:instrText xml:space="preserve"> = 0 "</w:instrText>
    </w:r>
    <w:r w:rsidRPr="00D66F1A">
      <w:fldChar w:fldCharType="begin" w:fldLock="1"/>
    </w:r>
    <w:r w:rsidRPr="00D66F1A">
      <w:instrText xml:space="preserve"> P</w:instrText>
    </w:r>
    <w:r w:rsidRPr="00D66F1A">
      <w:instrText>A</w:instrText>
    </w:r>
    <w:r w:rsidRPr="00D66F1A">
      <w:instrText xml:space="preserve">GE </w:instrText>
    </w:r>
    <w:r w:rsidRPr="00D66F1A">
      <w:fldChar w:fldCharType="separate"/>
    </w:r>
    <w:r w:rsidRPr="00D66F1A">
      <w:instrText>14</w:instrText>
    </w:r>
    <w:r w:rsidRPr="00D66F1A">
      <w:fldChar w:fldCharType="end"/>
    </w:r>
  </w:p>
  <w:p w:rsidR="008C6089" w:rsidRPr="00D66F1A" w:rsidRDefault="008C6089">
    <w:pPr>
      <w:pStyle w:val="SidfotH"/>
      <w:framePr w:w="8732" w:h="284" w:hRule="exact" w:hSpace="0" w:vSpace="0" w:wrap="around" w:xAlign="inside" w:y="13042" w:anchorLock="0"/>
    </w:pPr>
    <w:r w:rsidRPr="00D66F1A">
      <w:instrText>""</w:instrText>
    </w:r>
    <w:r w:rsidRPr="00D66F1A">
      <w:fldChar w:fldCharType="begin" w:fldLock="1"/>
    </w:r>
    <w:r w:rsidRPr="00D66F1A">
      <w:instrText xml:space="preserve"> P</w:instrText>
    </w:r>
    <w:r w:rsidRPr="00D66F1A">
      <w:instrText>A</w:instrText>
    </w:r>
    <w:r w:rsidRPr="00D66F1A">
      <w:instrText xml:space="preserve">GE </w:instrText>
    </w:r>
    <w:r w:rsidRPr="00D66F1A">
      <w:fldChar w:fldCharType="separate"/>
    </w:r>
    <w:r w:rsidR="00D66F1A">
      <w:rPr>
        <w:noProof/>
      </w:rPr>
      <w:instrText>1</w:instrText>
    </w:r>
    <w:r w:rsidRPr="00D66F1A">
      <w:fldChar w:fldCharType="end"/>
    </w:r>
    <w:r w:rsidRPr="00D66F1A">
      <w:instrText>"</w:instrText>
    </w:r>
    <w:r w:rsidR="00E44B1F" w:rsidRPr="00D66F1A">
      <w:fldChar w:fldCharType="separate"/>
    </w:r>
    <w:r w:rsidR="00D66F1A">
      <w:rPr>
        <w:noProof/>
      </w:rPr>
      <w:t>1</w:t>
    </w:r>
    <w:r w:rsidRPr="00D66F1A">
      <w:fldChar w:fldCharType="end"/>
    </w:r>
  </w:p>
  <w:p w:rsidR="008C6089" w:rsidRPr="00D66F1A" w:rsidRDefault="008C608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089" w:rsidRPr="00D66F1A" w:rsidRDefault="008C6089">
    <w:pPr>
      <w:pStyle w:val="SidfotV"/>
      <w:framePr w:w="8732" w:h="284" w:hRule="exact" w:hSpace="0" w:vSpace="0" w:wrap="around" w:xAlign="inside" w:y="13042" w:anchorLock="0"/>
    </w:pPr>
    <w:r w:rsidRPr="00D66F1A">
      <w:fldChar w:fldCharType="begin" w:fldLock="1"/>
    </w:r>
    <w:r w:rsidRPr="00D66F1A">
      <w:instrText xml:space="preserve"> P</w:instrText>
    </w:r>
    <w:r w:rsidRPr="00D66F1A">
      <w:instrText>A</w:instrText>
    </w:r>
    <w:r w:rsidRPr="00D66F1A">
      <w:instrText xml:space="preserve">GE </w:instrText>
    </w:r>
    <w:r w:rsidRPr="00D66F1A">
      <w:fldChar w:fldCharType="separate"/>
    </w:r>
    <w:r w:rsidR="00E44B1F" w:rsidRPr="00D66F1A">
      <w:t>12</w:t>
    </w:r>
    <w:r w:rsidRPr="00D66F1A">
      <w:fldChar w:fldCharType="end"/>
    </w:r>
  </w:p>
  <w:p w:rsidR="008C6089" w:rsidRPr="00D66F1A" w:rsidRDefault="008C6089">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089" w:rsidRPr="00D66F1A" w:rsidRDefault="008C6089">
    <w:pPr>
      <w:pStyle w:val="SidfotH"/>
      <w:framePr w:w="8732" w:h="284" w:hRule="exact" w:hSpace="0" w:vSpace="0" w:wrap="around" w:xAlign="inside" w:y="13042" w:anchorLock="0"/>
    </w:pPr>
    <w:r w:rsidRPr="00D66F1A">
      <w:fldChar w:fldCharType="begin" w:fldLock="1"/>
    </w:r>
    <w:r w:rsidRPr="00D66F1A">
      <w:instrText xml:space="preserve"> P</w:instrText>
    </w:r>
    <w:r w:rsidRPr="00D66F1A">
      <w:instrText>A</w:instrText>
    </w:r>
    <w:r w:rsidRPr="00D66F1A">
      <w:instrText xml:space="preserve">GE </w:instrText>
    </w:r>
    <w:r w:rsidRPr="00D66F1A">
      <w:fldChar w:fldCharType="separate"/>
    </w:r>
    <w:r w:rsidR="00E44B1F" w:rsidRPr="00D66F1A">
      <w:t>11</w:t>
    </w:r>
    <w:r w:rsidRPr="00D66F1A">
      <w:fldChar w:fldCharType="end"/>
    </w:r>
  </w:p>
  <w:p w:rsidR="008C6089" w:rsidRPr="00D66F1A" w:rsidRDefault="008C6089">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089" w:rsidRPr="00D66F1A" w:rsidRDefault="008C6089">
    <w:pPr>
      <w:pStyle w:val="SidfotV"/>
      <w:framePr w:w="8732" w:h="284" w:hRule="exact" w:hSpace="0" w:vSpace="0" w:wrap="around" w:xAlign="inside" w:y="13042" w:anchorLock="0"/>
    </w:pPr>
    <w:r w:rsidRPr="00D66F1A">
      <w:fldChar w:fldCharType="begin" w:fldLock="1"/>
    </w:r>
    <w:r w:rsidRPr="00D66F1A">
      <w:instrText xml:space="preserve"> if </w:instrText>
    </w:r>
    <w:r w:rsidRPr="00D66F1A">
      <w:fldChar w:fldCharType="begin" w:fldLock="1"/>
    </w:r>
    <w:r w:rsidRPr="00D66F1A">
      <w:instrText xml:space="preserve"> = </w:instrText>
    </w:r>
    <w:r w:rsidRPr="00D66F1A">
      <w:fldChar w:fldCharType="begin" w:fldLock="1"/>
    </w:r>
    <w:r w:rsidRPr="00D66F1A">
      <w:instrText xml:space="preserve"> = </w:instrText>
    </w:r>
    <w:r w:rsidRPr="00D66F1A">
      <w:fldChar w:fldCharType="begin" w:fldLock="1"/>
    </w:r>
    <w:r w:rsidRPr="00D66F1A">
      <w:instrText xml:space="preserve"> page</w:instrText>
    </w:r>
    <w:r w:rsidRPr="00D66F1A">
      <w:fldChar w:fldCharType="separate"/>
    </w:r>
    <w:r w:rsidR="00E44B1F" w:rsidRPr="00D66F1A">
      <w:instrText>10</w:instrText>
    </w:r>
    <w:r w:rsidRPr="00D66F1A">
      <w:fldChar w:fldCharType="end"/>
    </w:r>
    <w:r w:rsidRPr="00D66F1A">
      <w:instrText xml:space="preserve">/2 </w:instrText>
    </w:r>
    <w:r w:rsidRPr="00D66F1A">
      <w:fldChar w:fldCharType="separate"/>
    </w:r>
    <w:r w:rsidR="00E44B1F" w:rsidRPr="00D66F1A">
      <w:instrText>5</w:instrText>
    </w:r>
    <w:r w:rsidRPr="00D66F1A">
      <w:fldChar w:fldCharType="end"/>
    </w:r>
    <w:r w:rsidRPr="00D66F1A">
      <w:instrText xml:space="preserve"> - </w:instrText>
    </w:r>
    <w:r w:rsidRPr="00D66F1A">
      <w:fldChar w:fldCharType="begin" w:fldLock="1"/>
    </w:r>
    <w:r w:rsidRPr="00D66F1A">
      <w:instrText xml:space="preserve"> = int(</w:instrText>
    </w:r>
    <w:r w:rsidRPr="00D66F1A">
      <w:fldChar w:fldCharType="begin" w:fldLock="1"/>
    </w:r>
    <w:r w:rsidRPr="00D66F1A">
      <w:instrText xml:space="preserve"> page</w:instrText>
    </w:r>
    <w:r w:rsidRPr="00D66F1A">
      <w:fldChar w:fldCharType="separate"/>
    </w:r>
    <w:r w:rsidR="00E44B1F" w:rsidRPr="00D66F1A">
      <w:instrText>10</w:instrText>
    </w:r>
    <w:r w:rsidRPr="00D66F1A">
      <w:fldChar w:fldCharType="end"/>
    </w:r>
    <w:r w:rsidRPr="00D66F1A">
      <w:instrText xml:space="preserve">/2) </w:instrText>
    </w:r>
    <w:r w:rsidRPr="00D66F1A">
      <w:fldChar w:fldCharType="separate"/>
    </w:r>
    <w:r w:rsidR="00E44B1F" w:rsidRPr="00D66F1A">
      <w:instrText>5</w:instrText>
    </w:r>
    <w:r w:rsidRPr="00D66F1A">
      <w:fldChar w:fldCharType="end"/>
    </w:r>
    <w:r w:rsidRPr="00D66F1A">
      <w:fldChar w:fldCharType="separate"/>
    </w:r>
    <w:r w:rsidR="00E44B1F" w:rsidRPr="00D66F1A">
      <w:instrText>0</w:instrText>
    </w:r>
    <w:r w:rsidRPr="00D66F1A">
      <w:fldChar w:fldCharType="end"/>
    </w:r>
    <w:r w:rsidRPr="00D66F1A">
      <w:instrText xml:space="preserve"> = 0 "</w:instrText>
    </w:r>
    <w:r w:rsidRPr="00D66F1A">
      <w:fldChar w:fldCharType="begin" w:fldLock="1"/>
    </w:r>
    <w:r w:rsidRPr="00D66F1A">
      <w:instrText xml:space="preserve"> P</w:instrText>
    </w:r>
    <w:r w:rsidRPr="00D66F1A">
      <w:instrText>A</w:instrText>
    </w:r>
    <w:r w:rsidRPr="00D66F1A">
      <w:instrText xml:space="preserve">GE </w:instrText>
    </w:r>
    <w:r w:rsidRPr="00D66F1A">
      <w:fldChar w:fldCharType="separate"/>
    </w:r>
    <w:r w:rsidR="00E44B1F" w:rsidRPr="00D66F1A">
      <w:instrText>10</w:instrText>
    </w:r>
    <w:r w:rsidRPr="00D66F1A">
      <w:fldChar w:fldCharType="end"/>
    </w:r>
  </w:p>
  <w:p w:rsidR="00E44B1F" w:rsidRPr="00D66F1A" w:rsidRDefault="008C6089">
    <w:pPr>
      <w:pStyle w:val="SidfotV"/>
      <w:framePr w:w="8732" w:h="284" w:hRule="exact" w:hSpace="0" w:vSpace="0" w:wrap="around" w:xAlign="inside" w:y="13042" w:anchorLock="0"/>
    </w:pPr>
    <w:r w:rsidRPr="00D66F1A">
      <w:instrText>""</w:instrText>
    </w:r>
    <w:r w:rsidRPr="00D66F1A">
      <w:fldChar w:fldCharType="begin" w:fldLock="1"/>
    </w:r>
    <w:r w:rsidRPr="00D66F1A">
      <w:instrText xml:space="preserve"> P</w:instrText>
    </w:r>
    <w:r w:rsidRPr="00D66F1A">
      <w:instrText>A</w:instrText>
    </w:r>
    <w:r w:rsidRPr="00D66F1A">
      <w:instrText xml:space="preserve">GE </w:instrText>
    </w:r>
    <w:r w:rsidRPr="00D66F1A">
      <w:fldChar w:fldCharType="separate"/>
    </w:r>
    <w:r w:rsidRPr="00D66F1A">
      <w:instrText>13</w:instrText>
    </w:r>
    <w:r w:rsidRPr="00D66F1A">
      <w:fldChar w:fldCharType="end"/>
    </w:r>
    <w:r w:rsidRPr="00D66F1A">
      <w:instrText>"</w:instrText>
    </w:r>
    <w:r w:rsidR="00E44B1F" w:rsidRPr="00D66F1A">
      <w:fldChar w:fldCharType="separate"/>
    </w:r>
    <w:r w:rsidR="00E44B1F" w:rsidRPr="00D66F1A">
      <w:t>10</w:t>
    </w:r>
  </w:p>
  <w:p w:rsidR="008C6089" w:rsidRPr="00D66F1A" w:rsidRDefault="008C6089">
    <w:pPr>
      <w:pStyle w:val="SidfotH"/>
      <w:framePr w:w="8732" w:h="284" w:hRule="exact" w:hSpace="0" w:vSpace="0" w:wrap="around" w:xAlign="inside" w:y="13042" w:anchorLock="0"/>
    </w:pPr>
    <w:r w:rsidRPr="00D66F1A">
      <w:fldChar w:fldCharType="end"/>
    </w:r>
  </w:p>
  <w:p w:rsidR="008C6089" w:rsidRPr="00D66F1A" w:rsidRDefault="008C6089">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089" w:rsidRPr="00D66F1A" w:rsidRDefault="008C6089">
    <w:pPr>
      <w:pStyle w:val="SidfotV"/>
      <w:framePr w:w="8732" w:h="284" w:hRule="exact" w:hSpace="0" w:vSpace="0" w:wrap="around" w:xAlign="inside" w:y="13042" w:anchorLock="0"/>
    </w:pPr>
    <w:r w:rsidRPr="00D66F1A">
      <w:fldChar w:fldCharType="begin" w:fldLock="1"/>
    </w:r>
    <w:r w:rsidRPr="00D66F1A">
      <w:instrText xml:space="preserve"> P</w:instrText>
    </w:r>
    <w:r w:rsidRPr="00D66F1A">
      <w:instrText>A</w:instrText>
    </w:r>
    <w:r w:rsidRPr="00D66F1A">
      <w:instrText xml:space="preserve">GE </w:instrText>
    </w:r>
    <w:r w:rsidRPr="00D66F1A">
      <w:fldChar w:fldCharType="separate"/>
    </w:r>
    <w:r w:rsidRPr="00D66F1A">
      <w:t>13</w:t>
    </w:r>
    <w:r w:rsidRPr="00D66F1A">
      <w:fldChar w:fldCharType="end"/>
    </w:r>
  </w:p>
  <w:p w:rsidR="008C6089" w:rsidRPr="00D66F1A" w:rsidRDefault="008C6089">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089" w:rsidRPr="00D66F1A" w:rsidRDefault="008C6089">
    <w:pPr>
      <w:pStyle w:val="SidfotH"/>
      <w:framePr w:w="8732" w:h="284" w:hRule="exact" w:hSpace="0" w:vSpace="0" w:wrap="around" w:xAlign="inside" w:y="13042" w:anchorLock="0"/>
    </w:pPr>
    <w:r w:rsidRPr="00D66F1A">
      <w:fldChar w:fldCharType="begin" w:fldLock="1"/>
    </w:r>
    <w:r w:rsidRPr="00D66F1A">
      <w:instrText xml:space="preserve"> P</w:instrText>
    </w:r>
    <w:r w:rsidRPr="00D66F1A">
      <w:instrText>A</w:instrText>
    </w:r>
    <w:r w:rsidRPr="00D66F1A">
      <w:instrText xml:space="preserve">GE </w:instrText>
    </w:r>
    <w:r w:rsidRPr="00D66F1A">
      <w:fldChar w:fldCharType="separate"/>
    </w:r>
    <w:r w:rsidRPr="00D66F1A">
      <w:t>13</w:t>
    </w:r>
    <w:r w:rsidRPr="00D66F1A">
      <w:fldChar w:fldCharType="end"/>
    </w:r>
  </w:p>
  <w:p w:rsidR="008C6089" w:rsidRPr="00D66F1A" w:rsidRDefault="008C6089">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089" w:rsidRPr="00D66F1A" w:rsidRDefault="008C6089">
    <w:pPr>
      <w:pStyle w:val="SidfotV"/>
      <w:framePr w:w="8732" w:h="284" w:hRule="exact" w:hSpace="0" w:vSpace="0" w:wrap="around" w:xAlign="inside" w:y="13042" w:anchorLock="0"/>
    </w:pPr>
    <w:r w:rsidRPr="00D66F1A">
      <w:fldChar w:fldCharType="begin" w:fldLock="1"/>
    </w:r>
    <w:r w:rsidRPr="00D66F1A">
      <w:instrText xml:space="preserve"> if </w:instrText>
    </w:r>
    <w:r w:rsidRPr="00D66F1A">
      <w:fldChar w:fldCharType="begin" w:fldLock="1"/>
    </w:r>
    <w:r w:rsidRPr="00D66F1A">
      <w:instrText xml:space="preserve"> = </w:instrText>
    </w:r>
    <w:r w:rsidRPr="00D66F1A">
      <w:fldChar w:fldCharType="begin" w:fldLock="1"/>
    </w:r>
    <w:r w:rsidRPr="00D66F1A">
      <w:instrText xml:space="preserve"> = </w:instrText>
    </w:r>
    <w:r w:rsidRPr="00D66F1A">
      <w:fldChar w:fldCharType="begin" w:fldLock="1"/>
    </w:r>
    <w:r w:rsidRPr="00D66F1A">
      <w:instrText xml:space="preserve"> page</w:instrText>
    </w:r>
    <w:r w:rsidRPr="00D66F1A">
      <w:fldChar w:fldCharType="separate"/>
    </w:r>
    <w:r w:rsidR="00E44B1F" w:rsidRPr="00D66F1A">
      <w:instrText>13</w:instrText>
    </w:r>
    <w:r w:rsidRPr="00D66F1A">
      <w:fldChar w:fldCharType="end"/>
    </w:r>
    <w:r w:rsidRPr="00D66F1A">
      <w:instrText xml:space="preserve">/2 </w:instrText>
    </w:r>
    <w:r w:rsidRPr="00D66F1A">
      <w:fldChar w:fldCharType="separate"/>
    </w:r>
    <w:r w:rsidR="00E44B1F" w:rsidRPr="00D66F1A">
      <w:instrText>6,5</w:instrText>
    </w:r>
    <w:r w:rsidRPr="00D66F1A">
      <w:fldChar w:fldCharType="end"/>
    </w:r>
    <w:r w:rsidRPr="00D66F1A">
      <w:instrText xml:space="preserve"> - </w:instrText>
    </w:r>
    <w:r w:rsidRPr="00D66F1A">
      <w:fldChar w:fldCharType="begin" w:fldLock="1"/>
    </w:r>
    <w:r w:rsidRPr="00D66F1A">
      <w:instrText xml:space="preserve"> = int(</w:instrText>
    </w:r>
    <w:r w:rsidRPr="00D66F1A">
      <w:fldChar w:fldCharType="begin" w:fldLock="1"/>
    </w:r>
    <w:r w:rsidRPr="00D66F1A">
      <w:instrText xml:space="preserve"> page</w:instrText>
    </w:r>
    <w:r w:rsidRPr="00D66F1A">
      <w:fldChar w:fldCharType="separate"/>
    </w:r>
    <w:r w:rsidR="00E44B1F" w:rsidRPr="00D66F1A">
      <w:instrText>13</w:instrText>
    </w:r>
    <w:r w:rsidRPr="00D66F1A">
      <w:fldChar w:fldCharType="end"/>
    </w:r>
    <w:r w:rsidRPr="00D66F1A">
      <w:instrText xml:space="preserve">/2) </w:instrText>
    </w:r>
    <w:r w:rsidRPr="00D66F1A">
      <w:fldChar w:fldCharType="separate"/>
    </w:r>
    <w:r w:rsidR="00E44B1F" w:rsidRPr="00D66F1A">
      <w:instrText>6</w:instrText>
    </w:r>
    <w:r w:rsidRPr="00D66F1A">
      <w:fldChar w:fldCharType="end"/>
    </w:r>
    <w:r w:rsidRPr="00D66F1A">
      <w:fldChar w:fldCharType="separate"/>
    </w:r>
    <w:r w:rsidR="00E44B1F" w:rsidRPr="00D66F1A">
      <w:instrText>0,5</w:instrText>
    </w:r>
    <w:r w:rsidRPr="00D66F1A">
      <w:fldChar w:fldCharType="end"/>
    </w:r>
    <w:r w:rsidRPr="00D66F1A">
      <w:instrText xml:space="preserve"> = 0 "</w:instrText>
    </w:r>
    <w:r w:rsidRPr="00D66F1A">
      <w:fldChar w:fldCharType="begin" w:fldLock="1"/>
    </w:r>
    <w:r w:rsidRPr="00D66F1A">
      <w:instrText xml:space="preserve"> P</w:instrText>
    </w:r>
    <w:r w:rsidRPr="00D66F1A">
      <w:instrText>A</w:instrText>
    </w:r>
    <w:r w:rsidRPr="00D66F1A">
      <w:instrText xml:space="preserve">GE </w:instrText>
    </w:r>
    <w:r w:rsidRPr="00D66F1A">
      <w:fldChar w:fldCharType="separate"/>
    </w:r>
    <w:r w:rsidRPr="00D66F1A">
      <w:instrText>14</w:instrText>
    </w:r>
    <w:r w:rsidRPr="00D66F1A">
      <w:fldChar w:fldCharType="end"/>
    </w:r>
  </w:p>
  <w:p w:rsidR="008C6089" w:rsidRPr="00D66F1A" w:rsidRDefault="008C6089">
    <w:pPr>
      <w:pStyle w:val="SidfotH"/>
      <w:framePr w:w="8732" w:h="284" w:hRule="exact" w:hSpace="0" w:vSpace="0" w:wrap="around" w:xAlign="inside" w:y="13042" w:anchorLock="0"/>
    </w:pPr>
    <w:r w:rsidRPr="00D66F1A">
      <w:instrText>""</w:instrText>
    </w:r>
    <w:r w:rsidRPr="00D66F1A">
      <w:fldChar w:fldCharType="begin" w:fldLock="1"/>
    </w:r>
    <w:r w:rsidRPr="00D66F1A">
      <w:instrText xml:space="preserve"> P</w:instrText>
    </w:r>
    <w:r w:rsidRPr="00D66F1A">
      <w:instrText>A</w:instrText>
    </w:r>
    <w:r w:rsidRPr="00D66F1A">
      <w:instrText xml:space="preserve">GE </w:instrText>
    </w:r>
    <w:r w:rsidRPr="00D66F1A">
      <w:fldChar w:fldCharType="separate"/>
    </w:r>
    <w:r w:rsidR="00E44B1F" w:rsidRPr="00D66F1A">
      <w:instrText>13</w:instrText>
    </w:r>
    <w:r w:rsidRPr="00D66F1A">
      <w:fldChar w:fldCharType="end"/>
    </w:r>
    <w:r w:rsidRPr="00D66F1A">
      <w:instrText>"</w:instrText>
    </w:r>
    <w:r w:rsidR="00E44B1F" w:rsidRPr="00D66F1A">
      <w:fldChar w:fldCharType="separate"/>
    </w:r>
    <w:r w:rsidR="00E44B1F" w:rsidRPr="00D66F1A">
      <w:t>13</w:t>
    </w:r>
    <w:r w:rsidRPr="00D66F1A">
      <w:fldChar w:fldCharType="end"/>
    </w:r>
  </w:p>
  <w:p w:rsidR="008C6089" w:rsidRPr="00D66F1A" w:rsidRDefault="008C60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798A" w:rsidRPr="00D66F1A" w:rsidRDefault="00ED798A">
      <w:r w:rsidRPr="00D66F1A">
        <w:separator/>
      </w:r>
    </w:p>
  </w:footnote>
  <w:footnote w:type="continuationSeparator" w:id="0">
    <w:p w:rsidR="00ED798A" w:rsidRPr="00D66F1A" w:rsidRDefault="00ED798A">
      <w:r w:rsidRPr="00D66F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089" w:rsidRPr="00D66F1A" w:rsidRDefault="008C6089">
    <w:pPr>
      <w:pStyle w:val="SidhuvudKantJmn"/>
      <w:framePr w:w="8732" w:h="567" w:hRule="exact" w:vSpace="0" w:wrap="around" w:vAnchor="page" w:y="341" w:anchorLock="0"/>
    </w:pPr>
    <w:r w:rsidRPr="00D66F1A">
      <w:rPr>
        <w:rStyle w:val="SidhuvudUtskott"/>
      </w:rPr>
      <w:fldChar w:fldCharType="begin" w:fldLock="1"/>
    </w:r>
    <w:r w:rsidRPr="00D66F1A">
      <w:rPr>
        <w:rStyle w:val="SidhuvudUtskott"/>
      </w:rPr>
      <w:instrText xml:space="preserve"> DOCPROPERTY BetänkandeÅr</w:instrText>
    </w:r>
    <w:r w:rsidRPr="00D66F1A">
      <w:rPr>
        <w:rStyle w:val="SidhuvudUtskott"/>
      </w:rPr>
      <w:fldChar w:fldCharType="separate"/>
    </w:r>
    <w:r w:rsidRPr="00D66F1A">
      <w:rPr>
        <w:rStyle w:val="SidhuvudUtskott"/>
      </w:rPr>
      <w:t>2004/05</w:t>
    </w:r>
    <w:r w:rsidRPr="00D66F1A">
      <w:rPr>
        <w:rStyle w:val="SidhuvudUtskott"/>
      </w:rPr>
      <w:fldChar w:fldCharType="end"/>
    </w:r>
    <w:r w:rsidRPr="00D66F1A">
      <w:rPr>
        <w:rStyle w:val="SidhuvudUtskott"/>
      </w:rPr>
      <w:t>:</w:t>
    </w:r>
    <w:r w:rsidRPr="00D66F1A">
      <w:rPr>
        <w:rStyle w:val="SidhuvudUtskott"/>
      </w:rPr>
      <w:fldChar w:fldCharType="begin" w:fldLock="1"/>
    </w:r>
    <w:r w:rsidRPr="00D66F1A">
      <w:rPr>
        <w:rStyle w:val="SidhuvudUtskott"/>
      </w:rPr>
      <w:instrText xml:space="preserve"> DOCPROPERTY Utskott</w:instrText>
    </w:r>
    <w:r w:rsidRPr="00D66F1A">
      <w:rPr>
        <w:rStyle w:val="SidhuvudUtskott"/>
      </w:rPr>
      <w:fldChar w:fldCharType="separate"/>
    </w:r>
    <w:r w:rsidRPr="00D66F1A">
      <w:rPr>
        <w:rStyle w:val="SidhuvudUtskott"/>
      </w:rPr>
      <w:t>JuU</w:t>
    </w:r>
    <w:r w:rsidRPr="00D66F1A">
      <w:rPr>
        <w:rStyle w:val="SidhuvudUtskott"/>
      </w:rPr>
      <w:fldChar w:fldCharType="end"/>
    </w:r>
    <w:r w:rsidRPr="00D66F1A">
      <w:rPr>
        <w:rStyle w:val="SidhuvudUtskott"/>
      </w:rPr>
      <w:fldChar w:fldCharType="begin" w:fldLock="1"/>
    </w:r>
    <w:r w:rsidRPr="00D66F1A">
      <w:rPr>
        <w:rStyle w:val="SidhuvudUtskott"/>
      </w:rPr>
      <w:instrText xml:space="preserve"> DOCPROPERTY BetänkandeNr</w:instrText>
    </w:r>
    <w:r w:rsidRPr="00D66F1A">
      <w:rPr>
        <w:rStyle w:val="SidhuvudUtskott"/>
      </w:rPr>
      <w:fldChar w:fldCharType="separate"/>
    </w:r>
    <w:r w:rsidRPr="00D66F1A">
      <w:rPr>
        <w:rStyle w:val="SidhuvudUtskott"/>
      </w:rPr>
      <w:t>1y</w:t>
    </w:r>
    <w:r w:rsidRPr="00D66F1A">
      <w:rPr>
        <w:rStyle w:val="SidhuvudUtskott"/>
      </w:rPr>
      <w:fldChar w:fldCharType="end"/>
    </w:r>
    <w:r w:rsidRPr="00D66F1A">
      <w:t xml:space="preserve">     </w:t>
    </w:r>
    <w:r w:rsidRPr="00D66F1A">
      <w:rPr>
        <w:rStyle w:val="SidhuvudBilaga"/>
      </w:rPr>
      <w:t xml:space="preserve"> </w:t>
    </w:r>
    <w:r w:rsidRPr="00D66F1A">
      <w:rPr>
        <w:rStyle w:val="SidhuvudRubrikReferens"/>
      </w:rPr>
      <w:fldChar w:fldCharType="begin" w:fldLock="1"/>
    </w:r>
    <w:r w:rsidRPr="00D66F1A">
      <w:rPr>
        <w:rStyle w:val="SidhuvudRubrikReferens"/>
      </w:rPr>
      <w:instrText xml:space="preserve"> StyleREF "Rubrik 1" </w:instrText>
    </w:r>
    <w:r w:rsidRPr="00D66F1A">
      <w:rPr>
        <w:rStyle w:val="SidhuvudRubrikReferens"/>
      </w:rPr>
      <w:fldChar w:fldCharType="end"/>
    </w:r>
  </w:p>
  <w:p w:rsidR="008C6089" w:rsidRPr="00D66F1A" w:rsidRDefault="008C6089">
    <w:pPr>
      <w:pStyle w:val="SidhuvudKantJmn"/>
      <w:framePr w:w="8732" w:h="567" w:hRule="exact" w:vSpace="0" w:wrap="around" w:vAnchor="page" w:y="341" w:anchorLock="0"/>
    </w:pPr>
    <w:r w:rsidRPr="00D66F1A">
      <w:rPr>
        <w:rStyle w:val="SidhuvudUtskott"/>
      </w:rPr>
      <w:fldChar w:fldCharType="begin" w:fldLock="1"/>
    </w:r>
    <w:r w:rsidRPr="00D66F1A">
      <w:rPr>
        <w:rStyle w:val="SidhuvudUtskott"/>
      </w:rPr>
      <w:instrText xml:space="preserve"> DOCPROPERTY Status</w:instrText>
    </w:r>
    <w:r w:rsidRPr="00D66F1A">
      <w:rPr>
        <w:rStyle w:val="SidhuvudUtskott"/>
      </w:rPr>
      <w:fldChar w:fldCharType="end"/>
    </w:r>
    <w:r w:rsidRPr="00D66F1A">
      <w:rPr>
        <w:rStyle w:val="SidhuvudUtskott"/>
      </w:rPr>
      <w:fldChar w:fldCharType="begin" w:fldLock="1"/>
    </w:r>
    <w:r w:rsidRPr="00D66F1A">
      <w:rPr>
        <w:rStyle w:val="SidhuvudUtskott"/>
      </w:rPr>
      <w:instrText xml:space="preserve"> if </w:instrText>
    </w:r>
    <w:r w:rsidRPr="00D66F1A">
      <w:rPr>
        <w:rStyle w:val="SidhuvudUtskott"/>
      </w:rPr>
      <w:fldChar w:fldCharType="begin" w:fldLock="1"/>
    </w:r>
    <w:r w:rsidRPr="00D66F1A">
      <w:rPr>
        <w:rStyle w:val="SidhuvudUtskott"/>
      </w:rPr>
      <w:instrText xml:space="preserve"> DOCPROPERTY "UtkastDatum"</w:instrText>
    </w:r>
    <w:r w:rsidRPr="00D66F1A">
      <w:rPr>
        <w:rStyle w:val="SidhuvudUtskott"/>
      </w:rPr>
      <w:fldChar w:fldCharType="separate"/>
    </w:r>
    <w:r w:rsidRPr="00D66F1A">
      <w:rPr>
        <w:rStyle w:val="SidhuvudUtskott"/>
      </w:rPr>
      <w:instrText>Nej</w:instrText>
    </w:r>
    <w:r w:rsidRPr="00D66F1A">
      <w:rPr>
        <w:rStyle w:val="SidhuvudUtskott"/>
      </w:rPr>
      <w:fldChar w:fldCharType="end"/>
    </w:r>
    <w:r w:rsidRPr="00D66F1A">
      <w:rPr>
        <w:rStyle w:val="SidhuvudUtskott"/>
      </w:rPr>
      <w:instrText xml:space="preserve"> = "Ja" "    </w:instrText>
    </w:r>
    <w:r w:rsidRPr="00D66F1A">
      <w:rPr>
        <w:rStyle w:val="SidhuvudUtskott"/>
      </w:rPr>
      <w:fldChar w:fldCharType="begin" w:fldLock="1"/>
    </w:r>
    <w:r w:rsidRPr="00D66F1A">
      <w:rPr>
        <w:rStyle w:val="SidhuvudUtskott"/>
      </w:rPr>
      <w:instrText xml:space="preserve"> PRINTDATE \@ "yyyy-MM-dd HH.mm" </w:instrText>
    </w:r>
    <w:r w:rsidRPr="00D66F1A">
      <w:rPr>
        <w:rStyle w:val="SidhuvudUtskott"/>
      </w:rPr>
      <w:fldChar w:fldCharType="separate"/>
    </w:r>
    <w:r w:rsidRPr="00D66F1A">
      <w:rPr>
        <w:rStyle w:val="SidhuvudUtskott"/>
      </w:rPr>
      <w:instrText>2000-08-11 16.42</w:instrText>
    </w:r>
    <w:r w:rsidRPr="00D66F1A">
      <w:rPr>
        <w:rStyle w:val="SidhuvudUtskott"/>
      </w:rPr>
      <w:fldChar w:fldCharType="end"/>
    </w:r>
    <w:r w:rsidRPr="00D66F1A">
      <w:rPr>
        <w:rStyle w:val="SidhuvudUtskott"/>
      </w:rPr>
      <w:instrText xml:space="preserve">" </w:instrText>
    </w:r>
    <w:r w:rsidRPr="00D66F1A">
      <w:rPr>
        <w:rStyle w:val="SidhuvudUtskott"/>
      </w:rPr>
      <w:fldChar w:fldCharType="end"/>
    </w:r>
  </w:p>
  <w:p w:rsidR="008C6089" w:rsidRPr="00D66F1A" w:rsidRDefault="008C6089">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089" w:rsidRPr="00D66F1A" w:rsidRDefault="008C6089">
    <w:pPr>
      <w:pStyle w:val="SidhuvudKantUdda"/>
      <w:framePr w:w="8732" w:h="567" w:hRule="exact" w:vSpace="0" w:wrap="around" w:vAnchor="page" w:y="341" w:anchorLock="0"/>
    </w:pPr>
    <w:r w:rsidRPr="00D66F1A">
      <w:rPr>
        <w:rStyle w:val="SidhuvudBilaga"/>
      </w:rPr>
      <w:t xml:space="preserve"> </w:t>
    </w:r>
    <w:r w:rsidRPr="00D66F1A">
      <w:t xml:space="preserve">     </w:t>
    </w:r>
    <w:r w:rsidRPr="00D66F1A">
      <w:rPr>
        <w:rStyle w:val="SidhuvudUtskott"/>
      </w:rPr>
      <w:t>2004/05:JuU1y</w:t>
    </w:r>
  </w:p>
  <w:p w:rsidR="008C6089" w:rsidRPr="00D66F1A" w:rsidRDefault="008C6089">
    <w:pPr>
      <w:pStyle w:val="SidhuvudKantUdda"/>
      <w:framePr w:w="8732" w:h="567" w:hRule="exact" w:vSpace="0" w:wrap="around" w:vAnchor="page" w:y="341" w:anchorLock="0"/>
    </w:pPr>
  </w:p>
  <w:p w:rsidR="008C6089" w:rsidRPr="00D66F1A" w:rsidRDefault="008C6089">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089" w:rsidRPr="00D66F1A" w:rsidRDefault="008C6089">
    <w:pPr>
      <w:pStyle w:val="SidhuvudKantJmn"/>
      <w:framePr w:w="8732" w:h="567" w:hRule="exact" w:vSpace="0" w:wrap="around" w:vAnchor="page" w:y="341" w:anchorLock="0"/>
    </w:pPr>
    <w:r w:rsidRPr="00D66F1A">
      <w:fldChar w:fldCharType="begin" w:fldLock="1"/>
    </w:r>
    <w:r w:rsidRPr="00D66F1A">
      <w:instrText xml:space="preserve"> if </w:instrText>
    </w:r>
    <w:r w:rsidRPr="00D66F1A">
      <w:fldChar w:fldCharType="begin" w:fldLock="1"/>
    </w:r>
    <w:r w:rsidRPr="00D66F1A">
      <w:instrText xml:space="preserve"> page</w:instrText>
    </w:r>
    <w:r w:rsidRPr="00D66F1A">
      <w:fldChar w:fldCharType="separate"/>
    </w:r>
    <w:r w:rsidR="00D66F1A">
      <w:rPr>
        <w:noProof/>
      </w:rPr>
      <w:instrText>1</w:instrText>
    </w:r>
    <w:r w:rsidRPr="00D66F1A">
      <w:fldChar w:fldCharType="end"/>
    </w:r>
    <w:r w:rsidRPr="00D66F1A">
      <w:instrText xml:space="preserve"> &gt; 1 "</w:instrText>
    </w:r>
    <w:r w:rsidRPr="00D66F1A">
      <w:fldChar w:fldCharType="begin" w:fldLock="1"/>
    </w:r>
    <w:r w:rsidRPr="00D66F1A">
      <w:instrText xml:space="preserve"> if </w:instrText>
    </w:r>
    <w:r w:rsidRPr="00D66F1A">
      <w:fldChar w:fldCharType="begin" w:fldLock="1"/>
    </w:r>
    <w:r w:rsidRPr="00D66F1A">
      <w:instrText xml:space="preserve"> = </w:instrText>
    </w:r>
    <w:r w:rsidRPr="00D66F1A">
      <w:fldChar w:fldCharType="begin" w:fldLock="1"/>
    </w:r>
    <w:r w:rsidRPr="00D66F1A">
      <w:instrText xml:space="preserve"> = </w:instrText>
    </w:r>
    <w:r w:rsidRPr="00D66F1A">
      <w:fldChar w:fldCharType="begin" w:fldLock="1"/>
    </w:r>
    <w:r w:rsidRPr="00D66F1A">
      <w:instrText xml:space="preserve"> page</w:instrText>
    </w:r>
    <w:r w:rsidRPr="00D66F1A">
      <w:fldChar w:fldCharType="separate"/>
    </w:r>
    <w:r w:rsidRPr="00D66F1A">
      <w:instrText>13</w:instrText>
    </w:r>
    <w:r w:rsidRPr="00D66F1A">
      <w:fldChar w:fldCharType="end"/>
    </w:r>
    <w:r w:rsidRPr="00D66F1A">
      <w:instrText xml:space="preserve">/2 </w:instrText>
    </w:r>
    <w:r w:rsidRPr="00D66F1A">
      <w:fldChar w:fldCharType="separate"/>
    </w:r>
    <w:r w:rsidRPr="00D66F1A">
      <w:instrText>6,5</w:instrText>
    </w:r>
    <w:r w:rsidRPr="00D66F1A">
      <w:fldChar w:fldCharType="end"/>
    </w:r>
    <w:r w:rsidRPr="00D66F1A">
      <w:instrText xml:space="preserve"> - </w:instrText>
    </w:r>
    <w:r w:rsidRPr="00D66F1A">
      <w:fldChar w:fldCharType="begin" w:fldLock="1"/>
    </w:r>
    <w:r w:rsidRPr="00D66F1A">
      <w:instrText xml:space="preserve"> = int(</w:instrText>
    </w:r>
    <w:r w:rsidRPr="00D66F1A">
      <w:fldChar w:fldCharType="begin" w:fldLock="1"/>
    </w:r>
    <w:r w:rsidRPr="00D66F1A">
      <w:instrText xml:space="preserve"> page</w:instrText>
    </w:r>
    <w:r w:rsidRPr="00D66F1A">
      <w:fldChar w:fldCharType="separate"/>
    </w:r>
    <w:r w:rsidRPr="00D66F1A">
      <w:instrText>13</w:instrText>
    </w:r>
    <w:r w:rsidRPr="00D66F1A">
      <w:fldChar w:fldCharType="end"/>
    </w:r>
    <w:r w:rsidRPr="00D66F1A">
      <w:instrText xml:space="preserve">/2) </w:instrText>
    </w:r>
    <w:r w:rsidRPr="00D66F1A">
      <w:fldChar w:fldCharType="separate"/>
    </w:r>
    <w:r w:rsidRPr="00D66F1A">
      <w:instrText>6</w:instrText>
    </w:r>
    <w:r w:rsidRPr="00D66F1A">
      <w:fldChar w:fldCharType="end"/>
    </w:r>
    <w:r w:rsidRPr="00D66F1A">
      <w:fldChar w:fldCharType="separate"/>
    </w:r>
    <w:r w:rsidRPr="00D66F1A">
      <w:instrText>0,5</w:instrText>
    </w:r>
    <w:r w:rsidRPr="00D66F1A">
      <w:fldChar w:fldCharType="end"/>
    </w:r>
    <w:r w:rsidRPr="00D66F1A">
      <w:instrText xml:space="preserve"> = 0 "</w:instrText>
    </w:r>
    <w:r w:rsidRPr="00D66F1A">
      <w:rPr>
        <w:rStyle w:val="SidhuvudUtskott"/>
      </w:rPr>
      <w:fldChar w:fldCharType="begin" w:fldLock="1"/>
    </w:r>
    <w:r w:rsidRPr="00D66F1A">
      <w:rPr>
        <w:rStyle w:val="SidhuvudUtskott"/>
      </w:rPr>
      <w:instrText xml:space="preserve"> DOCPROPERTY BetänkandeÅr</w:instrText>
    </w:r>
    <w:r w:rsidRPr="00D66F1A">
      <w:rPr>
        <w:rStyle w:val="SidhuvudUtskott"/>
      </w:rPr>
      <w:fldChar w:fldCharType="separate"/>
    </w:r>
    <w:r w:rsidRPr="00D66F1A">
      <w:rPr>
        <w:rStyle w:val="SidhuvudUtskott"/>
      </w:rPr>
      <w:instrText>1999/2000</w:instrText>
    </w:r>
    <w:r w:rsidRPr="00D66F1A">
      <w:rPr>
        <w:rStyle w:val="SidhuvudUtskott"/>
      </w:rPr>
      <w:fldChar w:fldCharType="end"/>
    </w:r>
    <w:r w:rsidRPr="00D66F1A">
      <w:rPr>
        <w:rStyle w:val="SidhuvudUtskott"/>
      </w:rPr>
      <w:instrText>:</w:instrText>
    </w:r>
    <w:r w:rsidRPr="00D66F1A">
      <w:rPr>
        <w:rStyle w:val="SidhuvudUtskott"/>
      </w:rPr>
      <w:fldChar w:fldCharType="begin" w:fldLock="1"/>
    </w:r>
    <w:r w:rsidRPr="00D66F1A">
      <w:rPr>
        <w:rStyle w:val="SidhuvudUtskott"/>
      </w:rPr>
      <w:instrText xml:space="preserve"> DOCPR</w:instrText>
    </w:r>
    <w:r w:rsidRPr="00D66F1A">
      <w:rPr>
        <w:rStyle w:val="SidhuvudUtskott"/>
      </w:rPr>
      <w:instrText>O</w:instrText>
    </w:r>
    <w:r w:rsidRPr="00D66F1A">
      <w:rPr>
        <w:rStyle w:val="SidhuvudUtskott"/>
      </w:rPr>
      <w:instrText>PE</w:instrText>
    </w:r>
    <w:r w:rsidRPr="00D66F1A">
      <w:rPr>
        <w:rStyle w:val="SidhuvudUtskott"/>
      </w:rPr>
      <w:instrText>R</w:instrText>
    </w:r>
    <w:r w:rsidRPr="00D66F1A">
      <w:rPr>
        <w:rStyle w:val="SidhuvudUtskott"/>
      </w:rPr>
      <w:instrText>TY Utskott</w:instrText>
    </w:r>
    <w:r w:rsidRPr="00D66F1A">
      <w:rPr>
        <w:rStyle w:val="SidhuvudUtskott"/>
      </w:rPr>
      <w:fldChar w:fldCharType="separate"/>
    </w:r>
    <w:r w:rsidRPr="00D66F1A">
      <w:rPr>
        <w:rStyle w:val="SidhuvudUtskott"/>
      </w:rPr>
      <w:instrText>BoU</w:instrText>
    </w:r>
    <w:r w:rsidRPr="00D66F1A">
      <w:rPr>
        <w:rStyle w:val="SidhuvudUtskott"/>
      </w:rPr>
      <w:fldChar w:fldCharType="end"/>
    </w:r>
    <w:r w:rsidRPr="00D66F1A">
      <w:rPr>
        <w:rStyle w:val="SidhuvudUtskott"/>
      </w:rPr>
      <w:fldChar w:fldCharType="begin" w:fldLock="1"/>
    </w:r>
    <w:r w:rsidRPr="00D66F1A">
      <w:rPr>
        <w:rStyle w:val="SidhuvudUtskott"/>
      </w:rPr>
      <w:instrText xml:space="preserve"> DOCPROPERTY BetänkandeNr</w:instrText>
    </w:r>
    <w:r w:rsidRPr="00D66F1A">
      <w:rPr>
        <w:rStyle w:val="SidhuvudUtskott"/>
      </w:rPr>
      <w:fldChar w:fldCharType="separate"/>
    </w:r>
    <w:r w:rsidRPr="00D66F1A">
      <w:rPr>
        <w:rStyle w:val="SidhuvudUtskott"/>
      </w:rPr>
      <w:instrText>6678</w:instrText>
    </w:r>
    <w:r w:rsidRPr="00D66F1A">
      <w:rPr>
        <w:rStyle w:val="SidhuvudUtskott"/>
      </w:rPr>
      <w:fldChar w:fldCharType="end"/>
    </w:r>
    <w:r w:rsidRPr="00D66F1A">
      <w:instrText xml:space="preserve">    </w:instrText>
    </w:r>
  </w:p>
  <w:p w:rsidR="008C6089" w:rsidRPr="00D66F1A" w:rsidRDefault="008C6089">
    <w:pPr>
      <w:pStyle w:val="SidhuvudKantJmn"/>
      <w:framePr w:w="8732" w:h="567" w:hRule="exact" w:vSpace="0" w:wrap="around" w:vAnchor="page" w:y="341" w:anchorLock="0"/>
    </w:pPr>
    <w:r w:rsidRPr="00D66F1A">
      <w:rPr>
        <w:rStyle w:val="SidhuvudUtskott"/>
      </w:rPr>
      <w:fldChar w:fldCharType="begin" w:fldLock="1"/>
    </w:r>
    <w:r w:rsidRPr="00D66F1A">
      <w:rPr>
        <w:rStyle w:val="SidhuvudUtskott"/>
      </w:rPr>
      <w:instrText xml:space="preserve"> DOCPROPERTY Status</w:instrText>
    </w:r>
    <w:r w:rsidRPr="00D66F1A">
      <w:rPr>
        <w:rStyle w:val="SidhuvudUtskott"/>
      </w:rPr>
      <w:fldChar w:fldCharType="separate"/>
    </w:r>
    <w:r w:rsidRPr="00D66F1A">
      <w:rPr>
        <w:rStyle w:val="SidhuvudUtskott"/>
      </w:rPr>
      <w:instrText>Utkast</w:instrText>
    </w:r>
    <w:r w:rsidRPr="00D66F1A">
      <w:rPr>
        <w:rStyle w:val="SidhuvudUtskott"/>
      </w:rPr>
      <w:fldChar w:fldCharType="end"/>
    </w:r>
    <w:r w:rsidRPr="00D66F1A">
      <w:rPr>
        <w:rStyle w:val="SidhuvudUtskott"/>
      </w:rPr>
      <w:fldChar w:fldCharType="begin" w:fldLock="1"/>
    </w:r>
    <w:r w:rsidRPr="00D66F1A">
      <w:rPr>
        <w:rStyle w:val="SidhuvudUtskott"/>
      </w:rPr>
      <w:instrText xml:space="preserve"> if </w:instrText>
    </w:r>
    <w:r w:rsidRPr="00D66F1A">
      <w:rPr>
        <w:rStyle w:val="SidhuvudUtskott"/>
      </w:rPr>
      <w:fldChar w:fldCharType="begin" w:fldLock="1"/>
    </w:r>
    <w:r w:rsidRPr="00D66F1A">
      <w:rPr>
        <w:rStyle w:val="SidhuvudUtskott"/>
      </w:rPr>
      <w:instrText xml:space="preserve"> DOCPROPERTY "UtkastDatum"</w:instrText>
    </w:r>
    <w:r w:rsidRPr="00D66F1A">
      <w:rPr>
        <w:rStyle w:val="SidhuvudUtskott"/>
      </w:rPr>
      <w:fldChar w:fldCharType="separate"/>
    </w:r>
    <w:r w:rsidRPr="00D66F1A">
      <w:rPr>
        <w:rStyle w:val="SidhuvudUtskott"/>
      </w:rPr>
      <w:instrText>Nej</w:instrText>
    </w:r>
    <w:r w:rsidRPr="00D66F1A">
      <w:rPr>
        <w:rStyle w:val="SidhuvudUtskott"/>
      </w:rPr>
      <w:fldChar w:fldCharType="end"/>
    </w:r>
    <w:r w:rsidRPr="00D66F1A">
      <w:rPr>
        <w:rStyle w:val="SidhuvudUtskott"/>
      </w:rPr>
      <w:instrText xml:space="preserve"> = "Ja" "    </w:instrText>
    </w:r>
    <w:r w:rsidRPr="00D66F1A">
      <w:rPr>
        <w:rStyle w:val="SidhuvudUtskott"/>
      </w:rPr>
      <w:fldChar w:fldCharType="begin" w:fldLock="1"/>
    </w:r>
    <w:r w:rsidRPr="00D66F1A">
      <w:rPr>
        <w:rStyle w:val="SidhuvudUtskott"/>
      </w:rPr>
      <w:instrText xml:space="preserve"> PRINTDATE \@ "yyyy-MM-dd HH.mm" </w:instrText>
    </w:r>
    <w:r w:rsidRPr="00D66F1A">
      <w:rPr>
        <w:rStyle w:val="SidhuvudUtskott"/>
      </w:rPr>
      <w:fldChar w:fldCharType="separate"/>
    </w:r>
    <w:r w:rsidRPr="00D66F1A">
      <w:rPr>
        <w:rStyle w:val="SidhuvudUtskott"/>
      </w:rPr>
      <w:instrText>2000-08-11 16.42</w:instrText>
    </w:r>
    <w:r w:rsidRPr="00D66F1A">
      <w:rPr>
        <w:rStyle w:val="SidhuvudUtskott"/>
      </w:rPr>
      <w:fldChar w:fldCharType="end"/>
    </w:r>
    <w:r w:rsidRPr="00D66F1A">
      <w:rPr>
        <w:rStyle w:val="SidhuvudUtskott"/>
      </w:rPr>
      <w:instrText xml:space="preserve">" </w:instrText>
    </w:r>
    <w:r w:rsidRPr="00D66F1A">
      <w:rPr>
        <w:rStyle w:val="SidhuvudUtskott"/>
      </w:rPr>
      <w:fldChar w:fldCharType="separate"/>
    </w:r>
    <w:r w:rsidRPr="00D66F1A">
      <w:rPr>
        <w:rStyle w:val="SidhuvudUtskott"/>
      </w:rPr>
      <w:fldChar w:fldCharType="end"/>
    </w:r>
  </w:p>
  <w:p w:rsidR="008C6089" w:rsidRPr="00D66F1A" w:rsidRDefault="008C6089">
    <w:pPr>
      <w:pStyle w:val="SidhuvudKantUdda"/>
      <w:framePr w:w="8732" w:h="567" w:hRule="exact" w:vSpace="0" w:wrap="around" w:vAnchor="page" w:y="341" w:anchorLock="0"/>
    </w:pPr>
    <w:r w:rsidRPr="00D66F1A">
      <w:rPr>
        <w:rStyle w:val="SidhuvudRubrikReferens"/>
        <w:smallCaps w:val="0"/>
      </w:rPr>
      <w:instrText xml:space="preserve"> </w:instrText>
    </w:r>
    <w:r w:rsidRPr="00D66F1A">
      <w:instrText xml:space="preserve">"  "  </w:instrText>
    </w:r>
    <w:r w:rsidRPr="00D66F1A">
      <w:rPr>
        <w:rStyle w:val="SidhuvudUtskott"/>
      </w:rPr>
      <w:fldChar w:fldCharType="begin" w:fldLock="1"/>
    </w:r>
    <w:r w:rsidRPr="00D66F1A">
      <w:rPr>
        <w:rStyle w:val="SidhuvudUtskott"/>
      </w:rPr>
      <w:instrText xml:space="preserve"> DOCPROPERTY BetänkandeÅr</w:instrText>
    </w:r>
    <w:r w:rsidRPr="00D66F1A">
      <w:rPr>
        <w:rStyle w:val="SidhuvudUtskott"/>
      </w:rPr>
      <w:fldChar w:fldCharType="separate"/>
    </w:r>
    <w:r w:rsidRPr="00D66F1A">
      <w:rPr>
        <w:rStyle w:val="SidhuvudUtskott"/>
      </w:rPr>
      <w:instrText>2004/05</w:instrText>
    </w:r>
    <w:r w:rsidRPr="00D66F1A">
      <w:rPr>
        <w:rStyle w:val="SidhuvudUtskott"/>
      </w:rPr>
      <w:fldChar w:fldCharType="end"/>
    </w:r>
    <w:r w:rsidRPr="00D66F1A">
      <w:rPr>
        <w:rStyle w:val="SidhuvudUtskott"/>
      </w:rPr>
      <w:instrText>:</w:instrText>
    </w:r>
    <w:r w:rsidRPr="00D66F1A">
      <w:rPr>
        <w:rStyle w:val="SidhuvudUtskott"/>
      </w:rPr>
      <w:fldChar w:fldCharType="begin" w:fldLock="1"/>
    </w:r>
    <w:r w:rsidRPr="00D66F1A">
      <w:rPr>
        <w:rStyle w:val="SidhuvudUtskott"/>
      </w:rPr>
      <w:instrText xml:space="preserve"> DOCPROPERTY Utskott</w:instrText>
    </w:r>
    <w:r w:rsidRPr="00D66F1A">
      <w:rPr>
        <w:rStyle w:val="SidhuvudUtskott"/>
      </w:rPr>
      <w:fldChar w:fldCharType="separate"/>
    </w:r>
    <w:r w:rsidRPr="00D66F1A">
      <w:rPr>
        <w:rStyle w:val="SidhuvudUtskott"/>
      </w:rPr>
      <w:instrText>JuU</w:instrText>
    </w:r>
    <w:r w:rsidRPr="00D66F1A">
      <w:rPr>
        <w:rStyle w:val="SidhuvudUtskott"/>
      </w:rPr>
      <w:fldChar w:fldCharType="end"/>
    </w:r>
    <w:r w:rsidRPr="00D66F1A">
      <w:rPr>
        <w:rStyle w:val="SidhuvudUtskott"/>
      </w:rPr>
      <w:fldChar w:fldCharType="begin" w:fldLock="1"/>
    </w:r>
    <w:r w:rsidRPr="00D66F1A">
      <w:rPr>
        <w:rStyle w:val="SidhuvudUtskott"/>
      </w:rPr>
      <w:instrText xml:space="preserve"> DOCPROPERTY BetänkandeNr</w:instrText>
    </w:r>
    <w:r w:rsidRPr="00D66F1A">
      <w:rPr>
        <w:rStyle w:val="SidhuvudUtskott"/>
      </w:rPr>
      <w:fldChar w:fldCharType="separate"/>
    </w:r>
    <w:r w:rsidRPr="00D66F1A">
      <w:rPr>
        <w:rStyle w:val="SidhuvudUtskott"/>
      </w:rPr>
      <w:instrText>1y</w:instrText>
    </w:r>
    <w:r w:rsidRPr="00D66F1A">
      <w:rPr>
        <w:rStyle w:val="SidhuvudUtskott"/>
      </w:rPr>
      <w:fldChar w:fldCharType="end"/>
    </w:r>
  </w:p>
  <w:p w:rsidR="008C6089" w:rsidRPr="00D66F1A" w:rsidRDefault="008C6089">
    <w:pPr>
      <w:pStyle w:val="SidhuvudKantUdda"/>
      <w:framePr w:w="8732" w:h="567" w:hRule="exact" w:vSpace="0" w:wrap="around" w:vAnchor="page" w:y="341" w:anchorLock="0"/>
    </w:pPr>
    <w:r w:rsidRPr="00D66F1A">
      <w:rPr>
        <w:rStyle w:val="SidhuvudUtskott"/>
      </w:rPr>
      <w:fldChar w:fldCharType="begin" w:fldLock="1"/>
    </w:r>
    <w:r w:rsidRPr="00D66F1A">
      <w:rPr>
        <w:rStyle w:val="SidhuvudUtskott"/>
      </w:rPr>
      <w:instrText xml:space="preserve"> if </w:instrText>
    </w:r>
    <w:r w:rsidRPr="00D66F1A">
      <w:rPr>
        <w:rStyle w:val="SidhuvudUtskott"/>
      </w:rPr>
      <w:fldChar w:fldCharType="begin" w:fldLock="1"/>
    </w:r>
    <w:r w:rsidRPr="00D66F1A">
      <w:rPr>
        <w:rStyle w:val="SidhuvudUtskott"/>
      </w:rPr>
      <w:instrText xml:space="preserve"> DOCPROPERTY "UtkastDatum"</w:instrText>
    </w:r>
    <w:r w:rsidRPr="00D66F1A">
      <w:rPr>
        <w:rStyle w:val="SidhuvudUtskott"/>
      </w:rPr>
      <w:fldChar w:fldCharType="separate"/>
    </w:r>
    <w:r w:rsidRPr="00D66F1A">
      <w:rPr>
        <w:rStyle w:val="SidhuvudUtskott"/>
      </w:rPr>
      <w:instrText>Nej</w:instrText>
    </w:r>
    <w:r w:rsidRPr="00D66F1A">
      <w:rPr>
        <w:rStyle w:val="SidhuvudUtskott"/>
      </w:rPr>
      <w:fldChar w:fldCharType="end"/>
    </w:r>
    <w:r w:rsidRPr="00D66F1A">
      <w:rPr>
        <w:rStyle w:val="SidhuvudUtskott"/>
      </w:rPr>
      <w:instrText xml:space="preserve"> = "Ja" "</w:instrText>
    </w:r>
    <w:r w:rsidRPr="00D66F1A">
      <w:rPr>
        <w:rStyle w:val="SidhuvudUtskott"/>
      </w:rPr>
      <w:fldChar w:fldCharType="begin" w:fldLock="1"/>
    </w:r>
    <w:r w:rsidRPr="00D66F1A">
      <w:rPr>
        <w:rStyle w:val="SidhuvudUtskott"/>
      </w:rPr>
      <w:instrText xml:space="preserve"> PRINTDATE \@ "yyyy-MM-dd HH.mm    " </w:instrText>
    </w:r>
    <w:r w:rsidRPr="00D66F1A">
      <w:rPr>
        <w:rStyle w:val="SidhuvudUtskott"/>
      </w:rPr>
      <w:fldChar w:fldCharType="separate"/>
    </w:r>
    <w:r w:rsidRPr="00D66F1A">
      <w:rPr>
        <w:rStyle w:val="SidhuvudUtskott"/>
      </w:rPr>
      <w:instrText>2000-08-11 16.42</w:instrText>
    </w:r>
    <w:r w:rsidRPr="00D66F1A">
      <w:rPr>
        <w:rStyle w:val="SidhuvudUtskott"/>
      </w:rPr>
      <w:fldChar w:fldCharType="end"/>
    </w:r>
    <w:r w:rsidRPr="00D66F1A">
      <w:rPr>
        <w:rStyle w:val="SidhuvudUtskott"/>
      </w:rPr>
      <w:instrText xml:space="preserve">" </w:instrText>
    </w:r>
    <w:r w:rsidRPr="00D66F1A">
      <w:rPr>
        <w:rStyle w:val="SidhuvudUtskott"/>
      </w:rPr>
      <w:fldChar w:fldCharType="end"/>
    </w:r>
    <w:r w:rsidRPr="00D66F1A">
      <w:rPr>
        <w:rStyle w:val="SidhuvudUtskott"/>
      </w:rPr>
      <w:fldChar w:fldCharType="begin" w:fldLock="1"/>
    </w:r>
    <w:r w:rsidRPr="00D66F1A">
      <w:rPr>
        <w:rStyle w:val="SidhuvudUtskott"/>
      </w:rPr>
      <w:instrText xml:space="preserve"> DOCPR</w:instrText>
    </w:r>
    <w:r w:rsidRPr="00D66F1A">
      <w:rPr>
        <w:rStyle w:val="SidhuvudUtskott"/>
      </w:rPr>
      <w:instrText>O</w:instrText>
    </w:r>
    <w:r w:rsidRPr="00D66F1A">
      <w:rPr>
        <w:rStyle w:val="SidhuvudUtskott"/>
      </w:rPr>
      <w:instrText>PERTY Status</w:instrText>
    </w:r>
    <w:r w:rsidRPr="00D66F1A">
      <w:rPr>
        <w:rStyle w:val="SidhuvudUtskott"/>
      </w:rPr>
      <w:fldChar w:fldCharType="end"/>
    </w:r>
    <w:r w:rsidRPr="00D66F1A">
      <w:instrText>"</w:instrText>
    </w:r>
    <w:r w:rsidRPr="00D66F1A">
      <w:fldChar w:fldCharType="separate"/>
    </w:r>
    <w:r w:rsidRPr="00D66F1A">
      <w:instrText xml:space="preserve">  </w:instrText>
    </w:r>
    <w:r w:rsidRPr="00D66F1A">
      <w:rPr>
        <w:rStyle w:val="SidhuvudUtskott"/>
      </w:rPr>
      <w:instrText>2004/05:JuU1y</w:instrText>
    </w:r>
  </w:p>
  <w:p w:rsidR="008C6089" w:rsidRPr="00D66F1A" w:rsidRDefault="008C6089">
    <w:pPr>
      <w:pStyle w:val="SidhuvudKantUdda"/>
      <w:framePr w:w="8732" w:h="567" w:hRule="exact" w:vSpace="0" w:wrap="around" w:vAnchor="page" w:y="341" w:anchorLock="0"/>
    </w:pPr>
    <w:r w:rsidRPr="00D66F1A">
      <w:fldChar w:fldCharType="end"/>
    </w:r>
    <w:r w:rsidRPr="00D66F1A">
      <w:instrText>" " "</w:instrText>
    </w:r>
    <w:r w:rsidR="00E44B1F" w:rsidRPr="00D66F1A">
      <w:fldChar w:fldCharType="separate"/>
    </w:r>
    <w:r w:rsidR="00D66F1A" w:rsidRPr="00D66F1A">
      <w:rPr>
        <w:noProof/>
      </w:rPr>
      <w:t xml:space="preserve"> </w:t>
    </w:r>
    <w:r w:rsidRPr="00D66F1A">
      <w:fldChar w:fldCharType="end"/>
    </w:r>
  </w:p>
  <w:p w:rsidR="008C6089" w:rsidRPr="00D66F1A" w:rsidRDefault="008C6089">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089" w:rsidRPr="00D66F1A" w:rsidRDefault="008C6089">
    <w:pPr>
      <w:pStyle w:val="SidhuvudKantJmn"/>
      <w:framePr w:w="8732" w:h="567" w:hRule="exact" w:vSpace="0" w:wrap="around" w:vAnchor="page" w:y="341" w:anchorLock="0"/>
    </w:pPr>
    <w:r w:rsidRPr="00D66F1A">
      <w:rPr>
        <w:rStyle w:val="SidhuvudUtskott"/>
      </w:rPr>
      <w:t>2004/05:JuU1y</w:t>
    </w:r>
    <w:r w:rsidRPr="00D66F1A">
      <w:t xml:space="preserve">     </w:t>
    </w:r>
    <w:r w:rsidRPr="00D66F1A">
      <w:rPr>
        <w:rStyle w:val="SidhuvudBilaga"/>
      </w:rPr>
      <w:t xml:space="preserve"> </w:t>
    </w:r>
  </w:p>
  <w:p w:rsidR="008C6089" w:rsidRPr="00D66F1A" w:rsidRDefault="008C6089">
    <w:pPr>
      <w:pStyle w:val="SidhuvudKantJmn"/>
      <w:framePr w:w="8732" w:h="567" w:hRule="exact" w:vSpace="0" w:wrap="around" w:vAnchor="page" w:y="341" w:anchorLock="0"/>
    </w:pPr>
  </w:p>
  <w:p w:rsidR="008C6089" w:rsidRPr="00D66F1A" w:rsidRDefault="008C6089">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089" w:rsidRPr="00D66F1A" w:rsidRDefault="008C6089">
    <w:pPr>
      <w:pStyle w:val="SidhuvudKantUdda"/>
      <w:framePr w:w="8732" w:h="567" w:hRule="exact" w:vSpace="0" w:wrap="around" w:vAnchor="page" w:y="341" w:anchorLock="0"/>
    </w:pPr>
    <w:r w:rsidRPr="00D66F1A">
      <w:rPr>
        <w:rStyle w:val="SidhuvudBilaga"/>
      </w:rPr>
      <w:t xml:space="preserve"> </w:t>
    </w:r>
    <w:r w:rsidRPr="00D66F1A">
      <w:t xml:space="preserve">     </w:t>
    </w:r>
    <w:r w:rsidRPr="00D66F1A">
      <w:rPr>
        <w:rStyle w:val="SidhuvudUtskott"/>
      </w:rPr>
      <w:t>2004/05:JuU1y</w:t>
    </w:r>
  </w:p>
  <w:p w:rsidR="008C6089" w:rsidRPr="00D66F1A" w:rsidRDefault="008C6089">
    <w:pPr>
      <w:pStyle w:val="SidhuvudKantUdda"/>
      <w:framePr w:w="8732" w:h="567" w:hRule="exact" w:vSpace="0" w:wrap="around" w:vAnchor="page" w:y="341" w:anchorLock="0"/>
    </w:pPr>
  </w:p>
  <w:p w:rsidR="008C6089" w:rsidRPr="00D66F1A" w:rsidRDefault="008C6089">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B1F" w:rsidRPr="00D66F1A" w:rsidRDefault="00E44B1F">
    <w:pPr>
      <w:pStyle w:val="SidhuvudKantJmn"/>
      <w:framePr w:w="8732" w:h="567" w:hRule="exact" w:vSpace="0" w:wrap="around" w:vAnchor="page" w:y="341" w:anchorLock="0"/>
    </w:pPr>
    <w:r w:rsidRPr="00D66F1A">
      <w:rPr>
        <w:rStyle w:val="SidhuvudUtskott"/>
      </w:rPr>
      <w:t>2004/05:JuU1y</w:t>
    </w:r>
    <w:r w:rsidRPr="00D66F1A">
      <w:t xml:space="preserve">    </w:t>
    </w:r>
  </w:p>
  <w:p w:rsidR="00E44B1F" w:rsidRPr="00D66F1A" w:rsidRDefault="00E44B1F">
    <w:pPr>
      <w:pStyle w:val="SidhuvudKantJmn"/>
      <w:framePr w:w="8732" w:h="567" w:hRule="exact" w:vSpace="0" w:wrap="around" w:vAnchor="page" w:y="341" w:anchorLock="0"/>
    </w:pPr>
  </w:p>
  <w:p w:rsidR="008C6089" w:rsidRPr="00D66F1A" w:rsidRDefault="00E44B1F">
    <w:pPr>
      <w:pStyle w:val="SidhuvudKantUdda"/>
      <w:framePr w:w="8732" w:h="567" w:hRule="exact" w:vSpace="0" w:wrap="around" w:vAnchor="page" w:y="341" w:anchorLock="0"/>
    </w:pPr>
    <w:r w:rsidRPr="00D66F1A">
      <w:rPr>
        <w:rStyle w:val="SidhuvudRubrikReferens"/>
        <w:smallCaps w:val="0"/>
      </w:rPr>
      <w:t xml:space="preserve"> </w:t>
    </w:r>
  </w:p>
  <w:p w:rsidR="008C6089" w:rsidRPr="00D66F1A" w:rsidRDefault="008C6089">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089" w:rsidRPr="00D66F1A" w:rsidRDefault="008C6089">
    <w:pPr>
      <w:pStyle w:val="SidhuvudKantJmn"/>
      <w:framePr w:w="8732" w:h="567" w:hRule="exact" w:vSpace="0" w:wrap="around" w:vAnchor="page" w:y="341" w:anchorLock="0"/>
    </w:pPr>
    <w:r w:rsidRPr="00D66F1A">
      <w:rPr>
        <w:rStyle w:val="SidhuvudUtskott"/>
      </w:rPr>
      <w:fldChar w:fldCharType="begin" w:fldLock="1"/>
    </w:r>
    <w:r w:rsidRPr="00D66F1A">
      <w:rPr>
        <w:rStyle w:val="SidhuvudUtskott"/>
      </w:rPr>
      <w:instrText xml:space="preserve"> DOCPROPERTY BetänkandeÅr</w:instrText>
    </w:r>
    <w:r w:rsidRPr="00D66F1A">
      <w:rPr>
        <w:rStyle w:val="SidhuvudUtskott"/>
      </w:rPr>
      <w:fldChar w:fldCharType="separate"/>
    </w:r>
    <w:r w:rsidRPr="00D66F1A">
      <w:rPr>
        <w:rStyle w:val="SidhuvudUtskott"/>
      </w:rPr>
      <w:t>2004/05</w:t>
    </w:r>
    <w:r w:rsidRPr="00D66F1A">
      <w:rPr>
        <w:rStyle w:val="SidhuvudUtskott"/>
      </w:rPr>
      <w:fldChar w:fldCharType="end"/>
    </w:r>
    <w:r w:rsidRPr="00D66F1A">
      <w:rPr>
        <w:rStyle w:val="SidhuvudUtskott"/>
      </w:rPr>
      <w:t>:</w:t>
    </w:r>
    <w:r w:rsidRPr="00D66F1A">
      <w:rPr>
        <w:rStyle w:val="SidhuvudUtskott"/>
      </w:rPr>
      <w:fldChar w:fldCharType="begin" w:fldLock="1"/>
    </w:r>
    <w:r w:rsidRPr="00D66F1A">
      <w:rPr>
        <w:rStyle w:val="SidhuvudUtskott"/>
      </w:rPr>
      <w:instrText xml:space="preserve"> DOCPROPERTY Utskott</w:instrText>
    </w:r>
    <w:r w:rsidRPr="00D66F1A">
      <w:rPr>
        <w:rStyle w:val="SidhuvudUtskott"/>
      </w:rPr>
      <w:fldChar w:fldCharType="separate"/>
    </w:r>
    <w:r w:rsidRPr="00D66F1A">
      <w:rPr>
        <w:rStyle w:val="SidhuvudUtskott"/>
      </w:rPr>
      <w:t>JuU</w:t>
    </w:r>
    <w:r w:rsidRPr="00D66F1A">
      <w:rPr>
        <w:rStyle w:val="SidhuvudUtskott"/>
      </w:rPr>
      <w:fldChar w:fldCharType="end"/>
    </w:r>
    <w:r w:rsidRPr="00D66F1A">
      <w:rPr>
        <w:rStyle w:val="SidhuvudUtskott"/>
      </w:rPr>
      <w:fldChar w:fldCharType="begin" w:fldLock="1"/>
    </w:r>
    <w:r w:rsidRPr="00D66F1A">
      <w:rPr>
        <w:rStyle w:val="SidhuvudUtskott"/>
      </w:rPr>
      <w:instrText xml:space="preserve"> DOCPROPERTY BetänkandeNr</w:instrText>
    </w:r>
    <w:r w:rsidRPr="00D66F1A">
      <w:rPr>
        <w:rStyle w:val="SidhuvudUtskott"/>
      </w:rPr>
      <w:fldChar w:fldCharType="separate"/>
    </w:r>
    <w:r w:rsidRPr="00D66F1A">
      <w:rPr>
        <w:rStyle w:val="SidhuvudUtskott"/>
      </w:rPr>
      <w:t>1y</w:t>
    </w:r>
    <w:r w:rsidRPr="00D66F1A">
      <w:rPr>
        <w:rStyle w:val="SidhuvudUtskott"/>
      </w:rPr>
      <w:fldChar w:fldCharType="end"/>
    </w:r>
    <w:r w:rsidRPr="00D66F1A">
      <w:t xml:space="preserve">     </w:t>
    </w:r>
    <w:r w:rsidRPr="00D66F1A">
      <w:rPr>
        <w:rStyle w:val="SidhuvudBilaga"/>
      </w:rPr>
      <w:t xml:space="preserve"> </w:t>
    </w:r>
    <w:r w:rsidRPr="00D66F1A">
      <w:rPr>
        <w:rStyle w:val="SidhuvudRubrikReferens"/>
      </w:rPr>
      <w:fldChar w:fldCharType="begin" w:fldLock="1"/>
    </w:r>
    <w:r w:rsidRPr="00D66F1A">
      <w:rPr>
        <w:rStyle w:val="SidhuvudRubrikReferens"/>
      </w:rPr>
      <w:instrText xml:space="preserve"> StyleREF "Rubrik 1" </w:instrText>
    </w:r>
    <w:r w:rsidRPr="00D66F1A">
      <w:rPr>
        <w:rStyle w:val="SidhuvudRubrikReferens"/>
      </w:rPr>
      <w:fldChar w:fldCharType="end"/>
    </w:r>
  </w:p>
  <w:p w:rsidR="008C6089" w:rsidRPr="00D66F1A" w:rsidRDefault="008C6089">
    <w:pPr>
      <w:pStyle w:val="SidhuvudKantJmn"/>
      <w:framePr w:w="8732" w:h="567" w:hRule="exact" w:vSpace="0" w:wrap="around" w:vAnchor="page" w:y="341" w:anchorLock="0"/>
    </w:pPr>
    <w:r w:rsidRPr="00D66F1A">
      <w:rPr>
        <w:rStyle w:val="SidhuvudUtskott"/>
      </w:rPr>
      <w:fldChar w:fldCharType="begin" w:fldLock="1"/>
    </w:r>
    <w:r w:rsidRPr="00D66F1A">
      <w:rPr>
        <w:rStyle w:val="SidhuvudUtskott"/>
      </w:rPr>
      <w:instrText xml:space="preserve"> DOCPROPERTY Status</w:instrText>
    </w:r>
    <w:r w:rsidRPr="00D66F1A">
      <w:rPr>
        <w:rStyle w:val="SidhuvudUtskott"/>
      </w:rPr>
      <w:fldChar w:fldCharType="end"/>
    </w:r>
    <w:r w:rsidRPr="00D66F1A">
      <w:rPr>
        <w:rStyle w:val="SidhuvudUtskott"/>
      </w:rPr>
      <w:fldChar w:fldCharType="begin" w:fldLock="1"/>
    </w:r>
    <w:r w:rsidRPr="00D66F1A">
      <w:rPr>
        <w:rStyle w:val="SidhuvudUtskott"/>
      </w:rPr>
      <w:instrText xml:space="preserve"> if </w:instrText>
    </w:r>
    <w:r w:rsidRPr="00D66F1A">
      <w:rPr>
        <w:rStyle w:val="SidhuvudUtskott"/>
      </w:rPr>
      <w:fldChar w:fldCharType="begin" w:fldLock="1"/>
    </w:r>
    <w:r w:rsidRPr="00D66F1A">
      <w:rPr>
        <w:rStyle w:val="SidhuvudUtskott"/>
      </w:rPr>
      <w:instrText xml:space="preserve"> DOCPROPERTY "UtkastDatum"</w:instrText>
    </w:r>
    <w:r w:rsidRPr="00D66F1A">
      <w:rPr>
        <w:rStyle w:val="SidhuvudUtskott"/>
      </w:rPr>
      <w:fldChar w:fldCharType="separate"/>
    </w:r>
    <w:r w:rsidRPr="00D66F1A">
      <w:rPr>
        <w:rStyle w:val="SidhuvudUtskott"/>
      </w:rPr>
      <w:instrText>Nej</w:instrText>
    </w:r>
    <w:r w:rsidRPr="00D66F1A">
      <w:rPr>
        <w:rStyle w:val="SidhuvudUtskott"/>
      </w:rPr>
      <w:fldChar w:fldCharType="end"/>
    </w:r>
    <w:r w:rsidRPr="00D66F1A">
      <w:rPr>
        <w:rStyle w:val="SidhuvudUtskott"/>
      </w:rPr>
      <w:instrText xml:space="preserve"> = "Ja" "    </w:instrText>
    </w:r>
    <w:r w:rsidRPr="00D66F1A">
      <w:rPr>
        <w:rStyle w:val="SidhuvudUtskott"/>
      </w:rPr>
      <w:fldChar w:fldCharType="begin" w:fldLock="1"/>
    </w:r>
    <w:r w:rsidRPr="00D66F1A">
      <w:rPr>
        <w:rStyle w:val="SidhuvudUtskott"/>
      </w:rPr>
      <w:instrText xml:space="preserve"> PRINTDATE \@ "yyyy-MM-dd HH.mm" </w:instrText>
    </w:r>
    <w:r w:rsidRPr="00D66F1A">
      <w:rPr>
        <w:rStyle w:val="SidhuvudUtskott"/>
      </w:rPr>
      <w:fldChar w:fldCharType="separate"/>
    </w:r>
    <w:r w:rsidRPr="00D66F1A">
      <w:rPr>
        <w:rStyle w:val="SidhuvudUtskott"/>
      </w:rPr>
      <w:instrText>2000-08-11 16.42</w:instrText>
    </w:r>
    <w:r w:rsidRPr="00D66F1A">
      <w:rPr>
        <w:rStyle w:val="SidhuvudUtskott"/>
      </w:rPr>
      <w:fldChar w:fldCharType="end"/>
    </w:r>
    <w:r w:rsidRPr="00D66F1A">
      <w:rPr>
        <w:rStyle w:val="SidhuvudUtskott"/>
      </w:rPr>
      <w:instrText xml:space="preserve">" </w:instrText>
    </w:r>
    <w:r w:rsidRPr="00D66F1A">
      <w:rPr>
        <w:rStyle w:val="SidhuvudUtskott"/>
      </w:rPr>
      <w:fldChar w:fldCharType="end"/>
    </w:r>
  </w:p>
  <w:p w:rsidR="008C6089" w:rsidRPr="00D66F1A" w:rsidRDefault="008C6089">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089" w:rsidRPr="00D66F1A" w:rsidRDefault="008C6089">
    <w:pPr>
      <w:pStyle w:val="SidhuvudKantUdda"/>
      <w:framePr w:w="8732" w:h="567" w:hRule="exact" w:vSpace="0" w:wrap="around" w:vAnchor="page" w:y="341" w:anchorLock="0"/>
    </w:pPr>
    <w:r w:rsidRPr="00D66F1A">
      <w:rPr>
        <w:rStyle w:val="SidhuvudRubrikReferens"/>
      </w:rPr>
      <w:fldChar w:fldCharType="begin" w:fldLock="1"/>
    </w:r>
    <w:r w:rsidRPr="00D66F1A">
      <w:rPr>
        <w:rStyle w:val="SidhuvudRubrikReferens"/>
      </w:rPr>
      <w:instrText xml:space="preserve"> StyleREF "Rubrik 1" </w:instrText>
    </w:r>
    <w:r w:rsidRPr="00D66F1A">
      <w:rPr>
        <w:rStyle w:val="SidhuvudRubrikReferens"/>
      </w:rPr>
      <w:fldChar w:fldCharType="end"/>
    </w:r>
    <w:r w:rsidRPr="00D66F1A">
      <w:rPr>
        <w:rStyle w:val="SidhuvudBilaga"/>
      </w:rPr>
      <w:t xml:space="preserve"> </w:t>
    </w:r>
    <w:r w:rsidRPr="00D66F1A">
      <w:t xml:space="preserve">     </w:t>
    </w:r>
    <w:r w:rsidRPr="00D66F1A">
      <w:rPr>
        <w:rStyle w:val="SidhuvudUtskott"/>
      </w:rPr>
      <w:fldChar w:fldCharType="begin" w:fldLock="1"/>
    </w:r>
    <w:r w:rsidRPr="00D66F1A">
      <w:rPr>
        <w:rStyle w:val="SidhuvudUtskott"/>
      </w:rPr>
      <w:instrText xml:space="preserve"> DOCPROPERTY BetänkandeÅr</w:instrText>
    </w:r>
    <w:r w:rsidRPr="00D66F1A">
      <w:rPr>
        <w:rStyle w:val="SidhuvudUtskott"/>
      </w:rPr>
      <w:fldChar w:fldCharType="separate"/>
    </w:r>
    <w:r w:rsidRPr="00D66F1A">
      <w:rPr>
        <w:rStyle w:val="SidhuvudUtskott"/>
      </w:rPr>
      <w:t>2004/05</w:t>
    </w:r>
    <w:r w:rsidRPr="00D66F1A">
      <w:rPr>
        <w:rStyle w:val="SidhuvudUtskott"/>
      </w:rPr>
      <w:fldChar w:fldCharType="end"/>
    </w:r>
    <w:r w:rsidRPr="00D66F1A">
      <w:rPr>
        <w:rStyle w:val="SidhuvudUtskott"/>
      </w:rPr>
      <w:t>:</w:t>
    </w:r>
    <w:r w:rsidRPr="00D66F1A">
      <w:rPr>
        <w:rStyle w:val="SidhuvudUtskott"/>
      </w:rPr>
      <w:fldChar w:fldCharType="begin" w:fldLock="1"/>
    </w:r>
    <w:r w:rsidRPr="00D66F1A">
      <w:rPr>
        <w:rStyle w:val="SidhuvudUtskott"/>
      </w:rPr>
      <w:instrText xml:space="preserve"> DOCPROPERTY</w:instrText>
    </w:r>
    <w:r w:rsidRPr="00D66F1A">
      <w:instrText xml:space="preserve"> </w:instrText>
    </w:r>
    <w:r w:rsidRPr="00D66F1A">
      <w:rPr>
        <w:rStyle w:val="SidhuvudUtskott"/>
      </w:rPr>
      <w:instrText>Utskott</w:instrText>
    </w:r>
    <w:r w:rsidRPr="00D66F1A">
      <w:rPr>
        <w:rStyle w:val="SidhuvudUtskott"/>
      </w:rPr>
      <w:fldChar w:fldCharType="separate"/>
    </w:r>
    <w:r w:rsidRPr="00D66F1A">
      <w:rPr>
        <w:rStyle w:val="SidhuvudUtskott"/>
      </w:rPr>
      <w:t>JuU</w:t>
    </w:r>
    <w:r w:rsidRPr="00D66F1A">
      <w:rPr>
        <w:rStyle w:val="SidhuvudUtskott"/>
      </w:rPr>
      <w:fldChar w:fldCharType="end"/>
    </w:r>
    <w:r w:rsidRPr="00D66F1A">
      <w:rPr>
        <w:rStyle w:val="SidhuvudUtskott"/>
      </w:rPr>
      <w:fldChar w:fldCharType="begin" w:fldLock="1"/>
    </w:r>
    <w:r w:rsidRPr="00D66F1A">
      <w:rPr>
        <w:rStyle w:val="SidhuvudUtskott"/>
      </w:rPr>
      <w:instrText xml:space="preserve"> DOCPROPERTY Betä</w:instrText>
    </w:r>
    <w:r w:rsidRPr="00D66F1A">
      <w:rPr>
        <w:rStyle w:val="SidhuvudUtskott"/>
      </w:rPr>
      <w:instrText>n</w:instrText>
    </w:r>
    <w:r w:rsidRPr="00D66F1A">
      <w:rPr>
        <w:rStyle w:val="SidhuvudUtskott"/>
      </w:rPr>
      <w:instrText>kandeNr</w:instrText>
    </w:r>
    <w:r w:rsidRPr="00D66F1A">
      <w:rPr>
        <w:rStyle w:val="SidhuvudUtskott"/>
      </w:rPr>
      <w:fldChar w:fldCharType="separate"/>
    </w:r>
    <w:r w:rsidRPr="00D66F1A">
      <w:rPr>
        <w:rStyle w:val="SidhuvudUtskott"/>
      </w:rPr>
      <w:t>1y</w:t>
    </w:r>
    <w:r w:rsidRPr="00D66F1A">
      <w:rPr>
        <w:rStyle w:val="SidhuvudUtskott"/>
      </w:rPr>
      <w:fldChar w:fldCharType="end"/>
    </w:r>
  </w:p>
  <w:p w:rsidR="008C6089" w:rsidRPr="00D66F1A" w:rsidRDefault="008C6089">
    <w:pPr>
      <w:pStyle w:val="SidhuvudKantUdda"/>
      <w:framePr w:w="8732" w:h="567" w:hRule="exact" w:vSpace="0" w:wrap="around" w:vAnchor="page" w:y="341" w:anchorLock="0"/>
    </w:pPr>
    <w:r w:rsidRPr="00D66F1A">
      <w:rPr>
        <w:rStyle w:val="SidhuvudUtskott"/>
      </w:rPr>
      <w:fldChar w:fldCharType="begin" w:fldLock="1"/>
    </w:r>
    <w:r w:rsidRPr="00D66F1A">
      <w:rPr>
        <w:rStyle w:val="SidhuvudUtskott"/>
      </w:rPr>
      <w:instrText xml:space="preserve"> if </w:instrText>
    </w:r>
    <w:r w:rsidRPr="00D66F1A">
      <w:rPr>
        <w:rStyle w:val="SidhuvudUtskott"/>
      </w:rPr>
      <w:fldChar w:fldCharType="begin" w:fldLock="1"/>
    </w:r>
    <w:r w:rsidRPr="00D66F1A">
      <w:rPr>
        <w:rStyle w:val="SidhuvudUtskott"/>
      </w:rPr>
      <w:instrText xml:space="preserve"> DOCPROPERTY "UtkastDatum"</w:instrText>
    </w:r>
    <w:r w:rsidRPr="00D66F1A">
      <w:rPr>
        <w:rStyle w:val="SidhuvudUtskott"/>
      </w:rPr>
      <w:fldChar w:fldCharType="separate"/>
    </w:r>
    <w:r w:rsidRPr="00D66F1A">
      <w:rPr>
        <w:rStyle w:val="SidhuvudUtskott"/>
      </w:rPr>
      <w:instrText>Nej</w:instrText>
    </w:r>
    <w:r w:rsidRPr="00D66F1A">
      <w:rPr>
        <w:rStyle w:val="SidhuvudUtskott"/>
      </w:rPr>
      <w:fldChar w:fldCharType="end"/>
    </w:r>
    <w:r w:rsidRPr="00D66F1A">
      <w:rPr>
        <w:rStyle w:val="SidhuvudUtskott"/>
      </w:rPr>
      <w:instrText xml:space="preserve"> = "Ja" "</w:instrText>
    </w:r>
    <w:r w:rsidRPr="00D66F1A">
      <w:rPr>
        <w:rStyle w:val="SidhuvudUtskott"/>
      </w:rPr>
      <w:fldChar w:fldCharType="begin" w:fldLock="1"/>
    </w:r>
    <w:r w:rsidRPr="00D66F1A">
      <w:rPr>
        <w:rStyle w:val="SidhuvudUtskott"/>
      </w:rPr>
      <w:instrText xml:space="preserve"> PRINTDATE \@ "yyyy-MM-dd HH.mm    " </w:instrText>
    </w:r>
    <w:r w:rsidRPr="00D66F1A">
      <w:rPr>
        <w:rStyle w:val="SidhuvudUtskott"/>
      </w:rPr>
      <w:fldChar w:fldCharType="separate"/>
    </w:r>
    <w:r w:rsidRPr="00D66F1A">
      <w:rPr>
        <w:rStyle w:val="SidhuvudUtskott"/>
      </w:rPr>
      <w:instrText>2000-08-11 16.42</w:instrText>
    </w:r>
    <w:r w:rsidRPr="00D66F1A">
      <w:rPr>
        <w:rStyle w:val="SidhuvudUtskott"/>
      </w:rPr>
      <w:fldChar w:fldCharType="end"/>
    </w:r>
    <w:r w:rsidRPr="00D66F1A">
      <w:rPr>
        <w:rStyle w:val="SidhuvudUtskott"/>
      </w:rPr>
      <w:instrText xml:space="preserve">" </w:instrText>
    </w:r>
    <w:r w:rsidRPr="00D66F1A">
      <w:rPr>
        <w:rStyle w:val="SidhuvudUtskott"/>
      </w:rPr>
      <w:fldChar w:fldCharType="end"/>
    </w:r>
    <w:r w:rsidRPr="00D66F1A">
      <w:rPr>
        <w:rStyle w:val="SidhuvudUtskott"/>
      </w:rPr>
      <w:fldChar w:fldCharType="begin" w:fldLock="1"/>
    </w:r>
    <w:r w:rsidRPr="00D66F1A">
      <w:rPr>
        <w:rStyle w:val="SidhuvudUtskott"/>
      </w:rPr>
      <w:instrText xml:space="preserve"> DOCPR</w:instrText>
    </w:r>
    <w:r w:rsidRPr="00D66F1A">
      <w:rPr>
        <w:rStyle w:val="SidhuvudUtskott"/>
      </w:rPr>
      <w:instrText>O</w:instrText>
    </w:r>
    <w:r w:rsidRPr="00D66F1A">
      <w:rPr>
        <w:rStyle w:val="SidhuvudUtskott"/>
      </w:rPr>
      <w:instrText>PERTY Status</w:instrText>
    </w:r>
    <w:r w:rsidRPr="00D66F1A">
      <w:rPr>
        <w:rStyle w:val="SidhuvudUtskott"/>
      </w:rPr>
      <w:fldChar w:fldCharType="end"/>
    </w:r>
  </w:p>
  <w:p w:rsidR="008C6089" w:rsidRPr="00D66F1A" w:rsidRDefault="008C6089">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B1F" w:rsidRPr="00D66F1A" w:rsidRDefault="00E44B1F">
    <w:pPr>
      <w:pStyle w:val="SidhuvudKantUdda"/>
      <w:framePr w:w="8732" w:h="567" w:hRule="exact" w:vSpace="0" w:wrap="around" w:vAnchor="page" w:y="341" w:anchorLock="0"/>
    </w:pPr>
    <w:r w:rsidRPr="00D66F1A">
      <w:t xml:space="preserve">  </w:t>
    </w:r>
    <w:r w:rsidRPr="00D66F1A">
      <w:rPr>
        <w:rStyle w:val="SidhuvudUtskott"/>
      </w:rPr>
      <w:t>2004/05:JuU1y</w:t>
    </w:r>
  </w:p>
  <w:p w:rsidR="008C6089" w:rsidRPr="00D66F1A" w:rsidRDefault="008C6089">
    <w:pPr>
      <w:pStyle w:val="SidhuvudKantUdda"/>
      <w:framePr w:w="8732" w:h="567" w:hRule="exact" w:vSpace="0" w:wrap="around" w:vAnchor="page" w:y="341" w:anchorLock="0"/>
    </w:pPr>
  </w:p>
  <w:p w:rsidR="008C6089" w:rsidRPr="00D66F1A" w:rsidRDefault="008C6089">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435978141">
    <w:abstractNumId w:val="10"/>
  </w:num>
  <w:num w:numId="2" w16cid:durableId="1106971242">
    <w:abstractNumId w:val="8"/>
  </w:num>
  <w:num w:numId="3" w16cid:durableId="765927979">
    <w:abstractNumId w:val="3"/>
  </w:num>
  <w:num w:numId="4" w16cid:durableId="103966848">
    <w:abstractNumId w:val="2"/>
  </w:num>
  <w:num w:numId="5" w16cid:durableId="1232737311">
    <w:abstractNumId w:val="1"/>
  </w:num>
  <w:num w:numId="6" w16cid:durableId="358434461">
    <w:abstractNumId w:val="0"/>
  </w:num>
  <w:num w:numId="7" w16cid:durableId="954288796">
    <w:abstractNumId w:val="9"/>
  </w:num>
  <w:num w:numId="8" w16cid:durableId="60177884">
    <w:abstractNumId w:val="7"/>
  </w:num>
  <w:num w:numId="9" w16cid:durableId="1576429475">
    <w:abstractNumId w:val="6"/>
  </w:num>
  <w:num w:numId="10" w16cid:durableId="354623292">
    <w:abstractNumId w:val="5"/>
  </w:num>
  <w:num w:numId="11" w16cid:durableId="18573088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405"/>
  </w:docVars>
  <w:rsids>
    <w:rsidRoot w:val="00850353"/>
    <w:rsid w:val="000157DC"/>
    <w:rsid w:val="000240F6"/>
    <w:rsid w:val="00080FB8"/>
    <w:rsid w:val="0008371A"/>
    <w:rsid w:val="0009040A"/>
    <w:rsid w:val="0009116A"/>
    <w:rsid w:val="000959AB"/>
    <w:rsid w:val="000A0938"/>
    <w:rsid w:val="000B26F5"/>
    <w:rsid w:val="000C2BB5"/>
    <w:rsid w:val="000E5B7E"/>
    <w:rsid w:val="000F0F9B"/>
    <w:rsid w:val="001073C8"/>
    <w:rsid w:val="00135EBA"/>
    <w:rsid w:val="00151E74"/>
    <w:rsid w:val="001529E6"/>
    <w:rsid w:val="00156D70"/>
    <w:rsid w:val="00161FA0"/>
    <w:rsid w:val="00173E76"/>
    <w:rsid w:val="00186CC2"/>
    <w:rsid w:val="001A12BB"/>
    <w:rsid w:val="001A1C21"/>
    <w:rsid w:val="001B4820"/>
    <w:rsid w:val="001D4E30"/>
    <w:rsid w:val="001F0A3A"/>
    <w:rsid w:val="00213934"/>
    <w:rsid w:val="0021581E"/>
    <w:rsid w:val="00236D8C"/>
    <w:rsid w:val="002457AF"/>
    <w:rsid w:val="00246FF0"/>
    <w:rsid w:val="00247BED"/>
    <w:rsid w:val="00263BEB"/>
    <w:rsid w:val="00275653"/>
    <w:rsid w:val="0029110F"/>
    <w:rsid w:val="002A2E2A"/>
    <w:rsid w:val="002B1FDA"/>
    <w:rsid w:val="002B62DA"/>
    <w:rsid w:val="002C0278"/>
    <w:rsid w:val="002C066D"/>
    <w:rsid w:val="002C7524"/>
    <w:rsid w:val="002D00DC"/>
    <w:rsid w:val="002E14AD"/>
    <w:rsid w:val="002E2FA8"/>
    <w:rsid w:val="002E3E72"/>
    <w:rsid w:val="002F0CCC"/>
    <w:rsid w:val="002F3E00"/>
    <w:rsid w:val="0030263A"/>
    <w:rsid w:val="00304D19"/>
    <w:rsid w:val="00312B81"/>
    <w:rsid w:val="003140A5"/>
    <w:rsid w:val="00330454"/>
    <w:rsid w:val="00346296"/>
    <w:rsid w:val="00381E04"/>
    <w:rsid w:val="003941EB"/>
    <w:rsid w:val="003A70A8"/>
    <w:rsid w:val="003B01E8"/>
    <w:rsid w:val="003B45CC"/>
    <w:rsid w:val="003B73F7"/>
    <w:rsid w:val="003D34D6"/>
    <w:rsid w:val="003E74E4"/>
    <w:rsid w:val="003F0FC0"/>
    <w:rsid w:val="003F180F"/>
    <w:rsid w:val="003F5C26"/>
    <w:rsid w:val="004119C8"/>
    <w:rsid w:val="00425925"/>
    <w:rsid w:val="0045396B"/>
    <w:rsid w:val="00453D09"/>
    <w:rsid w:val="00457A95"/>
    <w:rsid w:val="00481C63"/>
    <w:rsid w:val="00484065"/>
    <w:rsid w:val="0048589A"/>
    <w:rsid w:val="004A0812"/>
    <w:rsid w:val="004C590C"/>
    <w:rsid w:val="004C7399"/>
    <w:rsid w:val="004D3665"/>
    <w:rsid w:val="004F039F"/>
    <w:rsid w:val="005135EA"/>
    <w:rsid w:val="0051784F"/>
    <w:rsid w:val="005212AA"/>
    <w:rsid w:val="005226DD"/>
    <w:rsid w:val="00527E71"/>
    <w:rsid w:val="005337A7"/>
    <w:rsid w:val="00543173"/>
    <w:rsid w:val="0055686A"/>
    <w:rsid w:val="00563DF5"/>
    <w:rsid w:val="00565654"/>
    <w:rsid w:val="0057076E"/>
    <w:rsid w:val="00574008"/>
    <w:rsid w:val="00591AAE"/>
    <w:rsid w:val="00591F3B"/>
    <w:rsid w:val="005A7074"/>
    <w:rsid w:val="005A7366"/>
    <w:rsid w:val="005B65B8"/>
    <w:rsid w:val="005B79A8"/>
    <w:rsid w:val="005C4C79"/>
    <w:rsid w:val="006032D3"/>
    <w:rsid w:val="00624BB9"/>
    <w:rsid w:val="00632EFD"/>
    <w:rsid w:val="00651A2F"/>
    <w:rsid w:val="0067256D"/>
    <w:rsid w:val="00691E34"/>
    <w:rsid w:val="006A2398"/>
    <w:rsid w:val="006A5134"/>
    <w:rsid w:val="006B05AB"/>
    <w:rsid w:val="006B4CEC"/>
    <w:rsid w:val="006B7C40"/>
    <w:rsid w:val="006C3786"/>
    <w:rsid w:val="006C5253"/>
    <w:rsid w:val="006D5E39"/>
    <w:rsid w:val="006E3016"/>
    <w:rsid w:val="006E7E2A"/>
    <w:rsid w:val="0073590A"/>
    <w:rsid w:val="00745BC2"/>
    <w:rsid w:val="00766460"/>
    <w:rsid w:val="00777C45"/>
    <w:rsid w:val="00790C78"/>
    <w:rsid w:val="007963FD"/>
    <w:rsid w:val="007A3513"/>
    <w:rsid w:val="007D204D"/>
    <w:rsid w:val="007E7F4E"/>
    <w:rsid w:val="007F41A1"/>
    <w:rsid w:val="007F727F"/>
    <w:rsid w:val="008019B6"/>
    <w:rsid w:val="0080254A"/>
    <w:rsid w:val="0081035F"/>
    <w:rsid w:val="0081295F"/>
    <w:rsid w:val="00827F6F"/>
    <w:rsid w:val="00834AAF"/>
    <w:rsid w:val="00842B55"/>
    <w:rsid w:val="00842F97"/>
    <w:rsid w:val="00850353"/>
    <w:rsid w:val="00850E55"/>
    <w:rsid w:val="00857F21"/>
    <w:rsid w:val="00860A17"/>
    <w:rsid w:val="00871DBD"/>
    <w:rsid w:val="00887B31"/>
    <w:rsid w:val="008A4A11"/>
    <w:rsid w:val="008B08B5"/>
    <w:rsid w:val="008B7DA7"/>
    <w:rsid w:val="008C3D7C"/>
    <w:rsid w:val="008C6089"/>
    <w:rsid w:val="008D2B51"/>
    <w:rsid w:val="008F1B80"/>
    <w:rsid w:val="008F2DB3"/>
    <w:rsid w:val="008F370C"/>
    <w:rsid w:val="00915A46"/>
    <w:rsid w:val="009244D7"/>
    <w:rsid w:val="009311F0"/>
    <w:rsid w:val="0093790F"/>
    <w:rsid w:val="00961CAE"/>
    <w:rsid w:val="009802FF"/>
    <w:rsid w:val="0099411D"/>
    <w:rsid w:val="009A0CA1"/>
    <w:rsid w:val="009F084B"/>
    <w:rsid w:val="009F741C"/>
    <w:rsid w:val="00A0171B"/>
    <w:rsid w:val="00A025A9"/>
    <w:rsid w:val="00A161BD"/>
    <w:rsid w:val="00A270DB"/>
    <w:rsid w:val="00A43BFC"/>
    <w:rsid w:val="00A65EAF"/>
    <w:rsid w:val="00A76AD7"/>
    <w:rsid w:val="00A9142D"/>
    <w:rsid w:val="00AE1503"/>
    <w:rsid w:val="00AE5287"/>
    <w:rsid w:val="00AF38C2"/>
    <w:rsid w:val="00B449DA"/>
    <w:rsid w:val="00B563A6"/>
    <w:rsid w:val="00B80CD3"/>
    <w:rsid w:val="00B8348A"/>
    <w:rsid w:val="00B96B93"/>
    <w:rsid w:val="00BA0DD4"/>
    <w:rsid w:val="00BB101F"/>
    <w:rsid w:val="00BB2868"/>
    <w:rsid w:val="00BC3F08"/>
    <w:rsid w:val="00BC561C"/>
    <w:rsid w:val="00BD39F5"/>
    <w:rsid w:val="00BD6305"/>
    <w:rsid w:val="00BF2DB1"/>
    <w:rsid w:val="00C06BF6"/>
    <w:rsid w:val="00C61945"/>
    <w:rsid w:val="00C6622B"/>
    <w:rsid w:val="00C66FCF"/>
    <w:rsid w:val="00C809E1"/>
    <w:rsid w:val="00C96ADA"/>
    <w:rsid w:val="00CB34A8"/>
    <w:rsid w:val="00CB34C5"/>
    <w:rsid w:val="00CC720C"/>
    <w:rsid w:val="00CD0010"/>
    <w:rsid w:val="00CD03E6"/>
    <w:rsid w:val="00CF528F"/>
    <w:rsid w:val="00D2197B"/>
    <w:rsid w:val="00D26EAF"/>
    <w:rsid w:val="00D3282D"/>
    <w:rsid w:val="00D46F9F"/>
    <w:rsid w:val="00D5001F"/>
    <w:rsid w:val="00D51DB9"/>
    <w:rsid w:val="00D563C5"/>
    <w:rsid w:val="00D56F85"/>
    <w:rsid w:val="00D66F1A"/>
    <w:rsid w:val="00D94E4D"/>
    <w:rsid w:val="00D97F48"/>
    <w:rsid w:val="00DA5D94"/>
    <w:rsid w:val="00DD062B"/>
    <w:rsid w:val="00DD2EDB"/>
    <w:rsid w:val="00DD5A5D"/>
    <w:rsid w:val="00DE2FEF"/>
    <w:rsid w:val="00DE630B"/>
    <w:rsid w:val="00E00982"/>
    <w:rsid w:val="00E12B53"/>
    <w:rsid w:val="00E264CB"/>
    <w:rsid w:val="00E3734C"/>
    <w:rsid w:val="00E44B1F"/>
    <w:rsid w:val="00E54A1E"/>
    <w:rsid w:val="00E63AF4"/>
    <w:rsid w:val="00EA5380"/>
    <w:rsid w:val="00EA58CF"/>
    <w:rsid w:val="00EB0948"/>
    <w:rsid w:val="00EC1527"/>
    <w:rsid w:val="00ED798A"/>
    <w:rsid w:val="00EE3A18"/>
    <w:rsid w:val="00F10AAA"/>
    <w:rsid w:val="00F16F8D"/>
    <w:rsid w:val="00F22D7F"/>
    <w:rsid w:val="00F2417E"/>
    <w:rsid w:val="00F4609F"/>
    <w:rsid w:val="00F53A97"/>
    <w:rsid w:val="00F544FD"/>
    <w:rsid w:val="00F61139"/>
    <w:rsid w:val="00F75930"/>
    <w:rsid w:val="00FA5E94"/>
    <w:rsid w:val="00FC0BE4"/>
    <w:rsid w:val="00FD4FC2"/>
    <w:rsid w:val="00FD78C5"/>
    <w:rsid w:val="00FD7B2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7DEE6621-AB65-42FB-918B-4815C96AD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styleId="Ballongtext">
    <w:name w:val="Balloon Text"/>
    <w:basedOn w:val="Normal"/>
    <w:semiHidden/>
    <w:rsid w:val="003E74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943320">
      <w:bodyDiv w:val="1"/>
      <w:marLeft w:val="0"/>
      <w:marRight w:val="0"/>
      <w:marTop w:val="0"/>
      <w:marBottom w:val="0"/>
      <w:divBdr>
        <w:top w:val="none" w:sz="0" w:space="0" w:color="auto"/>
        <w:left w:val="none" w:sz="0" w:space="0" w:color="auto"/>
        <w:bottom w:val="none" w:sz="0" w:space="0" w:color="auto"/>
        <w:right w:val="none" w:sz="0" w:space="0" w:color="auto"/>
      </w:divBdr>
    </w:div>
    <w:div w:id="1285961328">
      <w:bodyDiv w:val="1"/>
      <w:marLeft w:val="0"/>
      <w:marRight w:val="0"/>
      <w:marTop w:val="0"/>
      <w:marBottom w:val="0"/>
      <w:divBdr>
        <w:top w:val="none" w:sz="0" w:space="0" w:color="auto"/>
        <w:left w:val="none" w:sz="0" w:space="0" w:color="auto"/>
        <w:bottom w:val="none" w:sz="0" w:space="0" w:color="auto"/>
        <w:right w:val="none" w:sz="0" w:space="0" w:color="auto"/>
      </w:divBdr>
    </w:div>
    <w:div w:id="167857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3798</Words>
  <Characters>23857</Characters>
  <Application>Microsoft Office Word</Application>
  <DocSecurity>4</DocSecurity>
  <Lines>467</Lines>
  <Paragraphs>159</Paragraphs>
  <ScaleCrop>false</ScaleCrop>
  <HeadingPairs>
    <vt:vector size="2" baseType="variant">
      <vt:variant>
        <vt:lpstr>Rubrik</vt:lpstr>
      </vt:variant>
      <vt:variant>
        <vt:i4>1</vt:i4>
      </vt:variant>
    </vt:vector>
  </HeadingPairs>
  <TitlesOfParts>
    <vt:vector size="1" baseType="lpstr">
      <vt:lpstr>Justitieutskottets yttrande</vt:lpstr>
    </vt:vector>
  </TitlesOfParts>
  <Company>Riksdagen</Company>
  <LinksUpToDate>false</LinksUpToDate>
  <CharactersWithSpaces>27496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yttrande</dc:title>
  <dc:subject>Justitieutskottets yttrande</dc:subject>
  <dc:creator>Riksdagen</dc:creator>
  <cp:keywords>Riksdagen</cp:keywords>
  <dc:description/>
  <cp:lastModifiedBy>Lars Brink</cp:lastModifiedBy>
  <cp:revision>2</cp:revision>
  <cp:lastPrinted>2005-08-09T12:37:00Z</cp:lastPrinted>
  <dcterms:created xsi:type="dcterms:W3CDTF">2025-12-16T18:39:00Z</dcterms:created>
  <dcterms:modified xsi:type="dcterms:W3CDTF">2025-12-16T18:39:00Z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JuU</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