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7D3" w:rsidRPr="005B62DF" w:rsidRDefault="000A57D3" w:rsidP="00692E95">
      <w:pPr>
        <w:pStyle w:val="Hemstlrubrik"/>
      </w:pPr>
      <w:r w:rsidRPr="005B62DF">
        <w:t>Förslag till riksdagsbeslut</w:t>
      </w:r>
    </w:p>
    <w:p w:rsidR="000A57D3" w:rsidRPr="005B62DF" w:rsidRDefault="000A57D3" w:rsidP="00DA1B31">
      <w:pPr>
        <w:pStyle w:val="Hemstlatt"/>
        <w:numPr>
          <w:ilvl w:val="0"/>
          <w:numId w:val="0"/>
        </w:numPr>
      </w:pPr>
      <w:r w:rsidRPr="005B62DF">
        <w:t>Riksdagen anvisar med följande ändringar i förhållande till regeringens fö</w:t>
      </w:r>
      <w:r w:rsidRPr="005B62DF">
        <w:t>r</w:t>
      </w:r>
      <w:r w:rsidRPr="005B62DF">
        <w:t xml:space="preserve">slag i anslagen under utgiftsområde 18 </w:t>
      </w:r>
      <w:r w:rsidR="00B17475" w:rsidRPr="005B62DF">
        <w:t>Samhällsplanering</w:t>
      </w:r>
      <w:r w:rsidRPr="005B62DF">
        <w:t>, bostadsförsörjning och byggand</w:t>
      </w:r>
      <w:r w:rsidR="007B4854" w:rsidRPr="005B62DF">
        <w:t>e enligt följande uppställning:</w:t>
      </w:r>
    </w:p>
    <w:tbl>
      <w:tblPr>
        <w:tblW w:w="6094" w:type="dxa"/>
        <w:tblInd w:w="55" w:type="dxa"/>
        <w:tblLayout w:type="fixed"/>
        <w:tblCellMar>
          <w:left w:w="70" w:type="dxa"/>
          <w:right w:w="70" w:type="dxa"/>
        </w:tblCellMar>
        <w:tblLook w:val="0000" w:firstRow="0" w:lastRow="0" w:firstColumn="0" w:lastColumn="0" w:noHBand="0" w:noVBand="0"/>
      </w:tblPr>
      <w:tblGrid>
        <w:gridCol w:w="585"/>
        <w:gridCol w:w="3556"/>
        <w:gridCol w:w="978"/>
        <w:gridCol w:w="975"/>
      </w:tblGrid>
      <w:tr w:rsidR="000A57D3" w:rsidRPr="005B62DF">
        <w:trPr>
          <w:trHeight w:val="170"/>
        </w:trPr>
        <w:tc>
          <w:tcPr>
            <w:tcW w:w="4141" w:type="dxa"/>
            <w:gridSpan w:val="2"/>
            <w:tcBorders>
              <w:top w:val="single" w:sz="4" w:space="0" w:color="auto"/>
              <w:bottom w:val="single" w:sz="4" w:space="0" w:color="auto"/>
            </w:tcBorders>
            <w:noWrap/>
            <w:vAlign w:val="bottom"/>
          </w:tcPr>
          <w:p w:rsidR="000A57D3" w:rsidRPr="005B62DF" w:rsidRDefault="000A57D3" w:rsidP="00692E95">
            <w:pPr>
              <w:spacing w:before="60" w:line="200" w:lineRule="exact"/>
              <w:rPr>
                <w:b/>
                <w:color w:val="000000"/>
                <w:sz w:val="16"/>
                <w:szCs w:val="16"/>
              </w:rPr>
            </w:pPr>
            <w:r w:rsidRPr="005B62DF">
              <w:rPr>
                <w:b/>
                <w:color w:val="000000"/>
                <w:sz w:val="16"/>
                <w:szCs w:val="16"/>
              </w:rPr>
              <w:t>Anslag år 2006 (tkr)</w:t>
            </w:r>
          </w:p>
        </w:tc>
        <w:tc>
          <w:tcPr>
            <w:tcW w:w="978" w:type="dxa"/>
            <w:tcBorders>
              <w:top w:val="single" w:sz="4" w:space="0" w:color="auto"/>
              <w:bottom w:val="single" w:sz="4" w:space="0" w:color="auto"/>
            </w:tcBorders>
            <w:vAlign w:val="bottom"/>
          </w:tcPr>
          <w:p w:rsidR="000A57D3" w:rsidRPr="005B62DF" w:rsidRDefault="000A57D3" w:rsidP="002C2A8B">
            <w:pPr>
              <w:spacing w:before="60" w:line="200" w:lineRule="exact"/>
              <w:ind w:right="-57"/>
              <w:jc w:val="right"/>
              <w:rPr>
                <w:b/>
                <w:color w:val="000000"/>
                <w:sz w:val="16"/>
                <w:szCs w:val="16"/>
              </w:rPr>
            </w:pPr>
            <w:r w:rsidRPr="005B62DF">
              <w:rPr>
                <w:b/>
                <w:color w:val="000000"/>
                <w:sz w:val="16"/>
                <w:szCs w:val="16"/>
              </w:rPr>
              <w:t>Regerin</w:t>
            </w:r>
            <w:r w:rsidRPr="005B62DF">
              <w:rPr>
                <w:b/>
                <w:color w:val="000000"/>
                <w:sz w:val="16"/>
                <w:szCs w:val="16"/>
              </w:rPr>
              <w:t>g</w:t>
            </w:r>
            <w:r w:rsidRPr="005B62DF">
              <w:rPr>
                <w:b/>
                <w:color w:val="000000"/>
                <w:sz w:val="16"/>
                <w:szCs w:val="16"/>
              </w:rPr>
              <w:t>ens</w:t>
            </w:r>
            <w:r w:rsidR="00692E95" w:rsidRPr="005B62DF">
              <w:rPr>
                <w:b/>
                <w:color w:val="000000"/>
                <w:sz w:val="16"/>
                <w:szCs w:val="16"/>
              </w:rPr>
              <w:br/>
            </w:r>
            <w:r w:rsidRPr="005B62DF">
              <w:rPr>
                <w:b/>
                <w:color w:val="000000"/>
                <w:sz w:val="16"/>
                <w:szCs w:val="16"/>
              </w:rPr>
              <w:t xml:space="preserve"> förslag</w:t>
            </w:r>
          </w:p>
        </w:tc>
        <w:tc>
          <w:tcPr>
            <w:tcW w:w="975" w:type="dxa"/>
            <w:tcBorders>
              <w:top w:val="single" w:sz="4" w:space="0" w:color="auto"/>
              <w:bottom w:val="single" w:sz="4" w:space="0" w:color="auto"/>
            </w:tcBorders>
            <w:vAlign w:val="bottom"/>
          </w:tcPr>
          <w:p w:rsidR="000A57D3" w:rsidRPr="005B62DF" w:rsidRDefault="000A57D3" w:rsidP="002C2A8B">
            <w:pPr>
              <w:spacing w:before="60" w:line="200" w:lineRule="exact"/>
              <w:jc w:val="right"/>
              <w:rPr>
                <w:b/>
                <w:sz w:val="16"/>
                <w:szCs w:val="16"/>
              </w:rPr>
            </w:pPr>
            <w:r w:rsidRPr="005B62DF">
              <w:rPr>
                <w:b/>
                <w:sz w:val="16"/>
                <w:szCs w:val="16"/>
              </w:rPr>
              <w:t>Anslags</w:t>
            </w:r>
            <w:r w:rsidR="00692E95" w:rsidRPr="005B62DF">
              <w:rPr>
                <w:b/>
                <w:sz w:val="16"/>
                <w:szCs w:val="16"/>
              </w:rPr>
              <w:softHyphen/>
            </w:r>
            <w:r w:rsidR="00692E95" w:rsidRPr="005B62DF">
              <w:rPr>
                <w:b/>
                <w:sz w:val="16"/>
                <w:szCs w:val="16"/>
              </w:rPr>
              <w:br/>
            </w:r>
            <w:r w:rsidRPr="005B62DF">
              <w:rPr>
                <w:b/>
                <w:sz w:val="16"/>
                <w:szCs w:val="16"/>
              </w:rPr>
              <w:t>förändring</w:t>
            </w:r>
          </w:p>
        </w:tc>
      </w:tr>
      <w:tr w:rsidR="000A57D3" w:rsidRPr="005B62DF">
        <w:trPr>
          <w:trHeight w:val="312"/>
        </w:trPr>
        <w:tc>
          <w:tcPr>
            <w:tcW w:w="585" w:type="dxa"/>
            <w:tcBorders>
              <w:top w:val="single" w:sz="4" w:space="0" w:color="auto"/>
            </w:tcBorders>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21:1</w:t>
            </w:r>
          </w:p>
        </w:tc>
        <w:tc>
          <w:tcPr>
            <w:tcW w:w="3556" w:type="dxa"/>
            <w:tcBorders>
              <w:top w:val="single" w:sz="4" w:space="0" w:color="auto"/>
            </w:tcBorders>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Bostadsbidrag</w:t>
            </w:r>
          </w:p>
        </w:tc>
        <w:tc>
          <w:tcPr>
            <w:tcW w:w="978" w:type="dxa"/>
            <w:tcBorders>
              <w:top w:val="single" w:sz="4" w:space="0" w:color="auto"/>
            </w:tcBorders>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3 730 000 </w:t>
            </w:r>
          </w:p>
        </w:tc>
        <w:tc>
          <w:tcPr>
            <w:tcW w:w="975" w:type="dxa"/>
            <w:tcBorders>
              <w:top w:val="single" w:sz="4" w:space="0" w:color="auto"/>
            </w:tcBorders>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 xml:space="preserve">200 000 </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31:1</w:t>
            </w: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Boverket</w:t>
            </w:r>
          </w:p>
        </w:tc>
        <w:tc>
          <w:tcPr>
            <w:tcW w:w="978"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173 300 </w:t>
            </w:r>
          </w:p>
        </w:tc>
        <w:tc>
          <w:tcPr>
            <w:tcW w:w="975" w:type="dxa"/>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 xml:space="preserve">10 000 </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31:2</w:t>
            </w: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Räntebidrag m.m.</w:t>
            </w:r>
          </w:p>
        </w:tc>
        <w:tc>
          <w:tcPr>
            <w:tcW w:w="978"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1 756 300 </w:t>
            </w:r>
          </w:p>
        </w:tc>
        <w:tc>
          <w:tcPr>
            <w:tcW w:w="975" w:type="dxa"/>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 xml:space="preserve">814 000 </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31:11</w:t>
            </w: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Investeringsbidrag för nybyggnad av hyresbostäder</w:t>
            </w:r>
          </w:p>
        </w:tc>
        <w:tc>
          <w:tcPr>
            <w:tcW w:w="978"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596 400 </w:t>
            </w:r>
          </w:p>
        </w:tc>
        <w:tc>
          <w:tcPr>
            <w:tcW w:w="975" w:type="dxa"/>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 xml:space="preserve">596 000 </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31:13</w:t>
            </w: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Omstrukturering av kommunala bostadsbolag</w:t>
            </w:r>
          </w:p>
        </w:tc>
        <w:tc>
          <w:tcPr>
            <w:tcW w:w="978"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151 600 </w:t>
            </w:r>
          </w:p>
        </w:tc>
        <w:tc>
          <w:tcPr>
            <w:tcW w:w="975" w:type="dxa"/>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 xml:space="preserve">151 600 </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31:14</w:t>
            </w: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Bidrag till installation av hissar</w:t>
            </w:r>
          </w:p>
        </w:tc>
        <w:tc>
          <w:tcPr>
            <w:tcW w:w="978"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0 </w:t>
            </w:r>
          </w:p>
        </w:tc>
        <w:tc>
          <w:tcPr>
            <w:tcW w:w="975"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25 000 </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31:15</w:t>
            </w: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Ungdomsbostadssamordnare</w:t>
            </w:r>
          </w:p>
        </w:tc>
        <w:tc>
          <w:tcPr>
            <w:tcW w:w="978"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2 500 </w:t>
            </w:r>
          </w:p>
        </w:tc>
        <w:tc>
          <w:tcPr>
            <w:tcW w:w="975" w:type="dxa"/>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 xml:space="preserve">2 500 </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32:1</w:t>
            </w: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Länsstyrelserna m.m.</w:t>
            </w:r>
          </w:p>
        </w:tc>
        <w:tc>
          <w:tcPr>
            <w:tcW w:w="978" w:type="dxa"/>
            <w:noWrap/>
            <w:vAlign w:val="bottom"/>
          </w:tcPr>
          <w:p w:rsidR="000A57D3" w:rsidRPr="005B62DF" w:rsidRDefault="000A57D3" w:rsidP="00692E95">
            <w:pPr>
              <w:spacing w:before="60" w:line="200" w:lineRule="exact"/>
              <w:jc w:val="right"/>
              <w:rPr>
                <w:color w:val="000000"/>
                <w:sz w:val="16"/>
                <w:szCs w:val="16"/>
              </w:rPr>
            </w:pPr>
            <w:r w:rsidRPr="005B62DF">
              <w:rPr>
                <w:color w:val="000000"/>
                <w:sz w:val="16"/>
                <w:szCs w:val="16"/>
              </w:rPr>
              <w:t xml:space="preserve">2 402 500 </w:t>
            </w:r>
          </w:p>
        </w:tc>
        <w:tc>
          <w:tcPr>
            <w:tcW w:w="975" w:type="dxa"/>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 xml:space="preserve">160 000 </w:t>
            </w:r>
          </w:p>
        </w:tc>
      </w:tr>
      <w:tr w:rsidR="007B4854" w:rsidRPr="005B62DF">
        <w:trPr>
          <w:trHeight w:val="312"/>
        </w:trPr>
        <w:tc>
          <w:tcPr>
            <w:tcW w:w="585" w:type="dxa"/>
            <w:noWrap/>
            <w:vAlign w:val="bottom"/>
          </w:tcPr>
          <w:p w:rsidR="007B4854" w:rsidRPr="005B62DF" w:rsidRDefault="007B4854" w:rsidP="00692E95">
            <w:pPr>
              <w:spacing w:before="60" w:line="200" w:lineRule="exact"/>
              <w:rPr>
                <w:color w:val="000000"/>
                <w:sz w:val="16"/>
                <w:szCs w:val="16"/>
              </w:rPr>
            </w:pPr>
          </w:p>
        </w:tc>
        <w:tc>
          <w:tcPr>
            <w:tcW w:w="3556" w:type="dxa"/>
            <w:noWrap/>
            <w:vAlign w:val="bottom"/>
          </w:tcPr>
          <w:p w:rsidR="007B4854" w:rsidRPr="005B62DF" w:rsidRDefault="007B4854" w:rsidP="002C2A8B">
            <w:pPr>
              <w:spacing w:before="60" w:line="200" w:lineRule="exact"/>
              <w:jc w:val="left"/>
              <w:rPr>
                <w:color w:val="000000"/>
                <w:sz w:val="16"/>
                <w:szCs w:val="16"/>
              </w:rPr>
            </w:pPr>
            <w:r w:rsidRPr="005B62DF">
              <w:rPr>
                <w:color w:val="000000"/>
                <w:sz w:val="16"/>
                <w:szCs w:val="16"/>
              </w:rPr>
              <w:t>Investerings</w:t>
            </w:r>
            <w:r w:rsidRPr="005B62DF">
              <w:rPr>
                <w:color w:val="000000"/>
                <w:spacing w:val="-2"/>
                <w:sz w:val="16"/>
                <w:szCs w:val="16"/>
              </w:rPr>
              <w:t>bidrag för nybyggnad av student</w:t>
            </w:r>
            <w:r w:rsidR="002C2A8B" w:rsidRPr="005B62DF">
              <w:rPr>
                <w:color w:val="000000"/>
                <w:spacing w:val="-2"/>
                <w:sz w:val="16"/>
                <w:szCs w:val="16"/>
              </w:rPr>
              <w:softHyphen/>
            </w:r>
            <w:r w:rsidRPr="005B62DF">
              <w:rPr>
                <w:color w:val="000000"/>
                <w:spacing w:val="-2"/>
                <w:sz w:val="16"/>
                <w:szCs w:val="16"/>
              </w:rPr>
              <w:t>bos</w:t>
            </w:r>
            <w:r w:rsidRPr="005B62DF">
              <w:rPr>
                <w:color w:val="000000"/>
                <w:sz w:val="16"/>
                <w:szCs w:val="16"/>
              </w:rPr>
              <w:t>t</w:t>
            </w:r>
            <w:r w:rsidRPr="005B62DF">
              <w:rPr>
                <w:color w:val="000000"/>
                <w:sz w:val="16"/>
                <w:szCs w:val="16"/>
              </w:rPr>
              <w:t>ä</w:t>
            </w:r>
            <w:r w:rsidRPr="005B62DF">
              <w:rPr>
                <w:color w:val="000000"/>
                <w:sz w:val="16"/>
                <w:szCs w:val="16"/>
              </w:rPr>
              <w:t>der</w:t>
            </w:r>
          </w:p>
        </w:tc>
        <w:tc>
          <w:tcPr>
            <w:tcW w:w="978" w:type="dxa"/>
            <w:noWrap/>
            <w:vAlign w:val="bottom"/>
          </w:tcPr>
          <w:p w:rsidR="007B4854" w:rsidRPr="005B62DF" w:rsidRDefault="007B4854" w:rsidP="00692E95">
            <w:pPr>
              <w:spacing w:before="60" w:line="200" w:lineRule="exact"/>
              <w:jc w:val="right"/>
              <w:rPr>
                <w:color w:val="000000"/>
                <w:sz w:val="16"/>
                <w:szCs w:val="16"/>
              </w:rPr>
            </w:pPr>
          </w:p>
        </w:tc>
        <w:tc>
          <w:tcPr>
            <w:tcW w:w="975" w:type="dxa"/>
            <w:noWrap/>
            <w:vAlign w:val="bottom"/>
          </w:tcPr>
          <w:p w:rsidR="007B4854" w:rsidRPr="005B62DF" w:rsidRDefault="007B4854" w:rsidP="00692E95">
            <w:pPr>
              <w:pStyle w:val="Normaltindrag"/>
              <w:spacing w:before="60" w:line="200" w:lineRule="exact"/>
              <w:jc w:val="right"/>
              <w:rPr>
                <w:sz w:val="16"/>
                <w:szCs w:val="16"/>
              </w:rPr>
            </w:pPr>
            <w:r w:rsidRPr="005B62DF">
              <w:rPr>
                <w:color w:val="000000"/>
                <w:sz w:val="16"/>
                <w:szCs w:val="16"/>
              </w:rPr>
              <w:t>150 000</w:t>
            </w:r>
          </w:p>
        </w:tc>
      </w:tr>
      <w:tr w:rsidR="000A57D3" w:rsidRPr="005B62DF">
        <w:trPr>
          <w:trHeight w:val="312"/>
        </w:trPr>
        <w:tc>
          <w:tcPr>
            <w:tcW w:w="585" w:type="dxa"/>
            <w:noWrap/>
            <w:vAlign w:val="bottom"/>
          </w:tcPr>
          <w:p w:rsidR="000A57D3" w:rsidRPr="005B62DF" w:rsidRDefault="000A57D3" w:rsidP="00692E95">
            <w:pPr>
              <w:spacing w:before="60" w:line="200" w:lineRule="exact"/>
              <w:rPr>
                <w:color w:val="000000"/>
                <w:sz w:val="16"/>
                <w:szCs w:val="16"/>
              </w:rPr>
            </w:pPr>
          </w:p>
        </w:tc>
        <w:tc>
          <w:tcPr>
            <w:tcW w:w="3556" w:type="dxa"/>
            <w:noWrap/>
            <w:vAlign w:val="bottom"/>
          </w:tcPr>
          <w:p w:rsidR="000A57D3" w:rsidRPr="005B62DF" w:rsidRDefault="000A57D3" w:rsidP="00692E95">
            <w:pPr>
              <w:spacing w:before="60" w:line="200" w:lineRule="exact"/>
              <w:rPr>
                <w:color w:val="000000"/>
                <w:sz w:val="16"/>
                <w:szCs w:val="16"/>
              </w:rPr>
            </w:pPr>
            <w:r w:rsidRPr="005B62DF">
              <w:rPr>
                <w:color w:val="000000"/>
                <w:sz w:val="16"/>
                <w:szCs w:val="16"/>
              </w:rPr>
              <w:t>Anslagsbesparing</w:t>
            </w:r>
          </w:p>
        </w:tc>
        <w:tc>
          <w:tcPr>
            <w:tcW w:w="978" w:type="dxa"/>
            <w:noWrap/>
            <w:vAlign w:val="bottom"/>
          </w:tcPr>
          <w:p w:rsidR="000A57D3" w:rsidRPr="005B62DF" w:rsidRDefault="000A57D3" w:rsidP="00692E95">
            <w:pPr>
              <w:spacing w:before="60" w:line="200" w:lineRule="exact"/>
              <w:jc w:val="right"/>
              <w:rPr>
                <w:color w:val="000000"/>
                <w:sz w:val="16"/>
                <w:szCs w:val="16"/>
              </w:rPr>
            </w:pPr>
          </w:p>
        </w:tc>
        <w:tc>
          <w:tcPr>
            <w:tcW w:w="975" w:type="dxa"/>
            <w:noWrap/>
            <w:vAlign w:val="bottom"/>
          </w:tcPr>
          <w:p w:rsidR="000A57D3" w:rsidRPr="005B62DF" w:rsidRDefault="00B17475" w:rsidP="00692E95">
            <w:pPr>
              <w:spacing w:before="60" w:line="200" w:lineRule="exact"/>
              <w:jc w:val="right"/>
              <w:rPr>
                <w:color w:val="000000"/>
                <w:sz w:val="16"/>
                <w:szCs w:val="16"/>
              </w:rPr>
            </w:pPr>
            <w:r w:rsidRPr="005B62DF">
              <w:rPr>
                <w:color w:val="000000"/>
                <w:sz w:val="16"/>
                <w:szCs w:val="16"/>
              </w:rPr>
              <w:t>–</w:t>
            </w:r>
            <w:r w:rsidR="000A57D3" w:rsidRPr="005B62DF">
              <w:rPr>
                <w:color w:val="000000"/>
                <w:sz w:val="16"/>
                <w:szCs w:val="16"/>
              </w:rPr>
              <w:t>303 600</w:t>
            </w:r>
          </w:p>
        </w:tc>
      </w:tr>
      <w:tr w:rsidR="000A57D3" w:rsidRPr="005B62DF">
        <w:trPr>
          <w:trHeight w:val="312"/>
        </w:trPr>
        <w:tc>
          <w:tcPr>
            <w:tcW w:w="4141" w:type="dxa"/>
            <w:gridSpan w:val="2"/>
            <w:tcBorders>
              <w:bottom w:val="single" w:sz="4" w:space="0" w:color="auto"/>
            </w:tcBorders>
            <w:noWrap/>
            <w:vAlign w:val="bottom"/>
          </w:tcPr>
          <w:p w:rsidR="000A57D3" w:rsidRPr="005B62DF" w:rsidRDefault="000A57D3" w:rsidP="00692E95">
            <w:pPr>
              <w:spacing w:before="60" w:line="200" w:lineRule="exact"/>
              <w:rPr>
                <w:b/>
                <w:bCs/>
                <w:color w:val="000000"/>
                <w:sz w:val="16"/>
                <w:szCs w:val="16"/>
              </w:rPr>
            </w:pPr>
            <w:r w:rsidRPr="005B62DF">
              <w:rPr>
                <w:b/>
                <w:bCs/>
                <w:color w:val="000000"/>
                <w:sz w:val="16"/>
                <w:szCs w:val="16"/>
              </w:rPr>
              <w:t>Summa för utgiftsområdet</w:t>
            </w:r>
          </w:p>
        </w:tc>
        <w:tc>
          <w:tcPr>
            <w:tcW w:w="978" w:type="dxa"/>
            <w:tcBorders>
              <w:bottom w:val="single" w:sz="4" w:space="0" w:color="auto"/>
            </w:tcBorders>
            <w:noWrap/>
            <w:vAlign w:val="bottom"/>
          </w:tcPr>
          <w:p w:rsidR="000A57D3" w:rsidRPr="005B62DF" w:rsidRDefault="000A57D3" w:rsidP="00692E95">
            <w:pPr>
              <w:spacing w:before="60" w:line="200" w:lineRule="exact"/>
              <w:jc w:val="right"/>
              <w:rPr>
                <w:b/>
                <w:color w:val="000000"/>
                <w:sz w:val="16"/>
                <w:szCs w:val="16"/>
              </w:rPr>
            </w:pPr>
            <w:r w:rsidRPr="005B62DF">
              <w:rPr>
                <w:b/>
                <w:color w:val="000000"/>
                <w:sz w:val="16"/>
                <w:szCs w:val="16"/>
              </w:rPr>
              <w:t xml:space="preserve">9 549 000 </w:t>
            </w:r>
          </w:p>
        </w:tc>
        <w:tc>
          <w:tcPr>
            <w:tcW w:w="975" w:type="dxa"/>
            <w:tcBorders>
              <w:bottom w:val="single" w:sz="4" w:space="0" w:color="auto"/>
            </w:tcBorders>
            <w:noWrap/>
            <w:vAlign w:val="bottom"/>
          </w:tcPr>
          <w:p w:rsidR="000A57D3" w:rsidRPr="005B62DF" w:rsidRDefault="00B17475" w:rsidP="00692E95">
            <w:pPr>
              <w:spacing w:before="60" w:line="200" w:lineRule="exact"/>
              <w:jc w:val="right"/>
              <w:rPr>
                <w:b/>
                <w:color w:val="000000"/>
                <w:sz w:val="16"/>
                <w:szCs w:val="16"/>
              </w:rPr>
            </w:pPr>
            <w:r w:rsidRPr="005B62DF">
              <w:rPr>
                <w:b/>
                <w:color w:val="000000"/>
                <w:sz w:val="16"/>
                <w:szCs w:val="16"/>
              </w:rPr>
              <w:t>–</w:t>
            </w:r>
            <w:r w:rsidR="007B4854" w:rsidRPr="005B62DF">
              <w:rPr>
                <w:b/>
                <w:color w:val="000000"/>
                <w:sz w:val="16"/>
                <w:szCs w:val="16"/>
              </w:rPr>
              <w:t xml:space="preserve">2 063 100 </w:t>
            </w:r>
          </w:p>
        </w:tc>
      </w:tr>
    </w:tbl>
    <w:p w:rsidR="000A57D3" w:rsidRPr="005B62DF" w:rsidRDefault="000A57D3" w:rsidP="00692E95">
      <w:pPr>
        <w:pStyle w:val="Rubrik1"/>
        <w:pageBreakBefore/>
        <w:spacing w:before="0"/>
      </w:pPr>
      <w:r w:rsidRPr="005B62DF">
        <w:lastRenderedPageBreak/>
        <w:t>Anslagsberäkning</w:t>
      </w:r>
    </w:p>
    <w:p w:rsidR="000A57D3" w:rsidRPr="005B62DF" w:rsidRDefault="000A57D3" w:rsidP="000A57D3">
      <w:r w:rsidRPr="005B62DF">
        <w:t>Centerpartiets budgetmotion föreslår skattelättnader för de</w:t>
      </w:r>
      <w:r w:rsidR="00692E95" w:rsidRPr="005B62DF">
        <w:t>m</w:t>
      </w:r>
      <w:r w:rsidRPr="005B62DF">
        <w:t xml:space="preserve"> med låga i</w:t>
      </w:r>
      <w:r w:rsidRPr="005B62DF">
        <w:t>n</w:t>
      </w:r>
      <w:r w:rsidRPr="005B62DF">
        <w:t>komster. Centerpartiet minskar därför anslaget 21:1 med den av regeringen genomförda höjningen på 200 miljoner kronor</w:t>
      </w:r>
    </w:p>
    <w:p w:rsidR="000A57D3" w:rsidRPr="005B62DF" w:rsidRDefault="000A57D3" w:rsidP="00692E95">
      <w:pPr>
        <w:pStyle w:val="Normaltindrag"/>
      </w:pPr>
      <w:r w:rsidRPr="005B62DF">
        <w:t>Boverket åläggs ett generellt sparbeting på 10 miljoner kronor.</w:t>
      </w:r>
    </w:p>
    <w:p w:rsidR="000A57D3" w:rsidRPr="005B62DF" w:rsidRDefault="000A57D3" w:rsidP="00692E95">
      <w:pPr>
        <w:pStyle w:val="Normaltindrag"/>
      </w:pPr>
      <w:r w:rsidRPr="005B62DF">
        <w:t>Räntebi</w:t>
      </w:r>
      <w:r w:rsidR="00692E95" w:rsidRPr="005B62DF">
        <w:t>dragen bör avskaffas helt. En ut</w:t>
      </w:r>
      <w:r w:rsidRPr="005B62DF">
        <w:t>fasning börjar, vilken delvis ko</w:t>
      </w:r>
      <w:r w:rsidRPr="005B62DF">
        <w:t>m</w:t>
      </w:r>
      <w:r w:rsidRPr="005B62DF">
        <w:t>pense</w:t>
      </w:r>
      <w:r w:rsidR="00692E95" w:rsidRPr="005B62DF">
        <w:t xml:space="preserve">ras av sänkt fastighetsskatt. </w:t>
      </w:r>
      <w:r w:rsidRPr="005B62DF">
        <w:t xml:space="preserve">Anslaget 31:2 minskas med 814 miljoner kronor. </w:t>
      </w:r>
    </w:p>
    <w:p w:rsidR="000A57D3" w:rsidRPr="005B62DF" w:rsidRDefault="000A57D3" w:rsidP="00692E95">
      <w:pPr>
        <w:pStyle w:val="Normaltindrag"/>
      </w:pPr>
      <w:r w:rsidRPr="005B62DF">
        <w:t xml:space="preserve">Bostadsmarknaden bör reformeras och konkurrensen skärpas för att öka byggandet. Investeringsbidraget för hyreslägenheter bidrar till att upprätthålla ett ineffektivt system och avskaffas helt. Anslaget 31:11 tas bort. </w:t>
      </w:r>
    </w:p>
    <w:p w:rsidR="000A57D3" w:rsidRPr="005B62DF" w:rsidRDefault="000A57D3" w:rsidP="00692E95">
      <w:pPr>
        <w:pStyle w:val="Normaltindrag"/>
      </w:pPr>
      <w:r w:rsidRPr="005B62DF">
        <w:t>Sverige står inför en demografisk utmaning där en allt större del av b</w:t>
      </w:r>
      <w:r w:rsidRPr="005B62DF">
        <w:t>e</w:t>
      </w:r>
      <w:r w:rsidRPr="005B62DF">
        <w:t xml:space="preserve">folkningen blir allt äldre. Äldre och handikappade bör ges möjligheter till samma valfrihet på bostadsmarknaden som andra. Anslaget 31:14 återinförs med 25 miljoner kronor. </w:t>
      </w:r>
    </w:p>
    <w:p w:rsidR="000A57D3" w:rsidRPr="005B62DF" w:rsidRDefault="000A57D3" w:rsidP="00692E95">
      <w:pPr>
        <w:pStyle w:val="Normaltindrag"/>
      </w:pPr>
      <w:r w:rsidRPr="005B62DF">
        <w:t>En nationell ungdom</w:t>
      </w:r>
      <w:r w:rsidR="00692E95" w:rsidRPr="005B62DF">
        <w:t>s</w:t>
      </w:r>
      <w:r w:rsidRPr="005B62DF">
        <w:t xml:space="preserve">bostadssamordnare är inget annat än ett dåligt alibi för en politik som inte fungerar. Ungdomars situation på bostadsmarknaden underlättas av fler bostäder och inte </w:t>
      </w:r>
      <w:r w:rsidR="00692E95" w:rsidRPr="005B62DF">
        <w:t xml:space="preserve">av </w:t>
      </w:r>
      <w:r w:rsidRPr="005B62DF">
        <w:t>någon som arbetar med att ta fram förslag. Anslaget 31:15 tas bort</w:t>
      </w:r>
      <w:r w:rsidR="00692E95" w:rsidRPr="005B62DF">
        <w:t>.</w:t>
      </w:r>
    </w:p>
    <w:p w:rsidR="000A57D3" w:rsidRPr="005B62DF" w:rsidRDefault="000A57D3" w:rsidP="00692E95">
      <w:pPr>
        <w:pStyle w:val="Normaltindrag"/>
      </w:pPr>
      <w:r w:rsidRPr="005B62DF">
        <w:t xml:space="preserve">Modellen för hur länsstyrelsernas anslag beräknas och fördelas har inte setts över på en lång tid. Länsstyrelserna borde dessutom kunna ansvara för sin egen kompetensförsörjning, utan inblandning av statliga jobbsatsningar. Anslag 32:1 minskas därför med 160 miljoner kronor. </w:t>
      </w:r>
    </w:p>
    <w:p w:rsidR="007315AE" w:rsidRPr="005B62DF" w:rsidRDefault="007315AE" w:rsidP="00692E95">
      <w:pPr>
        <w:pStyle w:val="Normaltindrag"/>
      </w:pPr>
      <w:r w:rsidRPr="005B62DF">
        <w:t>Investeringsbidraget för anordnande av studentbostäder, som fanns för b</w:t>
      </w:r>
      <w:r w:rsidRPr="005B62DF">
        <w:t>o</w:t>
      </w:r>
      <w:r w:rsidRPr="005B62DF">
        <w:t>städer påbörjade mellan 2000 och 2003, visade sig vara ett verksamt stöd som bidrog till ett ökat byggande av studentbostäder. Centerpartiet motsätter sig generellt sett statliga interventioner på bostadsmarknaden och vill avskaffa investeringsstimulansen och investeringsbidraget för byggande av hyresrätter. Däremot vill vi återinföra det riktade investeringsbidraget till studentbostäder med 150 miljoner för att öka byggandet av studentbostäder.</w:t>
      </w:r>
    </w:p>
    <w:p w:rsidR="007315AE" w:rsidRPr="005B62DF" w:rsidRDefault="007315AE" w:rsidP="00692E95">
      <w:pPr>
        <w:pStyle w:val="Normaltindrag"/>
      </w:pPr>
      <w:r w:rsidRPr="005B62DF">
        <w:t xml:space="preserve">Genom att investeringsbidraget för nybyggnad av hyresrätter slopas genomförs en anslagsbesparing på knappt 304 miljoner kronor.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2E95" w:rsidRPr="005B62DF">
        <w:tblPrEx>
          <w:tblCellMar>
            <w:top w:w="0" w:type="dxa"/>
            <w:bottom w:w="0" w:type="dxa"/>
          </w:tblCellMar>
        </w:tblPrEx>
        <w:trPr>
          <w:cantSplit/>
        </w:trPr>
        <w:tc>
          <w:tcPr>
            <w:tcW w:w="3046" w:type="dxa"/>
          </w:tcPr>
          <w:p w:rsidR="00692E95" w:rsidRPr="005B62DF" w:rsidRDefault="00692E95" w:rsidP="00692E95">
            <w:pPr>
              <w:pStyle w:val="UnderskriftDatum"/>
              <w:spacing w:before="240"/>
            </w:pPr>
            <w:r w:rsidRPr="005B62DF">
              <w:t>Stockholm den 4 oktober 2005</w:t>
            </w:r>
          </w:p>
        </w:tc>
        <w:tc>
          <w:tcPr>
            <w:tcW w:w="3047" w:type="dxa"/>
          </w:tcPr>
          <w:p w:rsidR="00692E95" w:rsidRPr="005B62DF" w:rsidRDefault="00692E95" w:rsidP="00692E95">
            <w:pPr>
              <w:pStyle w:val="Underskrifter"/>
              <w:spacing w:before="240"/>
            </w:pPr>
          </w:p>
        </w:tc>
      </w:tr>
      <w:tr w:rsidR="00692E95" w:rsidRPr="005B62DF">
        <w:tblPrEx>
          <w:tblCellMar>
            <w:top w:w="0" w:type="dxa"/>
            <w:bottom w:w="0" w:type="dxa"/>
          </w:tblCellMar>
        </w:tblPrEx>
        <w:trPr>
          <w:cantSplit/>
        </w:trPr>
        <w:tc>
          <w:tcPr>
            <w:tcW w:w="3046" w:type="dxa"/>
          </w:tcPr>
          <w:p w:rsidR="00692E95" w:rsidRPr="005B62DF" w:rsidRDefault="00692E95" w:rsidP="00692E95">
            <w:pPr>
              <w:pStyle w:val="Underskrifter"/>
            </w:pPr>
            <w:r w:rsidRPr="005B62DF">
              <w:t>Rigmor Stenmark (c)</w:t>
            </w:r>
          </w:p>
        </w:tc>
        <w:tc>
          <w:tcPr>
            <w:tcW w:w="3047" w:type="dxa"/>
          </w:tcPr>
          <w:p w:rsidR="00692E95" w:rsidRPr="005B62DF" w:rsidRDefault="00692E95" w:rsidP="00692E95">
            <w:pPr>
              <w:pStyle w:val="Underskrifter"/>
            </w:pPr>
          </w:p>
        </w:tc>
      </w:tr>
      <w:tr w:rsidR="00692E95" w:rsidRPr="005B62DF">
        <w:tblPrEx>
          <w:tblCellMar>
            <w:top w:w="0" w:type="dxa"/>
            <w:bottom w:w="0" w:type="dxa"/>
          </w:tblCellMar>
        </w:tblPrEx>
        <w:trPr>
          <w:cantSplit/>
        </w:trPr>
        <w:tc>
          <w:tcPr>
            <w:tcW w:w="3046" w:type="dxa"/>
          </w:tcPr>
          <w:p w:rsidR="00692E95" w:rsidRPr="005B62DF" w:rsidRDefault="00692E95" w:rsidP="00692E95">
            <w:pPr>
              <w:pStyle w:val="Underskrifter"/>
            </w:pPr>
            <w:r w:rsidRPr="005B62DF">
              <w:t>Jörgen Johansson (c)</w:t>
            </w:r>
          </w:p>
        </w:tc>
        <w:tc>
          <w:tcPr>
            <w:tcW w:w="3047" w:type="dxa"/>
          </w:tcPr>
          <w:p w:rsidR="00692E95" w:rsidRPr="005B62DF" w:rsidRDefault="00692E95" w:rsidP="00692E95">
            <w:pPr>
              <w:pStyle w:val="Underskrifter"/>
            </w:pPr>
            <w:r w:rsidRPr="005B62DF">
              <w:t>Roger Tiefensee (c)</w:t>
            </w:r>
          </w:p>
        </w:tc>
      </w:tr>
      <w:tr w:rsidR="00692E95" w:rsidRPr="005B62DF">
        <w:tblPrEx>
          <w:tblCellMar>
            <w:top w:w="0" w:type="dxa"/>
            <w:bottom w:w="0" w:type="dxa"/>
          </w:tblCellMar>
        </w:tblPrEx>
        <w:trPr>
          <w:cantSplit/>
        </w:trPr>
        <w:tc>
          <w:tcPr>
            <w:tcW w:w="3046" w:type="dxa"/>
          </w:tcPr>
          <w:p w:rsidR="00692E95" w:rsidRPr="005B62DF" w:rsidRDefault="00692E95" w:rsidP="00692E95">
            <w:pPr>
              <w:pStyle w:val="Underskrifter"/>
            </w:pPr>
            <w:r w:rsidRPr="005B62DF">
              <w:t>Åsa Torstensson (c)</w:t>
            </w:r>
          </w:p>
        </w:tc>
        <w:tc>
          <w:tcPr>
            <w:tcW w:w="3047" w:type="dxa"/>
          </w:tcPr>
          <w:p w:rsidR="00692E95" w:rsidRPr="005B62DF" w:rsidRDefault="00692E95" w:rsidP="00692E95">
            <w:pPr>
              <w:pStyle w:val="Underskrifter"/>
            </w:pPr>
            <w:r w:rsidRPr="005B62DF">
              <w:t>Sven Bergström (c)</w:t>
            </w:r>
          </w:p>
        </w:tc>
      </w:tr>
    </w:tbl>
    <w:p w:rsidR="00E84F25" w:rsidRPr="005B62DF" w:rsidRDefault="00E84F25" w:rsidP="00692E95">
      <w:pPr>
        <w:pStyle w:val="Normaltindrag"/>
      </w:pPr>
    </w:p>
    <w:sectPr w:rsidR="00E84F25" w:rsidRPr="005B62DF" w:rsidSect="00692E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267" w:rsidRPr="005B62DF" w:rsidRDefault="00CE7267">
      <w:r w:rsidRPr="005B62DF">
        <w:separator/>
      </w:r>
    </w:p>
  </w:endnote>
  <w:endnote w:type="continuationSeparator" w:id="0">
    <w:p w:rsidR="00CE7267" w:rsidRPr="005B62DF" w:rsidRDefault="00CE7267">
      <w:r w:rsidRPr="005B62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8B" w:rsidRPr="005B62DF" w:rsidRDefault="005B62DF" w:rsidP="00692E95">
    <w:pPr>
      <w:pStyle w:val="Sidfot"/>
    </w:pPr>
    <w:r w:rsidRPr="005B62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484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8B" w:rsidRDefault="002C2A8B">
                          <w:pPr>
                            <w:pStyle w:val="NormalS5sidnrV"/>
                          </w:pPr>
                          <w:r>
                            <w:fldChar w:fldCharType="begin"/>
                          </w:r>
                          <w:r>
                            <w:instrText xml:space="preserve"> PAGE *\charformat</w:instrText>
                          </w:r>
                          <w:r>
                            <w:fldChar w:fldCharType="separate"/>
                          </w:r>
                          <w:r w:rsidR="00D81C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A8B" w:rsidRDefault="002C2A8B">
                    <w:pPr>
                      <w:pStyle w:val="NormalS5sidnrV"/>
                    </w:pPr>
                    <w:r>
                      <w:fldChar w:fldCharType="begin"/>
                    </w:r>
                    <w:r>
                      <w:instrText xml:space="preserve"> PAGE *\charformat</w:instrText>
                    </w:r>
                    <w:r>
                      <w:fldChar w:fldCharType="separate"/>
                    </w:r>
                    <w:r w:rsidR="00D81C2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8B" w:rsidRPr="005B62DF" w:rsidRDefault="005B62DF" w:rsidP="00692E95">
    <w:pPr>
      <w:pStyle w:val="Sidfot"/>
    </w:pPr>
    <w:r w:rsidRPr="005B62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417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8B" w:rsidRDefault="002C2A8B">
                          <w:pPr>
                            <w:pStyle w:val="NormalS5sidnrH"/>
                            <w:ind w:right="0"/>
                          </w:pPr>
                          <w:r>
                            <w:fldChar w:fldCharType="begin"/>
                          </w:r>
                          <w:r>
                            <w:instrText xml:space="preserve"> PAGE *\charformat</w:instrText>
                          </w:r>
                          <w:r>
                            <w:fldChar w:fldCharType="separate"/>
                          </w:r>
                          <w:r w:rsidR="00D81C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A8B" w:rsidRDefault="002C2A8B">
                    <w:pPr>
                      <w:pStyle w:val="NormalS5sidnrH"/>
                      <w:ind w:right="0"/>
                    </w:pPr>
                    <w:r>
                      <w:fldChar w:fldCharType="begin"/>
                    </w:r>
                    <w:r>
                      <w:instrText xml:space="preserve"> PAGE *\charformat</w:instrText>
                    </w:r>
                    <w:r>
                      <w:fldChar w:fldCharType="separate"/>
                    </w:r>
                    <w:r w:rsidR="00D81C2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8B" w:rsidRPr="005B62DF" w:rsidRDefault="005B62DF" w:rsidP="00692E95">
    <w:pPr>
      <w:pStyle w:val="Sidfot"/>
    </w:pPr>
    <w:r w:rsidRPr="005B62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338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8B" w:rsidRDefault="002C2A8B">
                          <w:pPr>
                            <w:pStyle w:val="NormalS5sidnrH"/>
                            <w:ind w:right="0"/>
                          </w:pPr>
                          <w:r>
                            <w:fldChar w:fldCharType="begin"/>
                          </w:r>
                          <w:r>
                            <w:instrText xml:space="preserve"> PAGE *\charformat</w:instrText>
                          </w:r>
                          <w:r>
                            <w:fldChar w:fldCharType="separate"/>
                          </w:r>
                          <w:r w:rsidR="00D81C2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A8B" w:rsidRDefault="002C2A8B">
                    <w:pPr>
                      <w:pStyle w:val="NormalS5sidnrH"/>
                      <w:ind w:right="0"/>
                    </w:pPr>
                    <w:r>
                      <w:fldChar w:fldCharType="begin"/>
                    </w:r>
                    <w:r>
                      <w:instrText xml:space="preserve"> PAGE *\charformat</w:instrText>
                    </w:r>
                    <w:r>
                      <w:fldChar w:fldCharType="separate"/>
                    </w:r>
                    <w:r w:rsidR="00D81C2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267" w:rsidRPr="005B62DF" w:rsidRDefault="00CE7267">
      <w:r w:rsidRPr="005B62DF">
        <w:separator/>
      </w:r>
    </w:p>
  </w:footnote>
  <w:footnote w:type="continuationSeparator" w:id="0">
    <w:p w:rsidR="00CE7267" w:rsidRPr="005B62DF" w:rsidRDefault="00CE7267">
      <w:r w:rsidRPr="005B62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8B" w:rsidRPr="005B62DF" w:rsidRDefault="005B62DF" w:rsidP="00692E95">
    <w:pPr>
      <w:pStyle w:val="Sidhuvud"/>
    </w:pPr>
    <w:r w:rsidRPr="005B62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420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8B" w:rsidRDefault="002C2A8B">
                          <w:pPr>
                            <w:pStyle w:val="KantRubrikS5V"/>
                          </w:pPr>
                          <w:r>
                            <w:fldChar w:fldCharType="begin"/>
                          </w:r>
                          <w:r>
                            <w:instrText xml:space="preserve"> DOCPROPERTY "YearUser" *\charformat </w:instrText>
                          </w:r>
                          <w:r>
                            <w:fldChar w:fldCharType="separate"/>
                          </w:r>
                          <w:r w:rsidR="00D81C26">
                            <w:t>2005/06</w:t>
                          </w:r>
                          <w:r>
                            <w:fldChar w:fldCharType="end"/>
                          </w:r>
                          <w:r>
                            <w:t>:</w:t>
                          </w:r>
                          <w:r>
                            <w:fldChar w:fldCharType="begin"/>
                          </w:r>
                          <w:r>
                            <w:instrText xml:space="preserve"> DOCPROPERTY "Motionsnummer" *\charformat </w:instrText>
                          </w:r>
                          <w:r>
                            <w:fldChar w:fldCharType="separate"/>
                          </w:r>
                          <w:r w:rsidR="00D81C26">
                            <w:t>Bo330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A8B" w:rsidRDefault="002C2A8B">
                    <w:pPr>
                      <w:pStyle w:val="KantRubrikS5V"/>
                    </w:pPr>
                    <w:r>
                      <w:fldChar w:fldCharType="begin"/>
                    </w:r>
                    <w:r>
                      <w:instrText xml:space="preserve"> DOCPROPERTY "YearUser" *\charformat </w:instrText>
                    </w:r>
                    <w:r>
                      <w:fldChar w:fldCharType="separate"/>
                    </w:r>
                    <w:r w:rsidR="00D81C26">
                      <w:t>2005/06</w:t>
                    </w:r>
                    <w:r>
                      <w:fldChar w:fldCharType="end"/>
                    </w:r>
                    <w:r>
                      <w:t>:</w:t>
                    </w:r>
                    <w:r>
                      <w:fldChar w:fldCharType="begin"/>
                    </w:r>
                    <w:r>
                      <w:instrText xml:space="preserve"> DOCPROPERTY "Motionsnummer" *\charformat </w:instrText>
                    </w:r>
                    <w:r>
                      <w:fldChar w:fldCharType="separate"/>
                    </w:r>
                    <w:r w:rsidR="00D81C26">
                      <w:t>Bo330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8B" w:rsidRPr="005B62DF" w:rsidRDefault="005B62DF" w:rsidP="00692E95">
    <w:pPr>
      <w:pStyle w:val="Sidhuvud"/>
    </w:pPr>
    <w:r w:rsidRPr="005B62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1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8B" w:rsidRDefault="002C2A8B">
                          <w:pPr>
                            <w:pStyle w:val="KantRubrikS5H"/>
                            <w:ind w:right="0"/>
                          </w:pPr>
                          <w:r>
                            <w:fldChar w:fldCharType="begin"/>
                          </w:r>
                          <w:r>
                            <w:instrText xml:space="preserve"> DOCPROPERTY "YearUser" *\charformat </w:instrText>
                          </w:r>
                          <w:r>
                            <w:fldChar w:fldCharType="separate"/>
                          </w:r>
                          <w:r w:rsidR="00D81C26">
                            <w:t>2005/06</w:t>
                          </w:r>
                          <w:r>
                            <w:fldChar w:fldCharType="end"/>
                          </w:r>
                          <w:r>
                            <w:t>:</w:t>
                          </w:r>
                          <w:r>
                            <w:fldChar w:fldCharType="begin"/>
                          </w:r>
                          <w:r>
                            <w:instrText xml:space="preserve"> DOCPROPERTY "Motionsnummer" *\charformat </w:instrText>
                          </w:r>
                          <w:r>
                            <w:fldChar w:fldCharType="separate"/>
                          </w:r>
                          <w:r w:rsidR="00D81C26">
                            <w:t>Bo330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A8B" w:rsidRDefault="002C2A8B">
                    <w:pPr>
                      <w:pStyle w:val="KantRubrikS5H"/>
                      <w:ind w:right="0"/>
                    </w:pPr>
                    <w:r>
                      <w:fldChar w:fldCharType="begin"/>
                    </w:r>
                    <w:r>
                      <w:instrText xml:space="preserve"> DOCPROPERTY "YearUser" *\charformat </w:instrText>
                    </w:r>
                    <w:r>
                      <w:fldChar w:fldCharType="separate"/>
                    </w:r>
                    <w:r w:rsidR="00D81C26">
                      <w:t>2005/06</w:t>
                    </w:r>
                    <w:r>
                      <w:fldChar w:fldCharType="end"/>
                    </w:r>
                    <w:r>
                      <w:t>:</w:t>
                    </w:r>
                    <w:r>
                      <w:fldChar w:fldCharType="begin"/>
                    </w:r>
                    <w:r>
                      <w:instrText xml:space="preserve"> DOCPROPERTY "Motionsnummer" *\charformat </w:instrText>
                    </w:r>
                    <w:r>
                      <w:fldChar w:fldCharType="separate"/>
                    </w:r>
                    <w:r w:rsidR="00D81C26">
                      <w:t>Bo330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8B" w:rsidRPr="005B62DF" w:rsidRDefault="002C2A8B">
    <w:pPr>
      <w:pStyle w:val="FSHNormal"/>
      <w:tabs>
        <w:tab w:val="right" w:pos="5840"/>
      </w:tabs>
    </w:pPr>
    <w:r w:rsidRPr="005B62DF">
      <w:br/>
    </w:r>
    <w:r w:rsidRPr="005B62DF">
      <w:fldChar w:fldCharType="begin" w:fldLock="1"/>
    </w:r>
    <w:r w:rsidRPr="005B62DF">
      <w:instrText xml:space="preserve"> DOCPROPERTY</w:instrText>
    </w:r>
    <w:r w:rsidRPr="005B62DF">
      <w:rPr>
        <w:sz w:val="18"/>
      </w:rPr>
      <w:instrText xml:space="preserve"> "YearUser" *\charformat </w:instrText>
    </w:r>
    <w:r w:rsidRPr="005B62DF">
      <w:fldChar w:fldCharType="separate"/>
    </w:r>
    <w:r w:rsidR="00D81C26" w:rsidRPr="005B62DF">
      <w:t>2005/06</w:t>
    </w:r>
    <w:r w:rsidRPr="005B62DF">
      <w:fldChar w:fldCharType="end"/>
    </w:r>
    <w:r w:rsidRPr="005B62DF">
      <w:t xml:space="preserve"> </w:t>
    </w:r>
    <w:r w:rsidRPr="005B62DF">
      <w:tab/>
      <w:t xml:space="preserve">mnr: </w:t>
    </w:r>
    <w:r w:rsidRPr="005B62DF">
      <w:fldChar w:fldCharType="begin" w:fldLock="1"/>
    </w:r>
    <w:r w:rsidRPr="005B62DF">
      <w:instrText xml:space="preserve"> DOCPROPERTY</w:instrText>
    </w:r>
    <w:r w:rsidRPr="005B62DF">
      <w:rPr>
        <w:sz w:val="18"/>
      </w:rPr>
      <w:instrText xml:space="preserve"> "Motionsnummer" *\charformat </w:instrText>
    </w:r>
    <w:r w:rsidRPr="005B62DF">
      <w:fldChar w:fldCharType="separate"/>
    </w:r>
    <w:r w:rsidR="00D81C26" w:rsidRPr="005B62DF">
      <w:t>Bo330</w:t>
    </w:r>
    <w:r w:rsidRPr="005B62DF">
      <w:fldChar w:fldCharType="end"/>
    </w:r>
    <w:r w:rsidRPr="005B62DF">
      <w:br/>
    </w:r>
    <w:r w:rsidRPr="005B62DF">
      <w:fldChar w:fldCharType="begin" w:fldLock="1"/>
    </w:r>
    <w:r w:rsidRPr="005B62DF">
      <w:instrText xml:space="preserve"> DOCPROPERTY</w:instrText>
    </w:r>
    <w:r w:rsidRPr="005B62DF">
      <w:rPr>
        <w:sz w:val="18"/>
      </w:rPr>
      <w:instrText xml:space="preserve"> "Samling" *\charformat </w:instrText>
    </w:r>
    <w:r w:rsidRPr="005B62DF">
      <w:fldChar w:fldCharType="end"/>
    </w:r>
    <w:r w:rsidRPr="005B62DF">
      <w:tab/>
      <w:t xml:space="preserve">pnr: </w:t>
    </w:r>
    <w:r w:rsidRPr="005B62DF">
      <w:fldChar w:fldCharType="begin" w:fldLock="1"/>
    </w:r>
    <w:r w:rsidRPr="005B62DF">
      <w:instrText xml:space="preserve"> DOCPROPERTY</w:instrText>
    </w:r>
    <w:r w:rsidRPr="005B62DF">
      <w:rPr>
        <w:sz w:val="18"/>
      </w:rPr>
      <w:instrText xml:space="preserve"> "Partinummer" *\charformat </w:instrText>
    </w:r>
    <w:r w:rsidRPr="005B62DF">
      <w:fldChar w:fldCharType="separate"/>
    </w:r>
    <w:r w:rsidR="00D81C26" w:rsidRPr="005B62DF">
      <w:t>c120</w:t>
    </w:r>
    <w:r w:rsidRPr="005B62DF">
      <w:fldChar w:fldCharType="end"/>
    </w:r>
  </w:p>
  <w:p w:rsidR="002C2A8B" w:rsidRPr="005B62DF" w:rsidRDefault="002C2A8B">
    <w:pPr>
      <w:pStyle w:val="FSHRub1"/>
    </w:pPr>
    <w:r w:rsidRPr="005B62DF">
      <w:t>Motion till riksdagen</w:t>
    </w:r>
    <w:r w:rsidRPr="005B62DF">
      <w:br/>
    </w:r>
    <w:r w:rsidRPr="005B62DF">
      <w:fldChar w:fldCharType="begin" w:fldLock="1"/>
    </w:r>
    <w:r w:rsidRPr="005B62DF">
      <w:instrText xml:space="preserve"> DOCPROPERTY "YearUser" *\charformat </w:instrText>
    </w:r>
    <w:r w:rsidRPr="005B62DF">
      <w:fldChar w:fldCharType="separate"/>
    </w:r>
    <w:r w:rsidR="00D81C26" w:rsidRPr="005B62DF">
      <w:t>2005/06</w:t>
    </w:r>
    <w:r w:rsidRPr="005B62DF">
      <w:fldChar w:fldCharType="end"/>
    </w:r>
    <w:r w:rsidRPr="005B62DF">
      <w:t>:</w:t>
    </w:r>
    <w:r w:rsidRPr="005B62DF">
      <w:fldChar w:fldCharType="begin" w:fldLock="1"/>
    </w:r>
    <w:r w:rsidRPr="005B62DF">
      <w:instrText xml:space="preserve"> DOCPROPERTY "Motionsnummer" *\charformat </w:instrText>
    </w:r>
    <w:r w:rsidRPr="005B62DF">
      <w:fldChar w:fldCharType="separate"/>
    </w:r>
    <w:r w:rsidR="00D81C26" w:rsidRPr="005B62DF">
      <w:t>Bo330</w:t>
    </w:r>
    <w:r w:rsidRPr="005B62DF">
      <w:fldChar w:fldCharType="end"/>
    </w:r>
  </w:p>
  <w:p w:rsidR="002C2A8B" w:rsidRPr="005B62DF" w:rsidRDefault="002C2A8B">
    <w:pPr>
      <w:pStyle w:val="FSHNormalS5"/>
    </w:pPr>
    <w:r w:rsidRPr="005B62DF">
      <w:fldChar w:fldCharType="begin" w:fldLock="1"/>
    </w:r>
    <w:r w:rsidRPr="005B62DF">
      <w:instrText xml:space="preserve"> DOCPROPERTY "MotionarText" *\charformat </w:instrText>
    </w:r>
    <w:r w:rsidRPr="005B62DF">
      <w:fldChar w:fldCharType="separate"/>
    </w:r>
    <w:r w:rsidR="00D81C26" w:rsidRPr="005B62DF">
      <w:t>av Rigmor Stenmark m.fl. (c)</w:t>
    </w:r>
    <w:r w:rsidRPr="005B62DF">
      <w:fldChar w:fldCharType="end"/>
    </w:r>
    <w:r w:rsidRPr="005B62DF">
      <w:br/>
    </w:r>
    <w:r w:rsidRPr="005B62DF">
      <w:fldChar w:fldCharType="begin" w:fldLock="1"/>
    </w:r>
    <w:r w:rsidRPr="005B62DF">
      <w:instrText xml:space="preserve"> DOCPROPERTY "SvarFrasKort" *\charformat </w:instrText>
    </w:r>
    <w:r w:rsidRPr="005B62DF">
      <w:fldChar w:fldCharType="end"/>
    </w:r>
  </w:p>
  <w:p w:rsidR="002C2A8B" w:rsidRPr="005B62DF" w:rsidRDefault="002C2A8B">
    <w:pPr>
      <w:pStyle w:val="FSHTitel"/>
    </w:pPr>
    <w:r w:rsidRPr="005B62DF">
      <w:fldChar w:fldCharType="begin" w:fldLock="1"/>
    </w:r>
    <w:r w:rsidRPr="005B62DF">
      <w:instrText xml:space="preserve"> DOCPROPERTY</w:instrText>
    </w:r>
    <w:r w:rsidRPr="005B62DF">
      <w:rPr>
        <w:sz w:val="18"/>
      </w:rPr>
      <w:instrText xml:space="preserve"> "RubrikSvar" *\charformat </w:instrText>
    </w:r>
    <w:r w:rsidRPr="005B62DF">
      <w:fldChar w:fldCharType="separate"/>
    </w:r>
    <w:r w:rsidR="00D81C26" w:rsidRPr="005B62DF">
      <w:t>Utgiftsområde 18 Samhällsplanering, bostadsförsörjning och byggande</w:t>
    </w:r>
    <w:r w:rsidRPr="005B62DF">
      <w:fldChar w:fldCharType="end"/>
    </w:r>
  </w:p>
  <w:p w:rsidR="002C2A8B" w:rsidRPr="005B62DF" w:rsidRDefault="002C2A8B" w:rsidP="00692E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7879B3"/>
    <w:multiLevelType w:val="hybridMultilevel"/>
    <w:tmpl w:val="0C72D052"/>
    <w:lvl w:ilvl="0" w:tplc="911684B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3813886">
    <w:abstractNumId w:val="13"/>
  </w:num>
  <w:num w:numId="2" w16cid:durableId="223103086">
    <w:abstractNumId w:val="10"/>
  </w:num>
  <w:num w:numId="3" w16cid:durableId="1731222827">
    <w:abstractNumId w:val="11"/>
  </w:num>
  <w:num w:numId="4" w16cid:durableId="2116707458">
    <w:abstractNumId w:val="12"/>
  </w:num>
  <w:num w:numId="5" w16cid:durableId="386496697">
    <w:abstractNumId w:val="8"/>
  </w:num>
  <w:num w:numId="6" w16cid:durableId="824395266">
    <w:abstractNumId w:val="3"/>
  </w:num>
  <w:num w:numId="7" w16cid:durableId="2071071710">
    <w:abstractNumId w:val="2"/>
  </w:num>
  <w:num w:numId="8" w16cid:durableId="1728605367">
    <w:abstractNumId w:val="1"/>
  </w:num>
  <w:num w:numId="9" w16cid:durableId="102773633">
    <w:abstractNumId w:val="0"/>
  </w:num>
  <w:num w:numId="10" w16cid:durableId="624896988">
    <w:abstractNumId w:val="9"/>
  </w:num>
  <w:num w:numId="11" w16cid:durableId="1061253071">
    <w:abstractNumId w:val="7"/>
  </w:num>
  <w:num w:numId="12" w16cid:durableId="756361963">
    <w:abstractNumId w:val="6"/>
  </w:num>
  <w:num w:numId="13" w16cid:durableId="890652600">
    <w:abstractNumId w:val="5"/>
  </w:num>
  <w:num w:numId="14" w16cid:durableId="871695261">
    <w:abstractNumId w:val="4"/>
  </w:num>
  <w:num w:numId="15" w16cid:durableId="1294868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B67B8F"/>
    <w:rsid w:val="0004381F"/>
    <w:rsid w:val="00064BC3"/>
    <w:rsid w:val="00066775"/>
    <w:rsid w:val="00072FB9"/>
    <w:rsid w:val="000A57D3"/>
    <w:rsid w:val="00100531"/>
    <w:rsid w:val="00143BA6"/>
    <w:rsid w:val="00201DFB"/>
    <w:rsid w:val="00204A63"/>
    <w:rsid w:val="002064AA"/>
    <w:rsid w:val="00212FF1"/>
    <w:rsid w:val="00230193"/>
    <w:rsid w:val="0025068A"/>
    <w:rsid w:val="002818D3"/>
    <w:rsid w:val="002C2A8B"/>
    <w:rsid w:val="002D11A8"/>
    <w:rsid w:val="0043223C"/>
    <w:rsid w:val="00445271"/>
    <w:rsid w:val="004A0504"/>
    <w:rsid w:val="004E38D9"/>
    <w:rsid w:val="005B0857"/>
    <w:rsid w:val="005B145B"/>
    <w:rsid w:val="005B62DF"/>
    <w:rsid w:val="00692E95"/>
    <w:rsid w:val="007315AE"/>
    <w:rsid w:val="00740D6D"/>
    <w:rsid w:val="007661D4"/>
    <w:rsid w:val="00794149"/>
    <w:rsid w:val="007B4854"/>
    <w:rsid w:val="007B67A7"/>
    <w:rsid w:val="007C6092"/>
    <w:rsid w:val="008A1D15"/>
    <w:rsid w:val="009020E0"/>
    <w:rsid w:val="00973B9C"/>
    <w:rsid w:val="00A053C6"/>
    <w:rsid w:val="00A1785A"/>
    <w:rsid w:val="00A45284"/>
    <w:rsid w:val="00B13BF0"/>
    <w:rsid w:val="00B17475"/>
    <w:rsid w:val="00B67B8F"/>
    <w:rsid w:val="00C1285C"/>
    <w:rsid w:val="00C27B7D"/>
    <w:rsid w:val="00C30E1A"/>
    <w:rsid w:val="00CA46D3"/>
    <w:rsid w:val="00CE7267"/>
    <w:rsid w:val="00CF7A43"/>
    <w:rsid w:val="00D1174F"/>
    <w:rsid w:val="00D81C26"/>
    <w:rsid w:val="00DA1B31"/>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44FC46-1265-401C-9D02-F15151D3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67B8F"/>
    <w:rPr>
      <w:rFonts w:ascii="Tahoma" w:hAnsi="Tahoma" w:cs="Tahoma"/>
      <w:sz w:val="16"/>
      <w:szCs w:val="16"/>
    </w:rPr>
  </w:style>
  <w:style w:type="paragraph" w:customStyle="1" w:styleId="Hemstlrubrik">
    <w:name w:val="Hemstl_rubrik"/>
    <w:basedOn w:val="Rubrik1"/>
    <w:next w:val="Normal"/>
    <w:rsid w:val="00692E9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92E9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683">
      <w:bodyDiv w:val="1"/>
      <w:marLeft w:val="0"/>
      <w:marRight w:val="0"/>
      <w:marTop w:val="0"/>
      <w:marBottom w:val="0"/>
      <w:divBdr>
        <w:top w:val="none" w:sz="0" w:space="0" w:color="auto"/>
        <w:left w:val="none" w:sz="0" w:space="0" w:color="auto"/>
        <w:bottom w:val="none" w:sz="0" w:space="0" w:color="auto"/>
        <w:right w:val="none" w:sz="0" w:space="0" w:color="auto"/>
      </w:divBdr>
    </w:div>
    <w:div w:id="866917606">
      <w:bodyDiv w:val="1"/>
      <w:marLeft w:val="0"/>
      <w:marRight w:val="0"/>
      <w:marTop w:val="0"/>
      <w:marBottom w:val="0"/>
      <w:divBdr>
        <w:top w:val="none" w:sz="0" w:space="0" w:color="auto"/>
        <w:left w:val="none" w:sz="0" w:space="0" w:color="auto"/>
        <w:bottom w:val="none" w:sz="0" w:space="0" w:color="auto"/>
        <w:right w:val="none" w:sz="0" w:space="0" w:color="auto"/>
      </w:divBdr>
    </w:div>
    <w:div w:id="10470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416</Words>
  <Characters>2632</Characters>
  <Application>Microsoft Office Word</Application>
  <DocSecurity>4</DocSecurity>
  <Lines>94</Lines>
  <Paragraphs>69</Paragraphs>
  <ScaleCrop>false</ScaleCrop>
  <HeadingPairs>
    <vt:vector size="2" baseType="variant">
      <vt:variant>
        <vt:lpstr>Rubrik</vt:lpstr>
      </vt:variant>
      <vt:variant>
        <vt:i4>1</vt:i4>
      </vt:variant>
    </vt:vector>
  </HeadingPairs>
  <TitlesOfParts>
    <vt:vector size="1" baseType="lpstr">
      <vt:lpstr>Bo330</vt:lpstr>
    </vt:vector>
  </TitlesOfParts>
  <Company>Riksdagen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Bo330</dc:title>
  <dc:subject>Bo330</dc:subject>
  <dc:creator>Riksdagen</dc:creator>
  <cp:keywords>Riksdagen</cp:keywords>
  <dc:description/>
  <cp:lastModifiedBy>Lars Brink</cp:lastModifiedBy>
  <cp:revision>2</cp:revision>
  <cp:lastPrinted>2006-01-19T13:17:00Z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18 Samhällsplanering, bostadsförsörjning och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och byggande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Rigmor Stenmark m.fl. (c)</vt:lpwstr>
  </property>
  <property fmtid="{D5CDD505-2E9C-101B-9397-08002B2CF9AE}" pid="26" name="MotionarLista">
    <vt:lpwstr>Stenmark, Rigmor (c)\Johansson, Jörgen (c)\Tiefensee, Roger (c)\Torstensson, Åsa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Jörgen Johansson (c), Roger Tiefensee (c), Åsa Torstensson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Bo330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20052006000000000099000001200075</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20052006000000000099000001200075</vt:lpwstr>
  </property>
  <property fmtid="{D5CDD505-2E9C-101B-9397-08002B2CF9AE}" pid="50" name="nummer">
    <vt:lpwstr>330</vt:lpwstr>
  </property>
  <property fmtid="{D5CDD505-2E9C-101B-9397-08002B2CF9AE}" pid="51" name="utskottsbeteckning">
    <vt:lpwstr>Bo</vt:lpwstr>
  </property>
</Properties>
</file>