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4FE24" w14:textId="77777777" w:rsidR="00FB32B9" w:rsidRDefault="007F2DE3" w:rsidP="00FB32B9">
      <w:pPr>
        <w:pStyle w:val="UDrubrik"/>
        <w:tabs>
          <w:tab w:val="left" w:pos="1701"/>
          <w:tab w:val="left" w:pos="1985"/>
        </w:tabs>
        <w:rPr>
          <w:rFonts w:cs="Arial"/>
          <w:sz w:val="28"/>
        </w:rPr>
      </w:pPr>
    </w:p>
    <w:p w14:paraId="4964FE25" w14:textId="77777777" w:rsidR="00FB32B9" w:rsidRDefault="007F2DE3" w:rsidP="00FB32B9">
      <w:pPr>
        <w:pStyle w:val="UDrubrik"/>
        <w:tabs>
          <w:tab w:val="left" w:pos="1701"/>
          <w:tab w:val="left" w:pos="1985"/>
        </w:tabs>
        <w:rPr>
          <w:rFonts w:cs="Arial"/>
          <w:sz w:val="28"/>
        </w:rPr>
      </w:pPr>
    </w:p>
    <w:p w14:paraId="4964FE26" w14:textId="77777777" w:rsidR="00FB32B9" w:rsidRDefault="007F2DE3" w:rsidP="00FB32B9">
      <w:pPr>
        <w:pStyle w:val="UDrubrik"/>
        <w:tabs>
          <w:tab w:val="left" w:pos="1701"/>
          <w:tab w:val="left" w:pos="1985"/>
        </w:tabs>
        <w:rPr>
          <w:rFonts w:cs="Arial"/>
          <w:sz w:val="28"/>
        </w:rPr>
      </w:pPr>
    </w:p>
    <w:p w14:paraId="4964FE27" w14:textId="77777777" w:rsidR="00FB32B9" w:rsidRDefault="007F2DE3" w:rsidP="00FB32B9">
      <w:pPr>
        <w:pStyle w:val="UDrubrik"/>
        <w:tabs>
          <w:tab w:val="left" w:pos="1701"/>
          <w:tab w:val="left" w:pos="1985"/>
        </w:tabs>
        <w:rPr>
          <w:rFonts w:cs="Arial"/>
          <w:sz w:val="28"/>
        </w:rPr>
      </w:pPr>
    </w:p>
    <w:p w14:paraId="4964FE28" w14:textId="29C21AA5" w:rsidR="00FB32B9" w:rsidRDefault="00BC3186"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0F39BF">
        <w:rPr>
          <w:rFonts w:cs="Arial"/>
          <w:sz w:val="28"/>
        </w:rPr>
        <w:t>den 4 mars 2015, vecka 10.</w:t>
      </w:r>
    </w:p>
    <w:p w14:paraId="4964FE29" w14:textId="77777777" w:rsidR="00FB32B9" w:rsidRDefault="007F2DE3" w:rsidP="00FB32B9">
      <w:pPr>
        <w:pStyle w:val="Brdtext"/>
      </w:pPr>
    </w:p>
    <w:p w14:paraId="4964FE2A" w14:textId="067893C5" w:rsidR="00FB32B9" w:rsidRDefault="00BC3186" w:rsidP="00FB32B9">
      <w:pPr>
        <w:pStyle w:val="Brdtext"/>
      </w:pPr>
      <w:r>
        <w:t xml:space="preserve">Överlämnas för skriftligt samråd till </w:t>
      </w:r>
      <w:r w:rsidR="000F39BF">
        <w:t>torsdagen den 5 mars 2015, kl. 08.30.</w:t>
      </w:r>
    </w:p>
    <w:p w14:paraId="4964FE2B" w14:textId="77777777" w:rsidR="00FB32B9" w:rsidRDefault="00BC3186">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964FE2C" w14:textId="77777777" w:rsidR="00D957FB" w:rsidRPr="00FB32B9" w:rsidRDefault="00BC3186">
          <w:pPr>
            <w:pStyle w:val="Innehllsfrteckningsrubrik"/>
            <w:rPr>
              <w:color w:val="auto"/>
            </w:rPr>
          </w:pPr>
          <w:r w:rsidRPr="00FB32B9">
            <w:rPr>
              <w:color w:val="auto"/>
            </w:rPr>
            <w:t>Innehållsförteckning</w:t>
          </w:r>
        </w:p>
        <w:p w14:paraId="4964FE2D" w14:textId="77777777" w:rsidR="00DA7250" w:rsidRPr="00DA7250" w:rsidRDefault="007F2DE3" w:rsidP="00DA7250">
          <w:pPr>
            <w:rPr>
              <w:lang w:val="en-US" w:eastAsia="ja-JP"/>
            </w:rPr>
          </w:pPr>
        </w:p>
        <w:p w14:paraId="433B8EA8" w14:textId="77777777" w:rsidR="009E1AD5" w:rsidRDefault="00BC318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3223951" w:history="1">
            <w:r w:rsidR="009E1AD5" w:rsidRPr="00156C2B">
              <w:rPr>
                <w:rStyle w:val="Hyperlnk"/>
                <w:noProof/>
              </w:rPr>
              <w:t>1.</w:t>
            </w:r>
            <w:r w:rsidR="009E1AD5">
              <w:rPr>
                <w:rFonts w:asciiTheme="minorHAnsi" w:eastAsiaTheme="minorEastAsia" w:hAnsiTheme="minorHAnsi" w:cstheme="minorBidi"/>
                <w:noProof/>
                <w:lang w:eastAsia="sv-SE"/>
              </w:rPr>
              <w:tab/>
            </w:r>
            <w:r w:rsidR="009E1AD5" w:rsidRPr="00156C2B">
              <w:rPr>
                <w:rStyle w:val="Hyperlnk"/>
                <w:noProof/>
              </w:rPr>
              <w:t>Replies to written questions put to the Council by Members of the European Parliament (+)</w:t>
            </w:r>
            <w:r w:rsidR="009E1AD5">
              <w:rPr>
                <w:noProof/>
                <w:webHidden/>
              </w:rPr>
              <w:tab/>
            </w:r>
            <w:r w:rsidR="009E1AD5">
              <w:rPr>
                <w:noProof/>
                <w:webHidden/>
              </w:rPr>
              <w:fldChar w:fldCharType="begin"/>
            </w:r>
            <w:r w:rsidR="009E1AD5">
              <w:rPr>
                <w:noProof/>
                <w:webHidden/>
              </w:rPr>
              <w:instrText xml:space="preserve"> PAGEREF _Toc413223951 \h </w:instrText>
            </w:r>
            <w:r w:rsidR="009E1AD5">
              <w:rPr>
                <w:noProof/>
                <w:webHidden/>
              </w:rPr>
            </w:r>
            <w:r w:rsidR="009E1AD5">
              <w:rPr>
                <w:noProof/>
                <w:webHidden/>
              </w:rPr>
              <w:fldChar w:fldCharType="separate"/>
            </w:r>
            <w:r w:rsidR="009E1AD5">
              <w:rPr>
                <w:noProof/>
                <w:webHidden/>
              </w:rPr>
              <w:t>3</w:t>
            </w:r>
            <w:r w:rsidR="009E1AD5">
              <w:rPr>
                <w:noProof/>
                <w:webHidden/>
              </w:rPr>
              <w:fldChar w:fldCharType="end"/>
            </w:r>
          </w:hyperlink>
        </w:p>
        <w:p w14:paraId="5EDC9381"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2" w:history="1">
            <w:r w:rsidRPr="00156C2B">
              <w:rPr>
                <w:rStyle w:val="Hyperlnk"/>
                <w:noProof/>
              </w:rPr>
              <w:t>2.</w:t>
            </w:r>
            <w:r>
              <w:rPr>
                <w:rFonts w:asciiTheme="minorHAnsi" w:eastAsiaTheme="minorEastAsia" w:hAnsiTheme="minorHAnsi" w:cstheme="minorBidi"/>
                <w:noProof/>
                <w:lang w:eastAsia="sv-SE"/>
              </w:rPr>
              <w:tab/>
            </w:r>
            <w:r w:rsidRPr="00156C2B">
              <w:rPr>
                <w:rStyle w:val="Hyperlnk"/>
                <w:noProof/>
              </w:rPr>
              <w:t>Advisory Committee on Freedom of Movement for Workers Appointment of Mr Petar STRIŽAK, member for Croatia, in place of Ms Ivana GUBEROVI?, who has resigned</w:t>
            </w:r>
            <w:r>
              <w:rPr>
                <w:noProof/>
                <w:webHidden/>
              </w:rPr>
              <w:tab/>
            </w:r>
            <w:r>
              <w:rPr>
                <w:noProof/>
                <w:webHidden/>
              </w:rPr>
              <w:fldChar w:fldCharType="begin"/>
            </w:r>
            <w:r>
              <w:rPr>
                <w:noProof/>
                <w:webHidden/>
              </w:rPr>
              <w:instrText xml:space="preserve"> PAGEREF _Toc413223952 \h </w:instrText>
            </w:r>
            <w:r>
              <w:rPr>
                <w:noProof/>
                <w:webHidden/>
              </w:rPr>
            </w:r>
            <w:r>
              <w:rPr>
                <w:noProof/>
                <w:webHidden/>
              </w:rPr>
              <w:fldChar w:fldCharType="separate"/>
            </w:r>
            <w:r>
              <w:rPr>
                <w:noProof/>
                <w:webHidden/>
              </w:rPr>
              <w:t>3</w:t>
            </w:r>
            <w:r>
              <w:rPr>
                <w:noProof/>
                <w:webHidden/>
              </w:rPr>
              <w:fldChar w:fldCharType="end"/>
            </w:r>
          </w:hyperlink>
        </w:p>
        <w:p w14:paraId="4F1398D9"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3" w:history="1">
            <w:r w:rsidRPr="00156C2B">
              <w:rPr>
                <w:rStyle w:val="Hyperlnk"/>
                <w:noProof/>
              </w:rPr>
              <w:t>3.</w:t>
            </w:r>
            <w:r>
              <w:rPr>
                <w:rFonts w:asciiTheme="minorHAnsi" w:eastAsiaTheme="minorEastAsia" w:hAnsiTheme="minorHAnsi" w:cstheme="minorBidi"/>
                <w:noProof/>
                <w:lang w:eastAsia="sv-SE"/>
              </w:rPr>
              <w:tab/>
            </w:r>
            <w:r w:rsidRPr="00156C2B">
              <w:rPr>
                <w:rStyle w:val="Hyperlnk"/>
                <w:noProof/>
              </w:rPr>
              <w:t>Advisory Committee on Freedom of Movement for Workers Appointment of Ms Ivana GUBEROVI?, alternate member for Croatia, in place of Ms Aleksandra GAVRILOVI?, who has resigned</w:t>
            </w:r>
            <w:r>
              <w:rPr>
                <w:noProof/>
                <w:webHidden/>
              </w:rPr>
              <w:tab/>
            </w:r>
            <w:r>
              <w:rPr>
                <w:noProof/>
                <w:webHidden/>
              </w:rPr>
              <w:fldChar w:fldCharType="begin"/>
            </w:r>
            <w:r>
              <w:rPr>
                <w:noProof/>
                <w:webHidden/>
              </w:rPr>
              <w:instrText xml:space="preserve"> PAGEREF _Toc413223953 \h </w:instrText>
            </w:r>
            <w:r>
              <w:rPr>
                <w:noProof/>
                <w:webHidden/>
              </w:rPr>
            </w:r>
            <w:r>
              <w:rPr>
                <w:noProof/>
                <w:webHidden/>
              </w:rPr>
              <w:fldChar w:fldCharType="separate"/>
            </w:r>
            <w:r>
              <w:rPr>
                <w:noProof/>
                <w:webHidden/>
              </w:rPr>
              <w:t>3</w:t>
            </w:r>
            <w:r>
              <w:rPr>
                <w:noProof/>
                <w:webHidden/>
              </w:rPr>
              <w:fldChar w:fldCharType="end"/>
            </w:r>
          </w:hyperlink>
        </w:p>
        <w:p w14:paraId="3DDBA6A2"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4" w:history="1">
            <w:r w:rsidRPr="00156C2B">
              <w:rPr>
                <w:rStyle w:val="Hyperlnk"/>
                <w:noProof/>
              </w:rPr>
              <w:t>4.</w:t>
            </w:r>
            <w:r>
              <w:rPr>
                <w:rFonts w:asciiTheme="minorHAnsi" w:eastAsiaTheme="minorEastAsia" w:hAnsiTheme="minorHAnsi" w:cstheme="minorBidi"/>
                <w:noProof/>
                <w:lang w:eastAsia="sv-SE"/>
              </w:rPr>
              <w:tab/>
            </w:r>
            <w:r w:rsidRPr="00156C2B">
              <w:rPr>
                <w:rStyle w:val="Hyperlnk"/>
                <w:noProof/>
              </w:rPr>
              <w:t>Commission Directive../…/EU of XXX amending Directive 2006/126/EC of the European Parliament and of the Council on driving licences</w:t>
            </w:r>
            <w:r>
              <w:rPr>
                <w:noProof/>
                <w:webHidden/>
              </w:rPr>
              <w:tab/>
            </w:r>
            <w:r>
              <w:rPr>
                <w:noProof/>
                <w:webHidden/>
              </w:rPr>
              <w:fldChar w:fldCharType="begin"/>
            </w:r>
            <w:r>
              <w:rPr>
                <w:noProof/>
                <w:webHidden/>
              </w:rPr>
              <w:instrText xml:space="preserve"> PAGEREF _Toc413223954 \h </w:instrText>
            </w:r>
            <w:r>
              <w:rPr>
                <w:noProof/>
                <w:webHidden/>
              </w:rPr>
            </w:r>
            <w:r>
              <w:rPr>
                <w:noProof/>
                <w:webHidden/>
              </w:rPr>
              <w:fldChar w:fldCharType="separate"/>
            </w:r>
            <w:r>
              <w:rPr>
                <w:noProof/>
                <w:webHidden/>
              </w:rPr>
              <w:t>4</w:t>
            </w:r>
            <w:r>
              <w:rPr>
                <w:noProof/>
                <w:webHidden/>
              </w:rPr>
              <w:fldChar w:fldCharType="end"/>
            </w:r>
          </w:hyperlink>
        </w:p>
        <w:p w14:paraId="2E945A9C"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5" w:history="1">
            <w:r w:rsidRPr="00156C2B">
              <w:rPr>
                <w:rStyle w:val="Hyperlnk"/>
                <w:noProof/>
              </w:rPr>
              <w:t>5.</w:t>
            </w:r>
            <w:r>
              <w:rPr>
                <w:rFonts w:asciiTheme="minorHAnsi" w:eastAsiaTheme="minorEastAsia" w:hAnsiTheme="minorHAnsi" w:cstheme="minorBidi"/>
                <w:noProof/>
                <w:lang w:eastAsia="sv-SE"/>
              </w:rPr>
              <w:tab/>
            </w:r>
            <w:r w:rsidRPr="00156C2B">
              <w:rPr>
                <w:rStyle w:val="Hyperlnk"/>
                <w:noProof/>
              </w:rPr>
              <w:t>Commission Regulation amending Decision 2012/757/EU concerning the technical specification for interoperability for the "operation and traffic management" subsystem of the rail system in the European Union</w:t>
            </w:r>
            <w:r>
              <w:rPr>
                <w:noProof/>
                <w:webHidden/>
              </w:rPr>
              <w:tab/>
            </w:r>
            <w:r>
              <w:rPr>
                <w:noProof/>
                <w:webHidden/>
              </w:rPr>
              <w:fldChar w:fldCharType="begin"/>
            </w:r>
            <w:r>
              <w:rPr>
                <w:noProof/>
                <w:webHidden/>
              </w:rPr>
              <w:instrText xml:space="preserve"> PAGEREF _Toc413223955 \h </w:instrText>
            </w:r>
            <w:r>
              <w:rPr>
                <w:noProof/>
                <w:webHidden/>
              </w:rPr>
            </w:r>
            <w:r>
              <w:rPr>
                <w:noProof/>
                <w:webHidden/>
              </w:rPr>
              <w:fldChar w:fldCharType="separate"/>
            </w:r>
            <w:r>
              <w:rPr>
                <w:noProof/>
                <w:webHidden/>
              </w:rPr>
              <w:t>4</w:t>
            </w:r>
            <w:r>
              <w:rPr>
                <w:noProof/>
                <w:webHidden/>
              </w:rPr>
              <w:fldChar w:fldCharType="end"/>
            </w:r>
          </w:hyperlink>
        </w:p>
        <w:p w14:paraId="0C64F0A3"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6" w:history="1">
            <w:r w:rsidRPr="00156C2B">
              <w:rPr>
                <w:rStyle w:val="Hyperlnk"/>
                <w:noProof/>
              </w:rPr>
              <w:t>6.</w:t>
            </w:r>
            <w:r>
              <w:rPr>
                <w:rFonts w:asciiTheme="minorHAnsi" w:eastAsiaTheme="minorEastAsia" w:hAnsiTheme="minorHAnsi" w:cstheme="minorBidi"/>
                <w:noProof/>
                <w:lang w:eastAsia="sv-SE"/>
              </w:rPr>
              <w:tab/>
            </w:r>
            <w:r w:rsidRPr="00156C2B">
              <w:rPr>
                <w:rStyle w:val="Hyperlnk"/>
                <w:noProof/>
              </w:rPr>
              <w:t>Commission Regulation amending Regulation (EU) No 321/2013 concerning the technical specification for interoperability relating to the subsystem "rolling stock - freight wagons" of the rail system in the European Union</w:t>
            </w:r>
            <w:r>
              <w:rPr>
                <w:noProof/>
                <w:webHidden/>
              </w:rPr>
              <w:tab/>
            </w:r>
            <w:r>
              <w:rPr>
                <w:noProof/>
                <w:webHidden/>
              </w:rPr>
              <w:fldChar w:fldCharType="begin"/>
            </w:r>
            <w:r>
              <w:rPr>
                <w:noProof/>
                <w:webHidden/>
              </w:rPr>
              <w:instrText xml:space="preserve"> PAGEREF _Toc413223956 \h </w:instrText>
            </w:r>
            <w:r>
              <w:rPr>
                <w:noProof/>
                <w:webHidden/>
              </w:rPr>
            </w:r>
            <w:r>
              <w:rPr>
                <w:noProof/>
                <w:webHidden/>
              </w:rPr>
              <w:fldChar w:fldCharType="separate"/>
            </w:r>
            <w:r>
              <w:rPr>
                <w:noProof/>
                <w:webHidden/>
              </w:rPr>
              <w:t>5</w:t>
            </w:r>
            <w:r>
              <w:rPr>
                <w:noProof/>
                <w:webHidden/>
              </w:rPr>
              <w:fldChar w:fldCharType="end"/>
            </w:r>
          </w:hyperlink>
        </w:p>
        <w:p w14:paraId="17704827"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7" w:history="1">
            <w:r w:rsidRPr="00156C2B">
              <w:rPr>
                <w:rStyle w:val="Hyperlnk"/>
                <w:noProof/>
              </w:rPr>
              <w:t>7.</w:t>
            </w:r>
            <w:r>
              <w:rPr>
                <w:rFonts w:asciiTheme="minorHAnsi" w:eastAsiaTheme="minorEastAsia" w:hAnsiTheme="minorHAnsi" w:cstheme="minorBidi"/>
                <w:noProof/>
                <w:lang w:eastAsia="sv-SE"/>
              </w:rPr>
              <w:tab/>
            </w:r>
            <w:r w:rsidRPr="00156C2B">
              <w:rPr>
                <w:rStyle w:val="Hyperlnk"/>
                <w:noProof/>
              </w:rPr>
              <w:t>Commission Regulation (EU) No …/.. of XXX amending Annexes II, III and V to Regulation (EC) No 396/2005 of the European Parliament and of the Council as regards maximum residue levels for 2-naphthyloxyacetic acid, acetochlor, chloropicrin, diflufenican, flurprimidol, flutolanil and spinosad in or on certain products</w:t>
            </w:r>
            <w:r>
              <w:rPr>
                <w:noProof/>
                <w:webHidden/>
              </w:rPr>
              <w:tab/>
            </w:r>
            <w:r>
              <w:rPr>
                <w:noProof/>
                <w:webHidden/>
              </w:rPr>
              <w:fldChar w:fldCharType="begin"/>
            </w:r>
            <w:r>
              <w:rPr>
                <w:noProof/>
                <w:webHidden/>
              </w:rPr>
              <w:instrText xml:space="preserve"> PAGEREF _Toc413223957 \h </w:instrText>
            </w:r>
            <w:r>
              <w:rPr>
                <w:noProof/>
                <w:webHidden/>
              </w:rPr>
            </w:r>
            <w:r>
              <w:rPr>
                <w:noProof/>
                <w:webHidden/>
              </w:rPr>
              <w:fldChar w:fldCharType="separate"/>
            </w:r>
            <w:r>
              <w:rPr>
                <w:noProof/>
                <w:webHidden/>
              </w:rPr>
              <w:t>6</w:t>
            </w:r>
            <w:r>
              <w:rPr>
                <w:noProof/>
                <w:webHidden/>
              </w:rPr>
              <w:fldChar w:fldCharType="end"/>
            </w:r>
          </w:hyperlink>
        </w:p>
        <w:p w14:paraId="498CB6B7"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8" w:history="1">
            <w:r w:rsidRPr="00156C2B">
              <w:rPr>
                <w:rStyle w:val="Hyperlnk"/>
                <w:noProof/>
              </w:rPr>
              <w:t>8.</w:t>
            </w:r>
            <w:r>
              <w:rPr>
                <w:rFonts w:asciiTheme="minorHAnsi" w:eastAsiaTheme="minorEastAsia" w:hAnsiTheme="minorHAnsi" w:cstheme="minorBidi"/>
                <w:noProof/>
                <w:lang w:eastAsia="sv-SE"/>
              </w:rPr>
              <w:tab/>
            </w:r>
            <w:r w:rsidRPr="00156C2B">
              <w:rPr>
                <w:rStyle w:val="Hyperlnk"/>
                <w:noProof/>
              </w:rPr>
              <w:t>Commission Regulation (EU) …/… of XXX defining acceptability criteria for detoxification processes applied to products intended for animal feed as provided for in Directive 2002/32/EC of the European Parliament and of the Council</w:t>
            </w:r>
            <w:r>
              <w:rPr>
                <w:noProof/>
                <w:webHidden/>
              </w:rPr>
              <w:tab/>
            </w:r>
            <w:r>
              <w:rPr>
                <w:noProof/>
                <w:webHidden/>
              </w:rPr>
              <w:fldChar w:fldCharType="begin"/>
            </w:r>
            <w:r>
              <w:rPr>
                <w:noProof/>
                <w:webHidden/>
              </w:rPr>
              <w:instrText xml:space="preserve"> PAGEREF _Toc413223958 \h </w:instrText>
            </w:r>
            <w:r>
              <w:rPr>
                <w:noProof/>
                <w:webHidden/>
              </w:rPr>
            </w:r>
            <w:r>
              <w:rPr>
                <w:noProof/>
                <w:webHidden/>
              </w:rPr>
              <w:fldChar w:fldCharType="separate"/>
            </w:r>
            <w:r>
              <w:rPr>
                <w:noProof/>
                <w:webHidden/>
              </w:rPr>
              <w:t>7</w:t>
            </w:r>
            <w:r>
              <w:rPr>
                <w:noProof/>
                <w:webHidden/>
              </w:rPr>
              <w:fldChar w:fldCharType="end"/>
            </w:r>
          </w:hyperlink>
        </w:p>
        <w:p w14:paraId="364A6D50" w14:textId="77777777" w:rsidR="009E1AD5" w:rsidRDefault="009E1AD5">
          <w:pPr>
            <w:pStyle w:val="Innehll1"/>
            <w:tabs>
              <w:tab w:val="left" w:pos="440"/>
              <w:tab w:val="right" w:leader="dot" w:pos="9062"/>
            </w:tabs>
            <w:rPr>
              <w:rFonts w:asciiTheme="minorHAnsi" w:eastAsiaTheme="minorEastAsia" w:hAnsiTheme="minorHAnsi" w:cstheme="minorBidi"/>
              <w:noProof/>
              <w:lang w:eastAsia="sv-SE"/>
            </w:rPr>
          </w:pPr>
          <w:hyperlink w:anchor="_Toc413223959" w:history="1">
            <w:r w:rsidRPr="00156C2B">
              <w:rPr>
                <w:rStyle w:val="Hyperlnk"/>
                <w:noProof/>
              </w:rPr>
              <w:t>9.</w:t>
            </w:r>
            <w:r>
              <w:rPr>
                <w:rFonts w:asciiTheme="minorHAnsi" w:eastAsiaTheme="minorEastAsia" w:hAnsiTheme="minorHAnsi" w:cstheme="minorBidi"/>
                <w:noProof/>
                <w:lang w:eastAsia="sv-SE"/>
              </w:rPr>
              <w:tab/>
            </w:r>
            <w:r w:rsidRPr="00156C2B">
              <w:rPr>
                <w:rStyle w:val="Hyperlnk"/>
                <w:noProof/>
              </w:rPr>
              <w:t>Commission Directive ../…/EU of XXX establishing common noise assessment methods according to Directive 2002/49/EC</w:t>
            </w:r>
            <w:r>
              <w:rPr>
                <w:noProof/>
                <w:webHidden/>
              </w:rPr>
              <w:tab/>
            </w:r>
            <w:r>
              <w:rPr>
                <w:noProof/>
                <w:webHidden/>
              </w:rPr>
              <w:fldChar w:fldCharType="begin"/>
            </w:r>
            <w:r>
              <w:rPr>
                <w:noProof/>
                <w:webHidden/>
              </w:rPr>
              <w:instrText xml:space="preserve"> PAGEREF _Toc413223959 \h </w:instrText>
            </w:r>
            <w:r>
              <w:rPr>
                <w:noProof/>
                <w:webHidden/>
              </w:rPr>
            </w:r>
            <w:r>
              <w:rPr>
                <w:noProof/>
                <w:webHidden/>
              </w:rPr>
              <w:fldChar w:fldCharType="separate"/>
            </w:r>
            <w:r>
              <w:rPr>
                <w:noProof/>
                <w:webHidden/>
              </w:rPr>
              <w:t>7</w:t>
            </w:r>
            <w:r>
              <w:rPr>
                <w:noProof/>
                <w:webHidden/>
              </w:rPr>
              <w:fldChar w:fldCharType="end"/>
            </w:r>
          </w:hyperlink>
        </w:p>
        <w:p w14:paraId="60505FF1" w14:textId="77777777" w:rsidR="009E1AD5" w:rsidRDefault="009E1AD5">
          <w:pPr>
            <w:pStyle w:val="Innehll1"/>
            <w:tabs>
              <w:tab w:val="left" w:pos="660"/>
              <w:tab w:val="right" w:leader="dot" w:pos="9062"/>
            </w:tabs>
            <w:rPr>
              <w:rFonts w:asciiTheme="minorHAnsi" w:eastAsiaTheme="minorEastAsia" w:hAnsiTheme="minorHAnsi" w:cstheme="minorBidi"/>
              <w:noProof/>
              <w:lang w:eastAsia="sv-SE"/>
            </w:rPr>
          </w:pPr>
          <w:hyperlink w:anchor="_Toc413223960" w:history="1">
            <w:r w:rsidRPr="00156C2B">
              <w:rPr>
                <w:rStyle w:val="Hyperlnk"/>
                <w:noProof/>
              </w:rPr>
              <w:t>10.</w:t>
            </w:r>
            <w:r>
              <w:rPr>
                <w:rFonts w:asciiTheme="minorHAnsi" w:eastAsiaTheme="minorEastAsia" w:hAnsiTheme="minorHAnsi" w:cstheme="minorBidi"/>
                <w:noProof/>
                <w:lang w:eastAsia="sv-SE"/>
              </w:rPr>
              <w:tab/>
            </w:r>
            <w:r w:rsidRPr="00156C2B">
              <w:rPr>
                <w:rStyle w:val="Hyperlnk"/>
                <w:noProof/>
              </w:rPr>
              <w:t>Commission Decision of XXX on reference document on best environmental management practice, sector environmental performance indicators and benchmarks of excellence for the retail trade sector under Regulation (EC) No 1221/2009 on the voluntary participation by organisations in a Community eco-management and audit scheme (EMAS)</w:t>
            </w:r>
            <w:r>
              <w:rPr>
                <w:noProof/>
                <w:webHidden/>
              </w:rPr>
              <w:tab/>
            </w:r>
            <w:r>
              <w:rPr>
                <w:noProof/>
                <w:webHidden/>
              </w:rPr>
              <w:fldChar w:fldCharType="begin"/>
            </w:r>
            <w:r>
              <w:rPr>
                <w:noProof/>
                <w:webHidden/>
              </w:rPr>
              <w:instrText xml:space="preserve"> PAGEREF _Toc413223960 \h </w:instrText>
            </w:r>
            <w:r>
              <w:rPr>
                <w:noProof/>
                <w:webHidden/>
              </w:rPr>
            </w:r>
            <w:r>
              <w:rPr>
                <w:noProof/>
                <w:webHidden/>
              </w:rPr>
              <w:fldChar w:fldCharType="separate"/>
            </w:r>
            <w:r>
              <w:rPr>
                <w:noProof/>
                <w:webHidden/>
              </w:rPr>
              <w:t>8</w:t>
            </w:r>
            <w:r>
              <w:rPr>
                <w:noProof/>
                <w:webHidden/>
              </w:rPr>
              <w:fldChar w:fldCharType="end"/>
            </w:r>
          </w:hyperlink>
        </w:p>
        <w:p w14:paraId="067D7E24" w14:textId="77777777" w:rsidR="009E1AD5" w:rsidRDefault="009E1AD5">
          <w:pPr>
            <w:pStyle w:val="Innehll1"/>
            <w:tabs>
              <w:tab w:val="left" w:pos="660"/>
              <w:tab w:val="right" w:leader="dot" w:pos="9062"/>
            </w:tabs>
            <w:rPr>
              <w:rFonts w:asciiTheme="minorHAnsi" w:eastAsiaTheme="minorEastAsia" w:hAnsiTheme="minorHAnsi" w:cstheme="minorBidi"/>
              <w:noProof/>
              <w:lang w:eastAsia="sv-SE"/>
            </w:rPr>
          </w:pPr>
          <w:hyperlink w:anchor="_Toc413223961" w:history="1">
            <w:r w:rsidRPr="00156C2B">
              <w:rPr>
                <w:rStyle w:val="Hyperlnk"/>
                <w:noProof/>
              </w:rPr>
              <w:t>11.</w:t>
            </w:r>
            <w:r>
              <w:rPr>
                <w:rFonts w:asciiTheme="minorHAnsi" w:eastAsiaTheme="minorEastAsia" w:hAnsiTheme="minorHAnsi" w:cstheme="minorBidi"/>
                <w:noProof/>
                <w:lang w:eastAsia="sv-SE"/>
              </w:rPr>
              <w:tab/>
            </w:r>
            <w:r w:rsidRPr="00156C2B">
              <w:rPr>
                <w:rStyle w:val="Hyperlnk"/>
                <w:noProof/>
              </w:rPr>
              <w:t>Commission Delegated Directive ../…/EU of 30.1.2015 amending, for the purposes of adapting to technical progress, Annex IV to Directive 2011/65/EU of the European Parliament and of the Council as regards an exemption for lead in polyvinyl chloride sensors in in-vitro diagnostic medical devices</w:t>
            </w:r>
            <w:r>
              <w:rPr>
                <w:noProof/>
                <w:webHidden/>
              </w:rPr>
              <w:tab/>
            </w:r>
            <w:r>
              <w:rPr>
                <w:noProof/>
                <w:webHidden/>
              </w:rPr>
              <w:fldChar w:fldCharType="begin"/>
            </w:r>
            <w:r>
              <w:rPr>
                <w:noProof/>
                <w:webHidden/>
              </w:rPr>
              <w:instrText xml:space="preserve"> PAGEREF _Toc413223961 \h </w:instrText>
            </w:r>
            <w:r>
              <w:rPr>
                <w:noProof/>
                <w:webHidden/>
              </w:rPr>
            </w:r>
            <w:r>
              <w:rPr>
                <w:noProof/>
                <w:webHidden/>
              </w:rPr>
              <w:fldChar w:fldCharType="separate"/>
            </w:r>
            <w:r>
              <w:rPr>
                <w:noProof/>
                <w:webHidden/>
              </w:rPr>
              <w:t>8</w:t>
            </w:r>
            <w:r>
              <w:rPr>
                <w:noProof/>
                <w:webHidden/>
              </w:rPr>
              <w:fldChar w:fldCharType="end"/>
            </w:r>
          </w:hyperlink>
        </w:p>
        <w:p w14:paraId="175CD989" w14:textId="77777777" w:rsidR="009E1AD5" w:rsidRDefault="009E1AD5">
          <w:pPr>
            <w:pStyle w:val="Innehll1"/>
            <w:tabs>
              <w:tab w:val="left" w:pos="660"/>
              <w:tab w:val="right" w:leader="dot" w:pos="9062"/>
            </w:tabs>
            <w:rPr>
              <w:rFonts w:asciiTheme="minorHAnsi" w:eastAsiaTheme="minorEastAsia" w:hAnsiTheme="minorHAnsi" w:cstheme="minorBidi"/>
              <w:noProof/>
              <w:lang w:eastAsia="sv-SE"/>
            </w:rPr>
          </w:pPr>
          <w:hyperlink w:anchor="_Toc413223962" w:history="1">
            <w:r w:rsidRPr="00156C2B">
              <w:rPr>
                <w:rStyle w:val="Hyperlnk"/>
                <w:noProof/>
              </w:rPr>
              <w:t>12.</w:t>
            </w:r>
            <w:r>
              <w:rPr>
                <w:rFonts w:asciiTheme="minorHAnsi" w:eastAsiaTheme="minorEastAsia" w:hAnsiTheme="minorHAnsi" w:cstheme="minorBidi"/>
                <w:noProof/>
                <w:lang w:eastAsia="sv-SE"/>
              </w:rPr>
              <w:tab/>
            </w:r>
            <w:r w:rsidRPr="00156C2B">
              <w:rPr>
                <w:rStyle w:val="Hyperlnk"/>
                <w:noProof/>
              </w:rPr>
              <w:t>Commission Delegated Directive ../…/EU of 30.1.2015 amending, for the purposes of adapting to technical progress, Annex IV to Directive 2011/65/EU of the European Parliament and of the Council as regards an exemption for mercury in intravascular ultrasound imaging systems</w:t>
            </w:r>
            <w:r>
              <w:rPr>
                <w:noProof/>
                <w:webHidden/>
              </w:rPr>
              <w:tab/>
            </w:r>
            <w:r>
              <w:rPr>
                <w:noProof/>
                <w:webHidden/>
              </w:rPr>
              <w:fldChar w:fldCharType="begin"/>
            </w:r>
            <w:r>
              <w:rPr>
                <w:noProof/>
                <w:webHidden/>
              </w:rPr>
              <w:instrText xml:space="preserve"> PAGEREF _Toc413223962 \h </w:instrText>
            </w:r>
            <w:r>
              <w:rPr>
                <w:noProof/>
                <w:webHidden/>
              </w:rPr>
            </w:r>
            <w:r>
              <w:rPr>
                <w:noProof/>
                <w:webHidden/>
              </w:rPr>
              <w:fldChar w:fldCharType="separate"/>
            </w:r>
            <w:r>
              <w:rPr>
                <w:noProof/>
                <w:webHidden/>
              </w:rPr>
              <w:t>9</w:t>
            </w:r>
            <w:r>
              <w:rPr>
                <w:noProof/>
                <w:webHidden/>
              </w:rPr>
              <w:fldChar w:fldCharType="end"/>
            </w:r>
          </w:hyperlink>
        </w:p>
        <w:p w14:paraId="601227EC" w14:textId="77777777" w:rsidR="009E1AD5" w:rsidRDefault="009E1AD5">
          <w:pPr>
            <w:pStyle w:val="Innehll1"/>
            <w:tabs>
              <w:tab w:val="left" w:pos="660"/>
              <w:tab w:val="right" w:leader="dot" w:pos="9062"/>
            </w:tabs>
            <w:rPr>
              <w:rFonts w:asciiTheme="minorHAnsi" w:eastAsiaTheme="minorEastAsia" w:hAnsiTheme="minorHAnsi" w:cstheme="minorBidi"/>
              <w:noProof/>
              <w:lang w:eastAsia="sv-SE"/>
            </w:rPr>
          </w:pPr>
          <w:hyperlink w:anchor="_Toc413223963" w:history="1">
            <w:r w:rsidRPr="00156C2B">
              <w:rPr>
                <w:rStyle w:val="Hyperlnk"/>
                <w:noProof/>
              </w:rPr>
              <w:t>13.</w:t>
            </w:r>
            <w:r>
              <w:rPr>
                <w:rFonts w:asciiTheme="minorHAnsi" w:eastAsiaTheme="minorEastAsia" w:hAnsiTheme="minorHAnsi" w:cstheme="minorBidi"/>
                <w:noProof/>
                <w:lang w:eastAsia="sv-SE"/>
              </w:rPr>
              <w:tab/>
            </w:r>
            <w:r w:rsidRPr="00156C2B">
              <w:rPr>
                <w:rStyle w:val="Hyperlnk"/>
                <w:noProof/>
              </w:rPr>
              <w:t>Proposal for a Regulation of the European Parliament and of the Council on the monitoring, reporting and verification of carbon dioxide emissions from maritime transport and amending Regulation (EU) No 525/2013 (First reading) (Legislative deliberation)</w:t>
            </w:r>
            <w:r>
              <w:rPr>
                <w:noProof/>
                <w:webHidden/>
              </w:rPr>
              <w:tab/>
            </w:r>
            <w:r>
              <w:rPr>
                <w:noProof/>
                <w:webHidden/>
              </w:rPr>
              <w:fldChar w:fldCharType="begin"/>
            </w:r>
            <w:r>
              <w:rPr>
                <w:noProof/>
                <w:webHidden/>
              </w:rPr>
              <w:instrText xml:space="preserve"> PAGEREF _Toc413223963 \h </w:instrText>
            </w:r>
            <w:r>
              <w:rPr>
                <w:noProof/>
                <w:webHidden/>
              </w:rPr>
            </w:r>
            <w:r>
              <w:rPr>
                <w:noProof/>
                <w:webHidden/>
              </w:rPr>
              <w:fldChar w:fldCharType="separate"/>
            </w:r>
            <w:r>
              <w:rPr>
                <w:noProof/>
                <w:webHidden/>
              </w:rPr>
              <w:t>10</w:t>
            </w:r>
            <w:r>
              <w:rPr>
                <w:noProof/>
                <w:webHidden/>
              </w:rPr>
              <w:fldChar w:fldCharType="end"/>
            </w:r>
          </w:hyperlink>
        </w:p>
        <w:p w14:paraId="4964FE3D" w14:textId="77777777" w:rsidR="00D957FB" w:rsidRDefault="00BC3186">
          <w:r>
            <w:rPr>
              <w:b/>
              <w:bCs/>
              <w:noProof/>
            </w:rPr>
            <w:fldChar w:fldCharType="end"/>
          </w:r>
        </w:p>
      </w:sdtContent>
    </w:sdt>
    <w:p w14:paraId="4964FE3E" w14:textId="77777777" w:rsidR="00D957FB" w:rsidRDefault="00BC3186">
      <w:pPr>
        <w:ind w:left="0"/>
      </w:pPr>
      <w:r>
        <w:br w:type="page"/>
      </w:r>
    </w:p>
    <w:p w14:paraId="4964FE3F" w14:textId="77777777" w:rsidR="00643D86" w:rsidRDefault="007F2DE3" w:rsidP="00643D86">
      <w:pPr>
        <w:pStyle w:val="Rubrik1"/>
        <w:numPr>
          <w:ilvl w:val="0"/>
          <w:numId w:val="0"/>
        </w:numPr>
      </w:pPr>
      <w:bookmarkStart w:id="0" w:name="_Toc364854645"/>
    </w:p>
    <w:p w14:paraId="4964FE40" w14:textId="77777777" w:rsidR="00643D86" w:rsidRDefault="00BC3186" w:rsidP="00643D86">
      <w:pPr>
        <w:pStyle w:val="Rubrik1"/>
      </w:pPr>
      <w:bookmarkStart w:id="1" w:name="_Toc413223951"/>
      <w:r>
        <w:rPr>
          <w:noProof/>
        </w:rPr>
        <w:t>Replies to written questions put to the Council by Members of the European Parliament (+)</w:t>
      </w:r>
      <w:bookmarkEnd w:id="1"/>
    </w:p>
    <w:p w14:paraId="4964FE41" w14:textId="1A0F0D28" w:rsidR="00643D86" w:rsidRPr="00083010" w:rsidRDefault="00BC3186" w:rsidP="00083010">
      <w:pPr>
        <w:pStyle w:val="Liststycke"/>
        <w:numPr>
          <w:ilvl w:val="0"/>
          <w:numId w:val="4"/>
        </w:numPr>
        <w:rPr>
          <w:lang w:val="en-US"/>
        </w:rPr>
      </w:pPr>
      <w:r w:rsidRPr="00083010">
        <w:rPr>
          <w:lang w:val="en-US"/>
        </w:rPr>
        <w:t xml:space="preserve">E-009274/2014 - Marina </w:t>
      </w:r>
      <w:proofErr w:type="spellStart"/>
      <w:r w:rsidRPr="00083010">
        <w:rPr>
          <w:lang w:val="en-US"/>
        </w:rPr>
        <w:t>Albiol</w:t>
      </w:r>
      <w:bookmarkStart w:id="2" w:name="_GoBack"/>
      <w:bookmarkEnd w:id="2"/>
      <w:proofErr w:type="spellEnd"/>
      <w:r w:rsidRPr="00083010">
        <w:rPr>
          <w:lang w:val="en-US"/>
        </w:rPr>
        <w:t xml:space="preserve"> </w:t>
      </w:r>
      <w:proofErr w:type="spellStart"/>
      <w:r w:rsidRPr="00083010">
        <w:rPr>
          <w:lang w:val="en-US"/>
        </w:rPr>
        <w:t>Guzmán</w:t>
      </w:r>
      <w:proofErr w:type="spellEnd"/>
      <w:r w:rsidRPr="00083010">
        <w:rPr>
          <w:lang w:val="en-US"/>
        </w:rPr>
        <w:t xml:space="preserve"> (GUE/NGL) Role of the Council in negotiating Interpol Resolution AG-2</w:t>
      </w:r>
      <w:r w:rsidR="00083010" w:rsidRPr="00083010">
        <w:rPr>
          <w:lang w:val="en-US"/>
        </w:rPr>
        <w:t xml:space="preserve">010-RES-106000/15 PE-QE 54 </w:t>
      </w:r>
      <w:r w:rsidRPr="00083010">
        <w:rPr>
          <w:lang w:val="en-US"/>
        </w:rPr>
        <w:t>b)</w:t>
      </w:r>
      <w:r w:rsidR="00083010" w:rsidRPr="00083010">
        <w:rPr>
          <w:lang w:val="en-US"/>
        </w:rPr>
        <w:t xml:space="preserve"> </w:t>
      </w:r>
      <w:r w:rsidRPr="00083010">
        <w:rPr>
          <w:lang w:val="en-US"/>
        </w:rPr>
        <w:t xml:space="preserve">E-010455/2014 - Juan Carlos </w:t>
      </w:r>
      <w:proofErr w:type="spellStart"/>
      <w:r w:rsidRPr="00083010">
        <w:rPr>
          <w:lang w:val="en-US"/>
        </w:rPr>
        <w:t>Girauta</w:t>
      </w:r>
      <w:proofErr w:type="spellEnd"/>
      <w:r w:rsidRPr="00083010">
        <w:rPr>
          <w:lang w:val="en-US"/>
        </w:rPr>
        <w:t xml:space="preserve"> Vidal (ALDE), Javier </w:t>
      </w:r>
      <w:proofErr w:type="spellStart"/>
      <w:r w:rsidRPr="00083010">
        <w:rPr>
          <w:lang w:val="en-US"/>
        </w:rPr>
        <w:t>Nart</w:t>
      </w:r>
      <w:proofErr w:type="spellEnd"/>
      <w:r w:rsidRPr="00083010">
        <w:rPr>
          <w:lang w:val="en-US"/>
        </w:rPr>
        <w:t xml:space="preserve"> (ALDE), Fernando Maura </w:t>
      </w:r>
      <w:proofErr w:type="spellStart"/>
      <w:r w:rsidRPr="00083010">
        <w:rPr>
          <w:lang w:val="en-US"/>
        </w:rPr>
        <w:t>Barandiarán</w:t>
      </w:r>
      <w:proofErr w:type="spellEnd"/>
      <w:r w:rsidRPr="00083010">
        <w:rPr>
          <w:lang w:val="en-US"/>
        </w:rPr>
        <w:t xml:space="preserve"> (ALDE), Yana </w:t>
      </w:r>
      <w:proofErr w:type="spellStart"/>
      <w:r w:rsidRPr="00083010">
        <w:rPr>
          <w:lang w:val="en-US"/>
        </w:rPr>
        <w:t>Toom</w:t>
      </w:r>
      <w:proofErr w:type="spellEnd"/>
      <w:r w:rsidRPr="00083010">
        <w:rPr>
          <w:lang w:val="en-US"/>
        </w:rPr>
        <w:t xml:space="preserve"> (ALDE), Enrique </w:t>
      </w:r>
      <w:proofErr w:type="spellStart"/>
      <w:r w:rsidRPr="00083010">
        <w:rPr>
          <w:lang w:val="en-US"/>
        </w:rPr>
        <w:t>Calvet</w:t>
      </w:r>
      <w:proofErr w:type="spellEnd"/>
      <w:r w:rsidRPr="00083010">
        <w:rPr>
          <w:lang w:val="en-US"/>
        </w:rPr>
        <w:t xml:space="preserve"> </w:t>
      </w:r>
      <w:proofErr w:type="spellStart"/>
      <w:r w:rsidRPr="00083010">
        <w:rPr>
          <w:lang w:val="en-US"/>
        </w:rPr>
        <w:t>Chambon</w:t>
      </w:r>
      <w:proofErr w:type="spellEnd"/>
      <w:r w:rsidRPr="00083010">
        <w:rPr>
          <w:lang w:val="en-US"/>
        </w:rPr>
        <w:t xml:space="preserve"> (ALDE), Enrico </w:t>
      </w:r>
      <w:proofErr w:type="spellStart"/>
      <w:r w:rsidRPr="00083010">
        <w:rPr>
          <w:lang w:val="en-US"/>
        </w:rPr>
        <w:t>Gasbarra</w:t>
      </w:r>
      <w:proofErr w:type="spellEnd"/>
      <w:r w:rsidRPr="00083010">
        <w:rPr>
          <w:lang w:val="en-US"/>
        </w:rPr>
        <w:t xml:space="preserve"> (</w:t>
      </w:r>
      <w:proofErr w:type="spellStart"/>
      <w:r w:rsidRPr="00083010">
        <w:rPr>
          <w:lang w:val="en-US"/>
        </w:rPr>
        <w:t>S&amp;amp;D</w:t>
      </w:r>
      <w:proofErr w:type="spellEnd"/>
      <w:r w:rsidRPr="00083010">
        <w:rPr>
          <w:lang w:val="en-US"/>
        </w:rPr>
        <w:t xml:space="preserve">), Alessandra </w:t>
      </w:r>
      <w:proofErr w:type="spellStart"/>
      <w:r w:rsidRPr="00083010">
        <w:rPr>
          <w:lang w:val="en-US"/>
        </w:rPr>
        <w:t>Moretti</w:t>
      </w:r>
      <w:proofErr w:type="spellEnd"/>
      <w:r w:rsidRPr="00083010">
        <w:rPr>
          <w:lang w:val="en-US"/>
        </w:rPr>
        <w:t xml:space="preserve"> (</w:t>
      </w:r>
      <w:proofErr w:type="spellStart"/>
      <w:r w:rsidRPr="00083010">
        <w:rPr>
          <w:lang w:val="en-US"/>
        </w:rPr>
        <w:t>S&amp;amp;D</w:t>
      </w:r>
      <w:proofErr w:type="spellEnd"/>
      <w:r w:rsidRPr="00083010">
        <w:rPr>
          <w:lang w:val="en-US"/>
        </w:rPr>
        <w:t xml:space="preserve">), Julia </w:t>
      </w:r>
      <w:proofErr w:type="spellStart"/>
      <w:r w:rsidRPr="00083010">
        <w:rPr>
          <w:lang w:val="en-US"/>
        </w:rPr>
        <w:t>Reda</w:t>
      </w:r>
      <w:proofErr w:type="spellEnd"/>
      <w:r w:rsidRPr="00083010">
        <w:rPr>
          <w:lang w:val="en-US"/>
        </w:rPr>
        <w:t xml:space="preserve"> (</w:t>
      </w:r>
      <w:proofErr w:type="spellStart"/>
      <w:r w:rsidRPr="00083010">
        <w:rPr>
          <w:lang w:val="en-US"/>
        </w:rPr>
        <w:t>Verts</w:t>
      </w:r>
      <w:proofErr w:type="spellEnd"/>
      <w:r w:rsidRPr="00083010">
        <w:rPr>
          <w:lang w:val="en-US"/>
        </w:rPr>
        <w:t>/ALE), Pascal Durand (</w:t>
      </w:r>
      <w:proofErr w:type="spellStart"/>
      <w:r w:rsidRPr="00083010">
        <w:rPr>
          <w:lang w:val="en-US"/>
        </w:rPr>
        <w:t>Verts</w:t>
      </w:r>
      <w:proofErr w:type="spellEnd"/>
      <w:r w:rsidRPr="00083010">
        <w:rPr>
          <w:lang w:val="en-US"/>
        </w:rPr>
        <w:t xml:space="preserve">/ALE), Marie-Christine </w:t>
      </w:r>
      <w:proofErr w:type="spellStart"/>
      <w:r w:rsidRPr="00083010">
        <w:rPr>
          <w:lang w:val="en-US"/>
        </w:rPr>
        <w:t>Vergiat</w:t>
      </w:r>
      <w:proofErr w:type="spellEnd"/>
      <w:r w:rsidRPr="00083010">
        <w:rPr>
          <w:lang w:val="en-US"/>
        </w:rPr>
        <w:t xml:space="preserve"> (GUE/NGL), Marc </w:t>
      </w:r>
      <w:proofErr w:type="spellStart"/>
      <w:r w:rsidRPr="00083010">
        <w:rPr>
          <w:lang w:val="en-US"/>
        </w:rPr>
        <w:t>Joulaud</w:t>
      </w:r>
      <w:proofErr w:type="spellEnd"/>
      <w:r w:rsidRPr="00083010">
        <w:rPr>
          <w:lang w:val="en-US"/>
        </w:rPr>
        <w:t xml:space="preserve"> (PPE), Bogdan </w:t>
      </w:r>
      <w:proofErr w:type="spellStart"/>
      <w:r w:rsidRPr="00083010">
        <w:rPr>
          <w:lang w:val="en-US"/>
        </w:rPr>
        <w:t>Brunon</w:t>
      </w:r>
      <w:proofErr w:type="spellEnd"/>
      <w:r w:rsidRPr="00083010">
        <w:rPr>
          <w:lang w:val="en-US"/>
        </w:rPr>
        <w:t xml:space="preserve"> </w:t>
      </w:r>
      <w:proofErr w:type="spellStart"/>
      <w:r w:rsidRPr="00083010">
        <w:rPr>
          <w:lang w:val="en-US"/>
        </w:rPr>
        <w:t>Wenta</w:t>
      </w:r>
      <w:proofErr w:type="spellEnd"/>
      <w:r w:rsidRPr="00083010">
        <w:rPr>
          <w:lang w:val="en-US"/>
        </w:rPr>
        <w:t xml:space="preserve"> (PPE), </w:t>
      </w:r>
      <w:proofErr w:type="spellStart"/>
      <w:r w:rsidRPr="00083010">
        <w:rPr>
          <w:lang w:val="en-US"/>
        </w:rPr>
        <w:t>Mircea</w:t>
      </w:r>
      <w:proofErr w:type="spellEnd"/>
      <w:r w:rsidRPr="00083010">
        <w:rPr>
          <w:lang w:val="en-US"/>
        </w:rPr>
        <w:t xml:space="preserve"> </w:t>
      </w:r>
      <w:proofErr w:type="spellStart"/>
      <w:r w:rsidRPr="00083010">
        <w:rPr>
          <w:lang w:val="en-US"/>
        </w:rPr>
        <w:t>Diaconu</w:t>
      </w:r>
      <w:proofErr w:type="spellEnd"/>
      <w:r w:rsidRPr="00083010">
        <w:rPr>
          <w:lang w:val="en-US"/>
        </w:rPr>
        <w:t xml:space="preserve"> (ALDE), Jean-Marie </w:t>
      </w:r>
      <w:proofErr w:type="spellStart"/>
      <w:r w:rsidRPr="00083010">
        <w:rPr>
          <w:lang w:val="en-US"/>
        </w:rPr>
        <w:t>Cavada</w:t>
      </w:r>
      <w:proofErr w:type="spellEnd"/>
      <w:r w:rsidRPr="00083010">
        <w:rPr>
          <w:lang w:val="en-US"/>
        </w:rPr>
        <w:t xml:space="preserve"> (ALDE), </w:t>
      </w:r>
      <w:proofErr w:type="spellStart"/>
      <w:r w:rsidRPr="00083010">
        <w:rPr>
          <w:lang w:val="en-US"/>
        </w:rPr>
        <w:t>Marielle</w:t>
      </w:r>
      <w:proofErr w:type="spellEnd"/>
      <w:r w:rsidRPr="00083010">
        <w:rPr>
          <w:lang w:val="en-US"/>
        </w:rPr>
        <w:t xml:space="preserve"> de </w:t>
      </w:r>
      <w:proofErr w:type="spellStart"/>
      <w:r w:rsidRPr="00083010">
        <w:rPr>
          <w:lang w:val="en-US"/>
        </w:rPr>
        <w:t>Sarnez</w:t>
      </w:r>
      <w:proofErr w:type="spellEnd"/>
      <w:r w:rsidRPr="00083010">
        <w:rPr>
          <w:lang w:val="en-US"/>
        </w:rPr>
        <w:t xml:space="preserve"> (ALDE), </w:t>
      </w:r>
      <w:proofErr w:type="spellStart"/>
      <w:r w:rsidRPr="00083010">
        <w:rPr>
          <w:lang w:val="en-US"/>
        </w:rPr>
        <w:t>Giorgos</w:t>
      </w:r>
      <w:proofErr w:type="spellEnd"/>
      <w:r w:rsidRPr="00083010">
        <w:rPr>
          <w:lang w:val="en-US"/>
        </w:rPr>
        <w:t xml:space="preserve"> </w:t>
      </w:r>
      <w:proofErr w:type="spellStart"/>
      <w:r w:rsidRPr="00083010">
        <w:rPr>
          <w:lang w:val="en-US"/>
        </w:rPr>
        <w:t>Grammatikakis</w:t>
      </w:r>
      <w:proofErr w:type="spellEnd"/>
      <w:r w:rsidRPr="00083010">
        <w:rPr>
          <w:lang w:val="en-US"/>
        </w:rPr>
        <w:t xml:space="preserve"> (</w:t>
      </w:r>
      <w:proofErr w:type="spellStart"/>
      <w:r w:rsidRPr="00083010">
        <w:rPr>
          <w:lang w:val="en-US"/>
        </w:rPr>
        <w:t>S&amp;amp;D</w:t>
      </w:r>
      <w:proofErr w:type="spellEnd"/>
      <w:r w:rsidRPr="00083010">
        <w:rPr>
          <w:lang w:val="en-US"/>
        </w:rPr>
        <w:t xml:space="preserve">), Rosa </w:t>
      </w:r>
      <w:proofErr w:type="spellStart"/>
      <w:r w:rsidRPr="00083010">
        <w:rPr>
          <w:lang w:val="en-US"/>
        </w:rPr>
        <w:t>Estaràs</w:t>
      </w:r>
      <w:proofErr w:type="spellEnd"/>
      <w:r w:rsidRPr="00083010">
        <w:rPr>
          <w:lang w:val="en-US"/>
        </w:rPr>
        <w:t xml:space="preserve"> </w:t>
      </w:r>
      <w:proofErr w:type="spellStart"/>
      <w:r w:rsidRPr="00083010">
        <w:rPr>
          <w:lang w:val="en-US"/>
        </w:rPr>
        <w:t>Ferragut</w:t>
      </w:r>
      <w:proofErr w:type="spellEnd"/>
      <w:r w:rsidRPr="00083010">
        <w:rPr>
          <w:lang w:val="en-US"/>
        </w:rPr>
        <w:t xml:space="preserve"> (PPE), Santiago </w:t>
      </w:r>
      <w:proofErr w:type="spellStart"/>
      <w:r w:rsidRPr="00083010">
        <w:rPr>
          <w:lang w:val="en-US"/>
        </w:rPr>
        <w:t>Fisas</w:t>
      </w:r>
      <w:proofErr w:type="spellEnd"/>
      <w:r w:rsidRPr="00083010">
        <w:rPr>
          <w:lang w:val="en-US"/>
        </w:rPr>
        <w:t xml:space="preserve"> </w:t>
      </w:r>
      <w:proofErr w:type="spellStart"/>
      <w:r w:rsidRPr="00083010">
        <w:rPr>
          <w:lang w:val="en-US"/>
        </w:rPr>
        <w:t>Ayxelà</w:t>
      </w:r>
      <w:proofErr w:type="spellEnd"/>
      <w:r w:rsidRPr="00083010">
        <w:rPr>
          <w:lang w:val="en-US"/>
        </w:rPr>
        <w:t xml:space="preserve"> (PPE) and </w:t>
      </w:r>
      <w:proofErr w:type="spellStart"/>
      <w:r w:rsidRPr="00083010">
        <w:rPr>
          <w:lang w:val="en-US"/>
        </w:rPr>
        <w:t>Pilar</w:t>
      </w:r>
      <w:proofErr w:type="spellEnd"/>
      <w:r w:rsidRPr="00083010">
        <w:rPr>
          <w:lang w:val="en-US"/>
        </w:rPr>
        <w:t xml:space="preserve"> del Castillo Vera (PPE)Ratification of the Marrakesh Treaty</w:t>
      </w:r>
      <w:r w:rsidR="00083010" w:rsidRPr="00083010">
        <w:rPr>
          <w:lang w:val="en-US"/>
        </w:rPr>
        <w:t xml:space="preserve"> </w:t>
      </w:r>
      <w:r w:rsidRPr="00083010">
        <w:rPr>
          <w:lang w:val="en-US"/>
        </w:rPr>
        <w:t>5527/15 PE-QE 33</w:t>
      </w:r>
      <w:r w:rsidR="00083010" w:rsidRPr="00083010">
        <w:rPr>
          <w:lang w:val="en-US"/>
        </w:rPr>
        <w:t xml:space="preserve"> c) </w:t>
      </w:r>
      <w:r w:rsidRPr="00083010">
        <w:rPr>
          <w:lang w:val="en-US"/>
        </w:rPr>
        <w:t xml:space="preserve">E-010838/2014 - </w:t>
      </w:r>
      <w:proofErr w:type="spellStart"/>
      <w:r w:rsidRPr="00083010">
        <w:rPr>
          <w:lang w:val="en-US"/>
        </w:rPr>
        <w:t>Csaba</w:t>
      </w:r>
      <w:proofErr w:type="spellEnd"/>
      <w:r w:rsidRPr="00083010">
        <w:rPr>
          <w:lang w:val="en-US"/>
        </w:rPr>
        <w:t xml:space="preserve"> </w:t>
      </w:r>
      <w:proofErr w:type="spellStart"/>
      <w:r w:rsidRPr="00083010">
        <w:rPr>
          <w:lang w:val="en-US"/>
        </w:rPr>
        <w:t>Molnár</w:t>
      </w:r>
      <w:proofErr w:type="spellEnd"/>
      <w:r w:rsidRPr="00083010">
        <w:rPr>
          <w:lang w:val="en-US"/>
        </w:rPr>
        <w:t xml:space="preserve"> On the eastern policy of the Hungarian government6302/15 PE-QE 67</w:t>
      </w:r>
      <w:r w:rsidR="00083010">
        <w:rPr>
          <w:lang w:val="en-US"/>
        </w:rPr>
        <w:t xml:space="preserve"> d</w:t>
      </w:r>
      <w:r w:rsidR="00083010" w:rsidRPr="00083010">
        <w:rPr>
          <w:lang w:val="en-US"/>
        </w:rPr>
        <w:t xml:space="preserve">) </w:t>
      </w:r>
      <w:r w:rsidRPr="00083010">
        <w:rPr>
          <w:lang w:val="en-US"/>
        </w:rPr>
        <w:t xml:space="preserve">E-010931/2014 - Marc </w:t>
      </w:r>
      <w:proofErr w:type="spellStart"/>
      <w:r w:rsidRPr="00083010">
        <w:rPr>
          <w:lang w:val="en-US"/>
        </w:rPr>
        <w:t>Tarabella</w:t>
      </w:r>
      <w:proofErr w:type="spellEnd"/>
      <w:r w:rsidRPr="00083010">
        <w:rPr>
          <w:lang w:val="en-US"/>
        </w:rPr>
        <w:t xml:space="preserve"> (</w:t>
      </w:r>
      <w:proofErr w:type="spellStart"/>
      <w:r w:rsidRPr="00083010">
        <w:rPr>
          <w:lang w:val="en-US"/>
        </w:rPr>
        <w:t>S&amp;amp;D</w:t>
      </w:r>
      <w:proofErr w:type="spellEnd"/>
      <w:r w:rsidRPr="00083010">
        <w:rPr>
          <w:lang w:val="en-US"/>
        </w:rPr>
        <w:t>)Sabotage of o</w:t>
      </w:r>
      <w:r w:rsidR="00083010" w:rsidRPr="00083010">
        <w:rPr>
          <w:lang w:val="en-US"/>
        </w:rPr>
        <w:t>rganic farming</w:t>
      </w:r>
      <w:r w:rsidR="00083010">
        <w:rPr>
          <w:lang w:val="en-US"/>
        </w:rPr>
        <w:t xml:space="preserve"> </w:t>
      </w:r>
      <w:r w:rsidR="00083010" w:rsidRPr="00083010">
        <w:rPr>
          <w:lang w:val="en-US"/>
        </w:rPr>
        <w:t xml:space="preserve">5876/15 PE-QE 48 </w:t>
      </w:r>
      <w:r w:rsidR="00083010">
        <w:rPr>
          <w:lang w:val="en-US"/>
        </w:rPr>
        <w:t>e</w:t>
      </w:r>
      <w:r w:rsidRPr="00083010">
        <w:rPr>
          <w:lang w:val="en-US"/>
        </w:rPr>
        <w:t>)</w:t>
      </w:r>
      <w:r w:rsidR="00083010" w:rsidRPr="00083010">
        <w:rPr>
          <w:lang w:val="en-US"/>
        </w:rPr>
        <w:t xml:space="preserve"> </w:t>
      </w:r>
      <w:r w:rsidRPr="00083010">
        <w:rPr>
          <w:lang w:val="en-US"/>
        </w:rPr>
        <w:t xml:space="preserve">E-011091/2014 - </w:t>
      </w:r>
      <w:proofErr w:type="spellStart"/>
      <w:r w:rsidRPr="00083010">
        <w:rPr>
          <w:lang w:val="en-US"/>
        </w:rPr>
        <w:t>Maite</w:t>
      </w:r>
      <w:proofErr w:type="spellEnd"/>
      <w:r w:rsidRPr="00083010">
        <w:rPr>
          <w:lang w:val="en-US"/>
        </w:rPr>
        <w:t xml:space="preserve"> </w:t>
      </w:r>
      <w:proofErr w:type="spellStart"/>
      <w:r w:rsidRPr="00083010">
        <w:rPr>
          <w:lang w:val="en-US"/>
        </w:rPr>
        <w:t>Pagazaurtundúa</w:t>
      </w:r>
      <w:proofErr w:type="spellEnd"/>
      <w:r w:rsidRPr="00083010">
        <w:rPr>
          <w:lang w:val="en-US"/>
        </w:rPr>
        <w:t xml:space="preserve"> Ruiz (ALDE) and Beatriz Becerra </w:t>
      </w:r>
      <w:proofErr w:type="spellStart"/>
      <w:r w:rsidRPr="00083010">
        <w:rPr>
          <w:lang w:val="en-US"/>
        </w:rPr>
        <w:t>Basterrechea</w:t>
      </w:r>
      <w:proofErr w:type="spellEnd"/>
      <w:r w:rsidRPr="00083010">
        <w:rPr>
          <w:lang w:val="en-US"/>
        </w:rPr>
        <w:t xml:space="preserve"> (ALDE)</w:t>
      </w:r>
      <w:r w:rsidR="00083010" w:rsidRPr="00083010">
        <w:rPr>
          <w:lang w:val="en-US"/>
        </w:rPr>
        <w:t xml:space="preserve"> </w:t>
      </w:r>
      <w:r w:rsidRPr="00083010">
        <w:rPr>
          <w:lang w:val="en-US"/>
        </w:rPr>
        <w:t>Removal of Hamas from the list of terrorist</w:t>
      </w:r>
      <w:r w:rsidR="00083010" w:rsidRPr="00083010">
        <w:rPr>
          <w:lang w:val="en-US"/>
        </w:rPr>
        <w:t xml:space="preserve"> </w:t>
      </w:r>
      <w:proofErr w:type="spellStart"/>
      <w:r w:rsidR="00083010" w:rsidRPr="00083010">
        <w:rPr>
          <w:lang w:val="en-US"/>
        </w:rPr>
        <w:t>organisations</w:t>
      </w:r>
      <w:proofErr w:type="spellEnd"/>
      <w:r w:rsidR="00083010">
        <w:rPr>
          <w:lang w:val="en-US"/>
        </w:rPr>
        <w:t xml:space="preserve"> </w:t>
      </w:r>
      <w:r w:rsidR="00083010" w:rsidRPr="00083010">
        <w:rPr>
          <w:lang w:val="en-US"/>
        </w:rPr>
        <w:t>6086/15 PE-QE 56 f</w:t>
      </w:r>
      <w:r w:rsidRPr="00083010">
        <w:rPr>
          <w:lang w:val="en-US"/>
        </w:rPr>
        <w:t>)</w:t>
      </w:r>
      <w:r w:rsidR="00083010" w:rsidRPr="00083010">
        <w:rPr>
          <w:lang w:val="en-US"/>
        </w:rPr>
        <w:t xml:space="preserve"> </w:t>
      </w:r>
      <w:r w:rsidRPr="00083010">
        <w:rPr>
          <w:lang w:val="en-US"/>
        </w:rPr>
        <w:t xml:space="preserve">E-011255/2014 - Victor </w:t>
      </w:r>
      <w:proofErr w:type="spellStart"/>
      <w:r w:rsidRPr="00083010">
        <w:rPr>
          <w:lang w:val="en-US"/>
        </w:rPr>
        <w:t>Negrescu</w:t>
      </w:r>
      <w:proofErr w:type="spellEnd"/>
      <w:r w:rsidR="00083010" w:rsidRPr="00083010">
        <w:rPr>
          <w:lang w:val="en-US"/>
        </w:rPr>
        <w:t xml:space="preserve"> </w:t>
      </w:r>
      <w:proofErr w:type="spellStart"/>
      <w:r w:rsidRPr="00083010">
        <w:rPr>
          <w:lang w:val="en-US"/>
        </w:rPr>
        <w:t>Financin</w:t>
      </w:r>
      <w:proofErr w:type="spellEnd"/>
      <w:r w:rsidR="00083010" w:rsidRPr="00083010">
        <w:rPr>
          <w:lang w:val="en-US"/>
        </w:rPr>
        <w:t xml:space="preserve"> </w:t>
      </w:r>
      <w:r w:rsidRPr="00083010">
        <w:rPr>
          <w:lang w:val="en-US"/>
        </w:rPr>
        <w:t>Cameron is playing with Europe's future</w:t>
      </w:r>
      <w:r w:rsidR="00083010" w:rsidRPr="00083010">
        <w:rPr>
          <w:lang w:val="en-US"/>
        </w:rPr>
        <w:t xml:space="preserve"> </w:t>
      </w:r>
      <w:r w:rsidRPr="00083010">
        <w:rPr>
          <w:lang w:val="en-US"/>
        </w:rPr>
        <w:t>6337/15 + COR 1 PE-QE 69</w:t>
      </w:r>
      <w:r w:rsidRPr="00083010">
        <w:rPr>
          <w:lang w:val="en-US"/>
        </w:rPr>
        <w:br/>
      </w:r>
      <w:r w:rsidRPr="00083010">
        <w:rPr>
          <w:noProof/>
          <w:lang w:val="en-US"/>
        </w:rPr>
        <w:t>6000</w:t>
      </w:r>
      <w:r w:rsidRPr="00083010">
        <w:rPr>
          <w:lang w:val="en-US"/>
        </w:rPr>
        <w:t>/15 PE-QE 54 5527/15 PE-QE 33 6302/15 PE-QE 67 5876/15 PE-QE 48 6086/15 PE-QE 56 5884/15 PE-QE 50 6337/15 + COR 1 PE-QE 69</w:t>
      </w:r>
    </w:p>
    <w:p w14:paraId="4964FE42" w14:textId="77777777" w:rsidR="00643D86" w:rsidRDefault="00BC3186" w:rsidP="00643D86">
      <w:r>
        <w:rPr>
          <w:b/>
        </w:rPr>
        <w:t>Ansvarigt statsråd</w:t>
      </w:r>
      <w:r>
        <w:rPr>
          <w:b/>
        </w:rPr>
        <w:br/>
      </w:r>
      <w:r>
        <w:rPr>
          <w:noProof/>
        </w:rPr>
        <w:t>Stefan Löfven</w:t>
      </w:r>
    </w:p>
    <w:p w14:paraId="4964FE45" w14:textId="77777777" w:rsidR="00643D86" w:rsidRDefault="00BC3186" w:rsidP="00643D86">
      <w:r w:rsidRPr="00B44CE2">
        <w:rPr>
          <w:b/>
        </w:rPr>
        <w:t>Annotering</w:t>
      </w:r>
      <w:r>
        <w:rPr>
          <w:b/>
        </w:rPr>
        <w:br/>
      </w:r>
      <w:r>
        <w:t>Föranleder ingen annotering.</w:t>
      </w:r>
    </w:p>
    <w:p w14:paraId="4964FE52" w14:textId="77777777" w:rsidR="00643D86" w:rsidRDefault="00BC3186" w:rsidP="00643D86">
      <w:pPr>
        <w:pStyle w:val="Rubrik1"/>
      </w:pPr>
      <w:bookmarkStart w:id="3" w:name="_Toc413223952"/>
      <w:r>
        <w:rPr>
          <w:noProof/>
        </w:rPr>
        <w:t>Advisory Committee on Freedom of Movement for Workers</w:t>
      </w:r>
      <w:r>
        <w:rPr>
          <w:noProof/>
        </w:rPr>
        <w:br/>
        <w:t>Appointment of Mr Petar STRIŽAK, member for Croatia, in place of Ms Ivana GUBEROVI?, who has resigned</w:t>
      </w:r>
      <w:bookmarkEnd w:id="3"/>
    </w:p>
    <w:p w14:paraId="02B09FE6" w14:textId="77777777" w:rsidR="000F39BF" w:rsidRDefault="00BC3186" w:rsidP="00643D86">
      <w:pPr>
        <w:rPr>
          <w:noProof/>
          <w:lang w:val="en-US"/>
        </w:rPr>
      </w:pPr>
      <w:r>
        <w:rPr>
          <w:noProof/>
          <w:lang w:val="en-US"/>
        </w:rPr>
        <w:t>Adoption</w:t>
      </w:r>
    </w:p>
    <w:p w14:paraId="4964FE53" w14:textId="34EC9A0E" w:rsidR="00643D86" w:rsidRDefault="00BC3186" w:rsidP="00643D86">
      <w:pPr>
        <w:rPr>
          <w:lang w:val="en-US"/>
        </w:rPr>
      </w:pPr>
      <w:r>
        <w:rPr>
          <w:noProof/>
          <w:lang w:val="en-US"/>
        </w:rPr>
        <w:t>6434</w:t>
      </w:r>
      <w:r>
        <w:rPr>
          <w:lang w:val="en-US"/>
        </w:rPr>
        <w:t>/15 SOC 22</w:t>
      </w:r>
    </w:p>
    <w:p w14:paraId="4964FE54" w14:textId="3FF74836" w:rsidR="00643D86" w:rsidRDefault="00BC3186" w:rsidP="00643D86">
      <w:r>
        <w:rPr>
          <w:b/>
        </w:rPr>
        <w:t>Ansvarigt statsråd</w:t>
      </w:r>
      <w:r>
        <w:rPr>
          <w:b/>
        </w:rPr>
        <w:br/>
      </w:r>
      <w:r w:rsidR="000F39BF">
        <w:t>Ylva Johansson</w:t>
      </w:r>
    </w:p>
    <w:p w14:paraId="4964FE57" w14:textId="77777777" w:rsidR="00643D86" w:rsidRDefault="00BC3186" w:rsidP="00643D86">
      <w:r w:rsidRPr="00B44CE2">
        <w:rPr>
          <w:b/>
        </w:rPr>
        <w:t>Annotering</w:t>
      </w:r>
      <w:r>
        <w:rPr>
          <w:b/>
        </w:rPr>
        <w:br/>
      </w:r>
      <w:r>
        <w:t>Föranleder ingen annotering.</w:t>
      </w:r>
    </w:p>
    <w:p w14:paraId="4964FE58" w14:textId="77777777" w:rsidR="00643D86" w:rsidRDefault="00BC3186" w:rsidP="00643D86">
      <w:pPr>
        <w:pStyle w:val="Rubrik1"/>
      </w:pPr>
      <w:bookmarkStart w:id="4" w:name="_Toc413223953"/>
      <w:r>
        <w:rPr>
          <w:noProof/>
        </w:rPr>
        <w:t>Advisory Committee on Freedom of Movement for Workers</w:t>
      </w:r>
      <w:r>
        <w:rPr>
          <w:noProof/>
        </w:rPr>
        <w:br/>
        <w:t>Appointment of Ms Ivana GUBEROVI?, alternate member for Croatia, in place of Ms Aleksandra GAVRILOVI?, who has resigned</w:t>
      </w:r>
      <w:bookmarkEnd w:id="4"/>
    </w:p>
    <w:p w14:paraId="5697A0DC" w14:textId="77777777" w:rsidR="000F39BF" w:rsidRDefault="00BC3186" w:rsidP="00643D86">
      <w:pPr>
        <w:rPr>
          <w:noProof/>
          <w:lang w:val="en-US"/>
        </w:rPr>
      </w:pPr>
      <w:r>
        <w:rPr>
          <w:noProof/>
          <w:lang w:val="en-US"/>
        </w:rPr>
        <w:t>Adoption</w:t>
      </w:r>
    </w:p>
    <w:p w14:paraId="4964FE59" w14:textId="75F31554" w:rsidR="00643D86" w:rsidRDefault="00BC3186" w:rsidP="00643D86">
      <w:pPr>
        <w:rPr>
          <w:lang w:val="en-US"/>
        </w:rPr>
      </w:pPr>
      <w:r>
        <w:rPr>
          <w:noProof/>
          <w:lang w:val="en-US"/>
        </w:rPr>
        <w:t>6568</w:t>
      </w:r>
      <w:r>
        <w:rPr>
          <w:lang w:val="en-US"/>
        </w:rPr>
        <w:t>/15 SOC 105</w:t>
      </w:r>
    </w:p>
    <w:p w14:paraId="4964FE5A" w14:textId="531B6DD0" w:rsidR="00643D86" w:rsidRDefault="00BC3186" w:rsidP="00643D86">
      <w:r>
        <w:rPr>
          <w:b/>
        </w:rPr>
        <w:lastRenderedPageBreak/>
        <w:t>Ansvarigt statsråd</w:t>
      </w:r>
      <w:r>
        <w:rPr>
          <w:b/>
        </w:rPr>
        <w:br/>
      </w:r>
      <w:r w:rsidR="000F39BF">
        <w:t>Ylva Johansson</w:t>
      </w:r>
    </w:p>
    <w:p w14:paraId="4964FE5D" w14:textId="77777777" w:rsidR="00643D86" w:rsidRDefault="00BC3186" w:rsidP="00643D86">
      <w:r w:rsidRPr="00B44CE2">
        <w:rPr>
          <w:b/>
        </w:rPr>
        <w:t>Annotering</w:t>
      </w:r>
      <w:r>
        <w:rPr>
          <w:b/>
        </w:rPr>
        <w:br/>
      </w:r>
      <w:r>
        <w:t>Föranleder ingen annotering.</w:t>
      </w:r>
    </w:p>
    <w:p w14:paraId="4964FE5E" w14:textId="77777777" w:rsidR="00643D86" w:rsidRDefault="00BC3186" w:rsidP="00643D86">
      <w:pPr>
        <w:pStyle w:val="Rubrik1"/>
      </w:pPr>
      <w:bookmarkStart w:id="5" w:name="_Toc413223954"/>
      <w:r>
        <w:rPr>
          <w:noProof/>
        </w:rPr>
        <w:t>Commission Directive../…/EU of XXX amending Directive 2006/126/EC of the European Parliament and of the Council on driving licences</w:t>
      </w:r>
      <w:bookmarkEnd w:id="5"/>
    </w:p>
    <w:p w14:paraId="09862823" w14:textId="77777777" w:rsidR="000F39BF" w:rsidRDefault="00BC3186" w:rsidP="00643D86">
      <w:pPr>
        <w:rPr>
          <w:lang w:val="en-US"/>
        </w:rPr>
      </w:pPr>
      <w:r>
        <w:rPr>
          <w:noProof/>
          <w:lang w:val="en-US"/>
        </w:rPr>
        <w:t>Decision</w:t>
      </w:r>
      <w:r>
        <w:rPr>
          <w:lang w:val="en-US"/>
        </w:rPr>
        <w:t xml:space="preserve"> not to oppose adoption </w:t>
      </w:r>
    </w:p>
    <w:p w14:paraId="4964FE5F" w14:textId="1AF02772" w:rsidR="00643D86" w:rsidRDefault="00BC3186" w:rsidP="00643D86">
      <w:pPr>
        <w:rPr>
          <w:lang w:val="en-US"/>
        </w:rPr>
      </w:pPr>
      <w:r>
        <w:rPr>
          <w:noProof/>
          <w:lang w:val="en-US"/>
        </w:rPr>
        <w:t>16977</w:t>
      </w:r>
      <w:r>
        <w:rPr>
          <w:lang w:val="en-US"/>
        </w:rPr>
        <w:t xml:space="preserve">/14 TRANS 597 + ADD 16071/15 TRANS 43 </w:t>
      </w:r>
    </w:p>
    <w:p w14:paraId="4964FE60" w14:textId="77777777" w:rsidR="00643D86" w:rsidRDefault="00BC3186" w:rsidP="00643D86">
      <w:r>
        <w:rPr>
          <w:b/>
        </w:rPr>
        <w:t>Ansvarigt statsråd</w:t>
      </w:r>
      <w:r>
        <w:rPr>
          <w:b/>
        </w:rPr>
        <w:br/>
      </w:r>
      <w:r>
        <w:rPr>
          <w:noProof/>
        </w:rPr>
        <w:t>Anna Johansson</w:t>
      </w:r>
    </w:p>
    <w:p w14:paraId="4964FE63" w14:textId="77777777" w:rsidR="00643D86" w:rsidRDefault="00BC3186" w:rsidP="00643D86">
      <w:r w:rsidRPr="00B44CE2">
        <w:rPr>
          <w:b/>
        </w:rPr>
        <w:t>Annotering</w:t>
      </w:r>
      <w:r>
        <w:rPr>
          <w:b/>
        </w:rPr>
        <w:br/>
      </w:r>
      <w:r>
        <w:rPr>
          <w:b/>
          <w:bCs/>
        </w:rPr>
        <w:t>Avsikt med behandlingen i rådet:</w:t>
      </w:r>
      <w:r>
        <w:t xml:space="preserve"> </w:t>
      </w:r>
    </w:p>
    <w:p w14:paraId="4964FE64" w14:textId="77777777" w:rsidR="00380663" w:rsidRDefault="00BC3186">
      <w:pPr>
        <w:spacing w:after="280" w:afterAutospacing="1"/>
      </w:pPr>
      <w:r>
        <w:rPr>
          <w:b/>
          <w:bCs/>
        </w:rPr>
        <w:t>Hur regeringen ställer sig till den blivande A-punkten:</w:t>
      </w:r>
      <w:r>
        <w:t xml:space="preserve"> Regeringen stödjer förslaget. Särskilt viktigt för svensk del är den nya koden 69 som innebär att en kod för begränsad användning till fordon med alkolås införs, vilket Sverige har argumenterat hårt för. </w:t>
      </w:r>
    </w:p>
    <w:p w14:paraId="4964FE67" w14:textId="2C169013" w:rsidR="00FB32B9" w:rsidRDefault="00BC3186">
      <w:pPr>
        <w:spacing w:after="280" w:afterAutospacing="1"/>
        <w:rPr>
          <w:noProof/>
        </w:rPr>
      </w:pPr>
      <w:r>
        <w:rPr>
          <w:b/>
          <w:bCs/>
        </w:rPr>
        <w:t>Bakgrund:</w:t>
      </w:r>
      <w:r w:rsidR="000F39BF">
        <w:rPr>
          <w:b/>
          <w:bCs/>
        </w:rPr>
        <w:t xml:space="preserve"> </w:t>
      </w:r>
      <w:r>
        <w:t xml:space="preserve">Genom en arbetsgrupp inom </w:t>
      </w:r>
      <w:r w:rsidR="008A547E">
        <w:t>körkortskommittén</w:t>
      </w:r>
      <w:r w:rsidR="00646FD6">
        <w:t xml:space="preserve"> har bilaga I till körko</w:t>
      </w:r>
      <w:r>
        <w:t xml:space="preserve">rtsdirektivet justerats och kompletterats. Ändringarna är inte </w:t>
      </w:r>
      <w:r w:rsidR="008A547E">
        <w:t>kontroversiella. För</w:t>
      </w:r>
      <w:r>
        <w:t xml:space="preserve"> svensk del är den nya koden 69, som innebär att en kod för begränsad användning till fordon med alkolås införs, av stor betydelse. Den innebär att den som efter rattfylleri får körkort med begränsning alkolås nu kan få en harmoniserad kod i körkortet. Idag gäller körkort med denna begränsning endast nationellt inom Sverige.</w:t>
      </w:r>
    </w:p>
    <w:p w14:paraId="4964FE68" w14:textId="77777777" w:rsidR="00643D86" w:rsidRDefault="00BC3186" w:rsidP="00643D86">
      <w:pPr>
        <w:pStyle w:val="Rubrik1"/>
      </w:pPr>
      <w:bookmarkStart w:id="6" w:name="_Toc413223955"/>
      <w:r>
        <w:rPr>
          <w:noProof/>
        </w:rPr>
        <w:t>Commission Regulation amending Decision 2012/757/EU concerning the technical specification for interoperability for the "operation and traffic management" subsystem of the rail system in the European Union</w:t>
      </w:r>
      <w:bookmarkEnd w:id="6"/>
    </w:p>
    <w:p w14:paraId="3829DE8D" w14:textId="77777777" w:rsidR="000F39BF" w:rsidRDefault="00BC3186" w:rsidP="00643D86">
      <w:pPr>
        <w:rPr>
          <w:lang w:val="en-US"/>
        </w:rPr>
      </w:pPr>
      <w:r>
        <w:rPr>
          <w:noProof/>
          <w:lang w:val="en-US"/>
        </w:rPr>
        <w:t>Decision</w:t>
      </w:r>
      <w:r>
        <w:rPr>
          <w:lang w:val="en-US"/>
        </w:rPr>
        <w:t xml:space="preserve"> not to oppose adoption </w:t>
      </w:r>
    </w:p>
    <w:p w14:paraId="4964FE69" w14:textId="2A1DCE4A" w:rsidR="00643D86" w:rsidRDefault="00BC3186" w:rsidP="00643D86">
      <w:pPr>
        <w:rPr>
          <w:lang w:val="en-US"/>
        </w:rPr>
      </w:pPr>
      <w:r>
        <w:rPr>
          <w:noProof/>
          <w:lang w:val="en-US"/>
        </w:rPr>
        <w:t>5363</w:t>
      </w:r>
      <w:r>
        <w:rPr>
          <w:lang w:val="en-US"/>
        </w:rPr>
        <w:t>/15 TRANS 21+ ADD 1</w:t>
      </w:r>
      <w:r w:rsidR="00646FD6">
        <w:rPr>
          <w:lang w:val="en-US"/>
        </w:rPr>
        <w:t xml:space="preserve"> </w:t>
      </w:r>
      <w:r>
        <w:rPr>
          <w:lang w:val="en-US"/>
        </w:rPr>
        <w:t>5421/15 TRANS 22+ COR 1</w:t>
      </w:r>
    </w:p>
    <w:p w14:paraId="4964FE6A" w14:textId="77777777" w:rsidR="00643D86" w:rsidRDefault="00BC3186" w:rsidP="00643D86">
      <w:r>
        <w:rPr>
          <w:b/>
        </w:rPr>
        <w:t>Ansvarigt statsråd</w:t>
      </w:r>
      <w:r>
        <w:rPr>
          <w:b/>
        </w:rPr>
        <w:br/>
      </w:r>
      <w:r>
        <w:rPr>
          <w:noProof/>
        </w:rPr>
        <w:t>Anna Johansson</w:t>
      </w:r>
    </w:p>
    <w:p w14:paraId="4964FE6D" w14:textId="77777777" w:rsidR="00643D86" w:rsidRDefault="00BC3186" w:rsidP="00643D86">
      <w:r w:rsidRPr="00B44CE2">
        <w:rPr>
          <w:b/>
        </w:rPr>
        <w:t>Annotering</w:t>
      </w:r>
      <w:r>
        <w:rPr>
          <w:b/>
        </w:rPr>
        <w:br/>
      </w:r>
      <w:r>
        <w:rPr>
          <w:b/>
          <w:bCs/>
        </w:rPr>
        <w:t>Avsikt med behandlingen i rådet:</w:t>
      </w:r>
      <w:r>
        <w:t xml:space="preserve"> Rådet föreslås godkänna att förslaget till ändring av kommissionens beslut om Tekniska specifikationer för driftskompatibilitet avseende delsystemet Drift och trafikledning i unionens järnvägssystem antas. </w:t>
      </w:r>
    </w:p>
    <w:p w14:paraId="4964FE6E" w14:textId="77777777" w:rsidR="00380663" w:rsidRDefault="00BC3186">
      <w:pPr>
        <w:spacing w:after="280" w:afterAutospacing="1"/>
      </w:pPr>
      <w:r>
        <w:rPr>
          <w:b/>
          <w:bCs/>
        </w:rPr>
        <w:t>Hur regeringen ställer sig till den blivande A-punkten:</w:t>
      </w:r>
      <w:r>
        <w:t xml:space="preserve"> Regeringen avser att rösta för att förslaget till en ändring av kommissionens beslut antas. </w:t>
      </w:r>
    </w:p>
    <w:p w14:paraId="4964FE6F" w14:textId="77777777" w:rsidR="00380663" w:rsidRDefault="00BC3186">
      <w:pPr>
        <w:spacing w:after="280" w:afterAutospacing="1"/>
      </w:pPr>
      <w:r>
        <w:rPr>
          <w:b/>
          <w:bCs/>
        </w:rPr>
        <w:t>Bakgrund: </w:t>
      </w:r>
      <w:r>
        <w:t>Förslaget innebär att Kommissionens beslut om TSD Drift och trafikledning (2012/757/EU) ändras. Ändringarna avser i huvudsak följande:</w:t>
      </w:r>
    </w:p>
    <w:p w14:paraId="4964FE70" w14:textId="7AB1C04C" w:rsidR="00380663" w:rsidRDefault="00BC3186">
      <w:pPr>
        <w:numPr>
          <w:ilvl w:val="0"/>
          <w:numId w:val="3"/>
        </w:numPr>
        <w:spacing w:after="0"/>
      </w:pPr>
      <w:r>
        <w:lastRenderedPageBreak/>
        <w:t xml:space="preserve">Tillägg T i TSD Drift och trafikledning slopas. I detta tillägg föreskrivs att infrastrukturförvaltare ska beräkna och informera järnvägsföretag om den bromsförmåga för deras tåg som krävs för varje linjesträcka. Förslagets innebörd är att järnvägsföretag i framtiden själva blir ansvariga för att beräkna nödvändig bromsförmåga för sina tåg. Det kommer att ske på grundval av tekniska uppgifter om infrastrukturen och dess signalsystem, som infrastrukturförvaltare är skyldiga att tillhandahålla, och egenskaper hos fordonen i järnvägsföretagens egna tåg. Infrastrukturförvaltare är dock oförhindrade att </w:t>
      </w:r>
      <w:r w:rsidR="008A547E">
        <w:t>försatt</w:t>
      </w:r>
      <w:r>
        <w:t>, men so en ren serviceåtgärd, beräkna och informera järnvägsföretag om nödvändig bromsförmåga för deras tåg.</w:t>
      </w:r>
    </w:p>
    <w:p w14:paraId="4964FE71" w14:textId="77777777" w:rsidR="00380663" w:rsidRDefault="00BC3186">
      <w:pPr>
        <w:numPr>
          <w:ilvl w:val="0"/>
          <w:numId w:val="3"/>
        </w:numPr>
        <w:spacing w:after="0"/>
      </w:pPr>
      <w:r>
        <w:t xml:space="preserve">Tillägg B i TSD Drift och trafikledning, som behandlar Gemensamma driftregler (Common operational rules), uppdateras. Förslaget innebär att fler harmoniserade operativa regler för tågdriften införs och blir lika inom hela EU.  </w:t>
      </w:r>
    </w:p>
    <w:p w14:paraId="4964FE72" w14:textId="77777777" w:rsidR="00380663" w:rsidRDefault="00BC3186">
      <w:pPr>
        <w:numPr>
          <w:ilvl w:val="0"/>
          <w:numId w:val="3"/>
        </w:numPr>
        <w:spacing w:after="280" w:afterAutospacing="1"/>
      </w:pPr>
      <w:r>
        <w:t>Bestämmelserna om säkerhetsuppgifter för s.k. övrig ombordpersonal förenklas och förtydligas, bl.a. i syfte att undvika dubbelreglering, avseende medicinska- och kompetenskrav för denna personal. Nämnda krav på s.k. övrig ombordpersonal ställs på detaljerad nivå redan idag inom ramen för järnvägsföretagens säkerhetsstyrningssystem (SMS), som bl.a. utgörs av myndighet kontrollerad och godkänd företagsintern reglering. Kontroll och myndighetsgodkännande av säkerhetsstyrningssystem sker i sin tur på grundval av särskilda EU-förordningar om gemensamma säkerhetsmetoder (CSM). </w:t>
      </w:r>
    </w:p>
    <w:p w14:paraId="4964FE74" w14:textId="6B4F7102" w:rsidR="00FB32B9" w:rsidRDefault="00BC3186">
      <w:pPr>
        <w:spacing w:after="280" w:afterAutospacing="1"/>
        <w:rPr>
          <w:noProof/>
        </w:rPr>
      </w:pPr>
      <w:r>
        <w:t>Förslaget har behandlats av den s.k. driftskompatibilitets- och säkerhetskommittén, som godkände förslaget vid sitt möte i november 2014. Transportstyrelsen har inte haft något att erinra mot förslaget.</w:t>
      </w:r>
    </w:p>
    <w:p w14:paraId="4964FE75" w14:textId="77777777" w:rsidR="00643D86" w:rsidRDefault="00BC3186" w:rsidP="00643D86">
      <w:pPr>
        <w:pStyle w:val="Rubrik1"/>
      </w:pPr>
      <w:bookmarkStart w:id="7" w:name="_Toc413223956"/>
      <w:r>
        <w:rPr>
          <w:noProof/>
        </w:rPr>
        <w:t>Commission Regulation amending Regulation (EU) No 321/2013 concerning the technical specification for interoperability relating to the subsystem "rolling stock - freight wagons" of the rail system in the European Union</w:t>
      </w:r>
      <w:bookmarkEnd w:id="7"/>
    </w:p>
    <w:p w14:paraId="17BD28E3" w14:textId="77777777" w:rsidR="000F39BF" w:rsidRDefault="00BC3186" w:rsidP="00643D86">
      <w:pPr>
        <w:rPr>
          <w:lang w:val="en-US"/>
        </w:rPr>
      </w:pPr>
      <w:r>
        <w:rPr>
          <w:noProof/>
          <w:lang w:val="en-US"/>
        </w:rPr>
        <w:t>Decision</w:t>
      </w:r>
      <w:r>
        <w:rPr>
          <w:lang w:val="en-US"/>
        </w:rPr>
        <w:t xml:space="preserve"> not to oppose adoption </w:t>
      </w:r>
    </w:p>
    <w:p w14:paraId="4964FE76" w14:textId="37EF8897" w:rsidR="00643D86" w:rsidRDefault="00BC3186" w:rsidP="00643D86">
      <w:pPr>
        <w:rPr>
          <w:lang w:val="en-US"/>
        </w:rPr>
      </w:pPr>
      <w:r>
        <w:rPr>
          <w:noProof/>
          <w:lang w:val="en-US"/>
        </w:rPr>
        <w:t>5314</w:t>
      </w:r>
      <w:r>
        <w:rPr>
          <w:lang w:val="en-US"/>
        </w:rPr>
        <w:t>/15 TRANS 17 + ADD 1</w:t>
      </w:r>
      <w:r w:rsidR="00646FD6">
        <w:rPr>
          <w:lang w:val="en-US"/>
        </w:rPr>
        <w:t xml:space="preserve"> </w:t>
      </w:r>
      <w:r>
        <w:rPr>
          <w:lang w:val="en-US"/>
        </w:rPr>
        <w:t xml:space="preserve">5323/15 TRANS 18 </w:t>
      </w:r>
    </w:p>
    <w:p w14:paraId="4964FE77" w14:textId="77777777" w:rsidR="00643D86" w:rsidRDefault="00BC3186" w:rsidP="00643D86">
      <w:r>
        <w:rPr>
          <w:b/>
        </w:rPr>
        <w:t>Ansvarigt statsråd</w:t>
      </w:r>
      <w:r>
        <w:rPr>
          <w:b/>
        </w:rPr>
        <w:br/>
      </w:r>
      <w:r>
        <w:rPr>
          <w:noProof/>
        </w:rPr>
        <w:t>Anna Johansson</w:t>
      </w:r>
    </w:p>
    <w:p w14:paraId="4964FE7B" w14:textId="7FB82E00" w:rsidR="00380663" w:rsidRDefault="00BC3186" w:rsidP="000F39BF">
      <w:r w:rsidRPr="00B44CE2">
        <w:rPr>
          <w:b/>
        </w:rPr>
        <w:t>Annotering</w:t>
      </w:r>
      <w:r>
        <w:rPr>
          <w:b/>
        </w:rPr>
        <w:br/>
      </w:r>
      <w:r>
        <w:rPr>
          <w:b/>
          <w:bCs/>
        </w:rPr>
        <w:t>Avsikt med behandlingen i rådet:</w:t>
      </w:r>
      <w:r>
        <w:t xml:space="preserve"> Rådet föreslås godkänna att förslaget till ändring av Kommissionens förordning (EU) nr 321/2013 om Tekniska Specifikationer för Driftskompatibilitet avseende delsystemet Rullande materiel - Godsvagnar i unionens järnvägssystem (TSD WAG) antas.</w:t>
      </w:r>
    </w:p>
    <w:p w14:paraId="4964FE7C" w14:textId="77777777" w:rsidR="00380663" w:rsidRDefault="00BC3186">
      <w:pPr>
        <w:spacing w:after="280" w:afterAutospacing="1"/>
      </w:pPr>
      <w:r>
        <w:rPr>
          <w:b/>
          <w:bCs/>
        </w:rPr>
        <w:t>Hur regeringen ställer sig till den blivande A-punkten:</w:t>
      </w:r>
      <w:r>
        <w:t xml:space="preserve"> Regeringen avser att rösta för att förslaget till en ändring av EU-förordningen antas. </w:t>
      </w:r>
    </w:p>
    <w:p w14:paraId="4964FE7D" w14:textId="77777777" w:rsidR="00380663" w:rsidRDefault="00BC3186">
      <w:pPr>
        <w:spacing w:after="280" w:afterAutospacing="1"/>
      </w:pPr>
      <w:r>
        <w:rPr>
          <w:b/>
          <w:bCs/>
        </w:rPr>
        <w:t>Bakgrund:</w:t>
      </w:r>
      <w:r>
        <w:t xml:space="preserve"> Ändringen innebär i huvudsak att specifikationer för kompositbromsblock på godsvagnar införs i TSD WAG. Dessa typer av bromsblock är nödvändiga för att godsvagnar ska uppfylla krav på tyst gång enligt TSD Buller. Bromsblock är en s.k. driftskompatibilitetskomponent och ska därför specificeras i en TSD. Idag är specifikationer </w:t>
      </w:r>
      <w:r>
        <w:lastRenderedPageBreak/>
        <w:t xml:space="preserve">för bromsblock en s.k. öppen punkt i TSD WAG, vilket innebär att det för närvarande inte finns gemensamma specifikationer. </w:t>
      </w:r>
    </w:p>
    <w:p w14:paraId="4964FE7E" w14:textId="77777777" w:rsidR="00380663" w:rsidRDefault="00BC3186">
      <w:pPr>
        <w:spacing w:after="280" w:afterAutospacing="1"/>
      </w:pPr>
      <w:r>
        <w:t xml:space="preserve">Enligt förslaget kommer krävs att bromsblock i standardgodsvagnar som uppfyller kraven i tillägg C i TSD WAG ska vara säkra i s.k. nordiska vinterförhållanden. Tillägg C innehåller de krav som ställs på godsvagnar som ska ingå i det utbytessystem som används inom EES (och numer även inom OTIF). Det innebär att en standardgodsvagn av ett järnvägsföretag får sättas in i ett tåg utan särskild föregående kontroll av vagnens egenskaper. Dessa s.k. standardgodsvagnar utgör 90-95 % av den europeiska godsvagnsparken. För godsvagnar som inte uppfyller kraven enligt tillägg C, ska det framgå av varje godsvagns s.k. tekniska fil om vagnens bromsblock klarar trafik i s.k. nordiska vinterförhållanden eller ej. Behöriga myndigheter får lägga trafikrestriktioner för godsvagnar vars bromsblock inte uppfyller krav på trafik i s.k. nordiska vinterförhållanden.   </w:t>
      </w:r>
    </w:p>
    <w:p w14:paraId="4964FE80" w14:textId="70E958F2" w:rsidR="00FB32B9" w:rsidRDefault="00BC3186">
      <w:pPr>
        <w:spacing w:after="280" w:afterAutospacing="1"/>
        <w:rPr>
          <w:noProof/>
        </w:rPr>
      </w:pPr>
      <w:r>
        <w:t>Förslaget har behandlats av den s.k. driftskompatibilitets- och säkerhetskommittén, som godkände förslaget vid sitt möte i november 2014. Transportstyrelsen har inte haft något att erinra mot förslaget.</w:t>
      </w:r>
    </w:p>
    <w:p w14:paraId="4964FE81" w14:textId="77777777" w:rsidR="00643D86" w:rsidRDefault="00BC3186" w:rsidP="00643D86">
      <w:pPr>
        <w:pStyle w:val="Rubrik1"/>
      </w:pPr>
      <w:bookmarkStart w:id="8" w:name="_Toc413223957"/>
      <w:r>
        <w:rPr>
          <w:noProof/>
        </w:rPr>
        <w:t>Commission Regulation (EU) No …/.. of XXX amending Annexes II, III and V to Regulation (EC) No 396/2005 of the European Parliament and of the Council as regards maximum residue levels for 2-naphthyloxyacetic acid, acetochlor, chloropicrin, diflufenican, flurprimidol, flutolanil and spinosad in or on certain products</w:t>
      </w:r>
      <w:bookmarkEnd w:id="8"/>
    </w:p>
    <w:p w14:paraId="631CBDB8" w14:textId="77777777" w:rsidR="000F39BF" w:rsidRDefault="00BC3186" w:rsidP="00643D86">
      <w:pPr>
        <w:rPr>
          <w:lang w:val="en-US"/>
        </w:rPr>
      </w:pPr>
      <w:r>
        <w:rPr>
          <w:noProof/>
          <w:lang w:val="en-US"/>
        </w:rPr>
        <w:t>Decision</w:t>
      </w:r>
      <w:r>
        <w:rPr>
          <w:lang w:val="en-US"/>
        </w:rPr>
        <w:t xml:space="preserve"> not to oppose adoption</w:t>
      </w:r>
    </w:p>
    <w:p w14:paraId="4964FE82" w14:textId="213A4501" w:rsidR="00643D86" w:rsidRDefault="00BC3186" w:rsidP="00643D86">
      <w:pPr>
        <w:rPr>
          <w:lang w:val="en-US"/>
        </w:rPr>
      </w:pPr>
      <w:r>
        <w:rPr>
          <w:noProof/>
          <w:lang w:val="en-US"/>
        </w:rPr>
        <w:t>5686</w:t>
      </w:r>
      <w:r>
        <w:rPr>
          <w:lang w:val="en-US"/>
        </w:rPr>
        <w:t>/15 AGRILEG 18+ ADD 1+ ADD 2 (en)</w:t>
      </w:r>
      <w:r w:rsidR="00646FD6">
        <w:rPr>
          <w:lang w:val="en-US"/>
        </w:rPr>
        <w:t xml:space="preserve"> </w:t>
      </w:r>
      <w:r>
        <w:rPr>
          <w:lang w:val="en-US"/>
        </w:rPr>
        <w:t>6497/15 AGRILEG 36</w:t>
      </w:r>
    </w:p>
    <w:p w14:paraId="4964FE83" w14:textId="77777777" w:rsidR="00643D86" w:rsidRDefault="00BC3186" w:rsidP="00643D86">
      <w:r>
        <w:rPr>
          <w:b/>
        </w:rPr>
        <w:t>Ansvarigt statsråd</w:t>
      </w:r>
      <w:r>
        <w:rPr>
          <w:b/>
        </w:rPr>
        <w:br/>
      </w:r>
      <w:r>
        <w:rPr>
          <w:noProof/>
        </w:rPr>
        <w:t>Sven Erik Bucht</w:t>
      </w:r>
    </w:p>
    <w:p w14:paraId="2D609DB8" w14:textId="5E386047" w:rsidR="000F39BF" w:rsidRDefault="00BC3186" w:rsidP="00643D86">
      <w:r w:rsidRPr="00B44CE2">
        <w:rPr>
          <w:b/>
        </w:rPr>
        <w:t>Annotering</w:t>
      </w:r>
      <w:r>
        <w:rPr>
          <w:b/>
        </w:rPr>
        <w:br/>
      </w:r>
      <w:r w:rsidRPr="000F39BF">
        <w:rPr>
          <w:b/>
        </w:rPr>
        <w:t>Avsikt med behandlingen i rådet:</w:t>
      </w:r>
      <w:r>
        <w:t xml:space="preserve"> Rådet föreslås </w:t>
      </w:r>
      <w:r w:rsidR="008A547E">
        <w:t>stödja</w:t>
      </w:r>
      <w:r>
        <w:t xml:space="preserve"> beslutet att inte motsätta sig ett antagande av rättsakten. </w:t>
      </w:r>
    </w:p>
    <w:p w14:paraId="2DD9190B" w14:textId="77777777" w:rsidR="000F39BF" w:rsidRDefault="00BC3186" w:rsidP="00643D86">
      <w:r w:rsidRPr="000F39BF">
        <w:rPr>
          <w:b/>
        </w:rPr>
        <w:t>Hur regeringen ställer sig till den blivande A-punkten:</w:t>
      </w:r>
      <w:r>
        <w:t xml:space="preserve"> Regeringen stödjer beslutet att inte motsätta sig ett antagande av rättsakten. </w:t>
      </w:r>
    </w:p>
    <w:p w14:paraId="4964FE86" w14:textId="0390CECA" w:rsidR="00643D86" w:rsidRDefault="00BC3186" w:rsidP="00643D86">
      <w:r w:rsidRPr="000F39BF">
        <w:rPr>
          <w:b/>
        </w:rPr>
        <w:t>Bakgrund</w:t>
      </w:r>
      <w:r>
        <w:t>: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4964FE87" w14:textId="77777777" w:rsidR="00643D86" w:rsidRDefault="00BC3186" w:rsidP="00643D86">
      <w:pPr>
        <w:pStyle w:val="Rubrik1"/>
      </w:pPr>
      <w:bookmarkStart w:id="9" w:name="_Toc413223958"/>
      <w:r>
        <w:rPr>
          <w:noProof/>
        </w:rPr>
        <w:lastRenderedPageBreak/>
        <w:t>Commission Regulation (EU) …/… of XXX defining acceptability criteria for detoxification processes applied to products intended for animal feed as provided for in Directive 2002/32/EC of the European Parliament and of the Council</w:t>
      </w:r>
      <w:bookmarkEnd w:id="9"/>
    </w:p>
    <w:p w14:paraId="6AD17FB5" w14:textId="77777777" w:rsidR="000F39BF" w:rsidRDefault="00BC3186" w:rsidP="00643D86">
      <w:pPr>
        <w:rPr>
          <w:lang w:val="en-US"/>
        </w:rPr>
      </w:pPr>
      <w:r>
        <w:rPr>
          <w:noProof/>
          <w:lang w:val="en-US"/>
        </w:rPr>
        <w:t>Decision</w:t>
      </w:r>
      <w:r>
        <w:rPr>
          <w:lang w:val="en-US"/>
        </w:rPr>
        <w:t xml:space="preserve"> not to oppose adoption</w:t>
      </w:r>
    </w:p>
    <w:p w14:paraId="4964FE88" w14:textId="257DC1F8" w:rsidR="00643D86" w:rsidRDefault="00BC3186" w:rsidP="00643D86">
      <w:pPr>
        <w:rPr>
          <w:lang w:val="en-US"/>
        </w:rPr>
      </w:pPr>
      <w:r>
        <w:rPr>
          <w:noProof/>
          <w:lang w:val="en-US"/>
        </w:rPr>
        <w:t>5668</w:t>
      </w:r>
      <w:r>
        <w:rPr>
          <w:lang w:val="en-US"/>
        </w:rPr>
        <w:t>/15 AGRILEG 16+ ADD 1</w:t>
      </w:r>
      <w:r w:rsidR="000F39BF">
        <w:rPr>
          <w:lang w:val="en-US"/>
        </w:rPr>
        <w:t xml:space="preserve"> </w:t>
      </w:r>
      <w:r>
        <w:rPr>
          <w:lang w:val="en-US"/>
        </w:rPr>
        <w:t>6571/15 AGRILEG 37</w:t>
      </w:r>
    </w:p>
    <w:p w14:paraId="4964FE89" w14:textId="77777777" w:rsidR="00643D86" w:rsidRDefault="00BC3186" w:rsidP="00643D86">
      <w:r>
        <w:rPr>
          <w:b/>
        </w:rPr>
        <w:t>Ansvarigt statsråd</w:t>
      </w:r>
      <w:r>
        <w:rPr>
          <w:b/>
        </w:rPr>
        <w:br/>
      </w:r>
      <w:r>
        <w:rPr>
          <w:noProof/>
        </w:rPr>
        <w:t>Sven Erik Bucht</w:t>
      </w:r>
    </w:p>
    <w:p w14:paraId="304FBFF5" w14:textId="1944E217" w:rsidR="000F39BF" w:rsidRDefault="00BC3186" w:rsidP="00643D86">
      <w:r w:rsidRPr="00B44CE2">
        <w:rPr>
          <w:b/>
        </w:rPr>
        <w:t>Annotering</w:t>
      </w:r>
      <w:r>
        <w:rPr>
          <w:b/>
        </w:rPr>
        <w:br/>
      </w:r>
      <w:r w:rsidRPr="000F39BF">
        <w:rPr>
          <w:b/>
        </w:rPr>
        <w:t>Avsikt med behandlingen i rådet:</w:t>
      </w:r>
      <w:r>
        <w:t xml:space="preserve"> Rådet föreslås </w:t>
      </w:r>
      <w:r w:rsidR="000F39BF">
        <w:t>stödja</w:t>
      </w:r>
      <w:r>
        <w:t xml:space="preserve"> beslutet att inte motsätta sig ett antagande av rättsakten. </w:t>
      </w:r>
    </w:p>
    <w:p w14:paraId="219FA954" w14:textId="77777777" w:rsidR="000F39BF" w:rsidRDefault="00BC3186" w:rsidP="00643D86">
      <w:r w:rsidRPr="000F39BF">
        <w:rPr>
          <w:b/>
        </w:rPr>
        <w:t>Hur regeringen ställer sig till den blivande A-punkten</w:t>
      </w:r>
      <w:r>
        <w:t xml:space="preserve">: Regeringen stödjer beslutet att inte motsätta sig ett antagande av rättsakten. </w:t>
      </w:r>
    </w:p>
    <w:p w14:paraId="4964FE8C" w14:textId="052FD00A" w:rsidR="00643D86" w:rsidRDefault="00BC3186" w:rsidP="00643D86">
      <w:r w:rsidRPr="000F39BF">
        <w:rPr>
          <w:b/>
        </w:rPr>
        <w:t>Bakgrund:</w:t>
      </w:r>
      <w:r>
        <w:t xml:space="preserve"> 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14:paraId="4964FE8E" w14:textId="2FD7E9F7" w:rsidR="00643D86" w:rsidRDefault="00BC3186" w:rsidP="000F39BF">
      <w:pPr>
        <w:pStyle w:val="Rubrik1"/>
      </w:pPr>
      <w:bookmarkStart w:id="10" w:name="_Toc413223959"/>
      <w:r>
        <w:rPr>
          <w:noProof/>
        </w:rPr>
        <w:t>Commission Directive ../…/EU of XXX establishing common noise assessment methods according to Directive 2002/49/EC</w:t>
      </w:r>
      <w:bookmarkEnd w:id="10"/>
    </w:p>
    <w:p w14:paraId="09376739" w14:textId="77777777" w:rsidR="000F39BF" w:rsidRDefault="00BC3186" w:rsidP="00643D86">
      <w:pPr>
        <w:rPr>
          <w:lang w:val="en-US"/>
        </w:rPr>
      </w:pPr>
      <w:r>
        <w:rPr>
          <w:noProof/>
          <w:lang w:val="en-US"/>
        </w:rPr>
        <w:t>Decision</w:t>
      </w:r>
      <w:r>
        <w:rPr>
          <w:lang w:val="en-US"/>
        </w:rPr>
        <w:t xml:space="preserve"> not to oppose adoption</w:t>
      </w:r>
    </w:p>
    <w:p w14:paraId="4964FE8F" w14:textId="18DB7EC5" w:rsidR="00643D86" w:rsidRDefault="00BC3186" w:rsidP="00643D86">
      <w:pPr>
        <w:rPr>
          <w:lang w:val="en-US"/>
        </w:rPr>
      </w:pPr>
      <w:r>
        <w:rPr>
          <w:noProof/>
          <w:lang w:val="en-US"/>
        </w:rPr>
        <w:t>5159</w:t>
      </w:r>
      <w:r>
        <w:rPr>
          <w:lang w:val="en-US"/>
        </w:rPr>
        <w:t xml:space="preserve">/15 ENV 9+ ADD 1 </w:t>
      </w:r>
      <w:r w:rsidR="00646FD6">
        <w:rPr>
          <w:lang w:val="en-US"/>
        </w:rPr>
        <w:t>–</w:t>
      </w:r>
      <w:r>
        <w:rPr>
          <w:lang w:val="en-US"/>
        </w:rPr>
        <w:t xml:space="preserve"> 20</w:t>
      </w:r>
      <w:r w:rsidR="00646FD6">
        <w:rPr>
          <w:lang w:val="en-US"/>
        </w:rPr>
        <w:t xml:space="preserve"> </w:t>
      </w:r>
      <w:r>
        <w:rPr>
          <w:lang w:val="en-US"/>
        </w:rPr>
        <w:t>6556/15 ENV 85</w:t>
      </w:r>
    </w:p>
    <w:p w14:paraId="4964FE90" w14:textId="77777777" w:rsidR="00643D86" w:rsidRDefault="00BC3186" w:rsidP="00643D86">
      <w:r>
        <w:rPr>
          <w:b/>
        </w:rPr>
        <w:t>Ansvarigt statsråd</w:t>
      </w:r>
      <w:r>
        <w:rPr>
          <w:b/>
        </w:rPr>
        <w:br/>
      </w:r>
      <w:r>
        <w:rPr>
          <w:noProof/>
        </w:rPr>
        <w:t>Åsa Romson</w:t>
      </w:r>
    </w:p>
    <w:p w14:paraId="4964FE94" w14:textId="373101CA" w:rsidR="00380663" w:rsidRDefault="00BC3186" w:rsidP="000F39BF">
      <w:r w:rsidRPr="00B44CE2">
        <w:rPr>
          <w:b/>
        </w:rPr>
        <w:t>Annotering</w:t>
      </w:r>
      <w:r>
        <w:rPr>
          <w:b/>
        </w:rPr>
        <w:br/>
      </w:r>
      <w:r>
        <w:rPr>
          <w:b/>
          <w:bCs/>
        </w:rPr>
        <w:t xml:space="preserve">Avsikt med behandlingen i rådet: </w:t>
      </w:r>
      <w:r>
        <w:t xml:space="preserve">Rådet föreslås anta direktivet. </w:t>
      </w:r>
    </w:p>
    <w:p w14:paraId="4964FE95" w14:textId="2C5B539D" w:rsidR="00380663" w:rsidRDefault="00BC3186">
      <w:pPr>
        <w:spacing w:after="280" w:afterAutospacing="1"/>
      </w:pPr>
      <w:r>
        <w:rPr>
          <w:b/>
          <w:bCs/>
        </w:rPr>
        <w:t xml:space="preserve">Hur regeringen ställer sig till den blivande A-punkten: </w:t>
      </w:r>
      <w:r>
        <w:t xml:space="preserve">Regeringen avser rösta ja till att rådet antar kommissionens förslag avseende införande av en </w:t>
      </w:r>
      <w:r w:rsidR="008A547E">
        <w:t>gemensam</w:t>
      </w:r>
      <w:r>
        <w:t xml:space="preserve"> beräkningsmetod för buller i enlighet med direktiv 2002/49/EG. </w:t>
      </w:r>
    </w:p>
    <w:p w14:paraId="4964FE97" w14:textId="604383A4" w:rsidR="00FB32B9" w:rsidRDefault="00BC3186">
      <w:pPr>
        <w:spacing w:after="280" w:afterAutospacing="1"/>
        <w:rPr>
          <w:noProof/>
        </w:rPr>
      </w:pPr>
      <w:r>
        <w:rPr>
          <w:b/>
          <w:bCs/>
        </w:rPr>
        <w:t>Bakgrund:</w:t>
      </w:r>
      <w:r w:rsidR="000F39BF">
        <w:rPr>
          <w:b/>
          <w:bCs/>
        </w:rPr>
        <w:t xml:space="preserve"> </w:t>
      </w:r>
      <w:r>
        <w:t xml:space="preserve">Enligt artikel 6.2 i dir 2002/49/EG ska </w:t>
      </w:r>
      <w:r w:rsidR="008A547E">
        <w:t>kommissionen</w:t>
      </w:r>
      <w:r>
        <w:t xml:space="preserve"> </w:t>
      </w:r>
      <w:r w:rsidR="008A547E">
        <w:t>fastställa</w:t>
      </w:r>
      <w:r>
        <w:t xml:space="preserve"> gemensamma bedömningsmetoder i enlighet med förfarandet i artikel 13.2. I juni 2014 röstade MS ja till </w:t>
      </w:r>
      <w:r w:rsidR="008A547E">
        <w:t>kommissionens</w:t>
      </w:r>
      <w:r>
        <w:t xml:space="preserve"> förslag om att den gemensamma beräkningsmetoden Cnossos-EU ska baseras på den franska spridningsmodellen NMPB. Den gemensamma metoden ska användas för den strategiska kartläggningen av omgivningsbuller från och med sista december 2018.</w:t>
      </w:r>
    </w:p>
    <w:p w14:paraId="4964FE98" w14:textId="77777777" w:rsidR="00643D86" w:rsidRDefault="00BC3186" w:rsidP="00643D86">
      <w:pPr>
        <w:pStyle w:val="Rubrik1"/>
      </w:pPr>
      <w:bookmarkStart w:id="11" w:name="_Toc413223960"/>
      <w:r>
        <w:rPr>
          <w:noProof/>
        </w:rPr>
        <w:lastRenderedPageBreak/>
        <w:t>Commission Decision of XXX on reference document on best environmental management practice, sector environmental performance indicators and benchmarks of excellence for the retail trade sector under Regulation (EC) No 1221/2009 on the voluntary participation by organisations in a Community eco-management and audit scheme (EMAS)</w:t>
      </w:r>
      <w:bookmarkEnd w:id="11"/>
    </w:p>
    <w:p w14:paraId="72CEA4F1" w14:textId="77777777" w:rsidR="000F39BF" w:rsidRDefault="00BC3186" w:rsidP="00643D86">
      <w:pPr>
        <w:rPr>
          <w:lang w:val="en-US"/>
        </w:rPr>
      </w:pPr>
      <w:r>
        <w:rPr>
          <w:noProof/>
          <w:lang w:val="en-US"/>
        </w:rPr>
        <w:t>Decision</w:t>
      </w:r>
      <w:r>
        <w:rPr>
          <w:lang w:val="en-US"/>
        </w:rPr>
        <w:t xml:space="preserve"> not to oppose adoption</w:t>
      </w:r>
    </w:p>
    <w:p w14:paraId="4964FE99" w14:textId="36A791C8" w:rsidR="00643D86" w:rsidRDefault="00BC3186" w:rsidP="00643D86">
      <w:pPr>
        <w:rPr>
          <w:lang w:val="en-US"/>
        </w:rPr>
      </w:pPr>
      <w:r>
        <w:rPr>
          <w:noProof/>
          <w:lang w:val="en-US"/>
        </w:rPr>
        <w:t>5413</w:t>
      </w:r>
      <w:r>
        <w:rPr>
          <w:lang w:val="en-US"/>
        </w:rPr>
        <w:t>/15 ENV 17+ ADD 1</w:t>
      </w:r>
      <w:r w:rsidR="000F39BF">
        <w:rPr>
          <w:lang w:val="en-US"/>
        </w:rPr>
        <w:t xml:space="preserve"> </w:t>
      </w:r>
      <w:r>
        <w:rPr>
          <w:lang w:val="en-US"/>
        </w:rPr>
        <w:t>6557/15 ENV 86</w:t>
      </w:r>
    </w:p>
    <w:p w14:paraId="4964FE9A" w14:textId="77777777" w:rsidR="00643D86" w:rsidRDefault="00BC3186" w:rsidP="00643D86">
      <w:r>
        <w:rPr>
          <w:b/>
        </w:rPr>
        <w:t>Ansvarigt statsråd</w:t>
      </w:r>
      <w:r>
        <w:rPr>
          <w:b/>
        </w:rPr>
        <w:br/>
      </w:r>
      <w:r>
        <w:rPr>
          <w:noProof/>
        </w:rPr>
        <w:t>Åsa Romson</w:t>
      </w:r>
    </w:p>
    <w:p w14:paraId="4964FE9E" w14:textId="71B5E37B" w:rsidR="00380663" w:rsidRDefault="00BC3186" w:rsidP="000F39BF">
      <w:r w:rsidRPr="00B44CE2">
        <w:rPr>
          <w:b/>
        </w:rPr>
        <w:t>Annotering</w:t>
      </w:r>
      <w:r>
        <w:rPr>
          <w:b/>
        </w:rPr>
        <w:br/>
      </w:r>
      <w:r>
        <w:rPr>
          <w:b/>
          <w:bCs/>
        </w:rPr>
        <w:t>Avsikt med behandlingen i rådet:</w:t>
      </w:r>
      <w:r>
        <w:t xml:space="preserve"> Rådet föreslås anta referensdokumentet för bästa miljöledningspraxis, indikatorer för sektorsspecifik miljöprestanda och riktmärken för resultat i världsklass för detaljhandelssektorn enligt förordning (EG) nr 122/2009 om frivilligt deltagande för organisationer i gemenskapens miljölednings- och miljörevisionsordning (Emas).</w:t>
      </w:r>
    </w:p>
    <w:p w14:paraId="4964FE9F" w14:textId="77777777" w:rsidR="00380663" w:rsidRDefault="00BC3186">
      <w:pPr>
        <w:spacing w:after="280" w:afterAutospacing="1"/>
      </w:pPr>
      <w:r>
        <w:rPr>
          <w:b/>
          <w:bCs/>
        </w:rPr>
        <w:t>Hur regeringen ställer sig till den blivande A-punkten:</w:t>
      </w:r>
      <w:r>
        <w:t xml:space="preserve"> Regeringen avser att rösta ja till att rådet antar referensdokumentet för bästa miljöledningspraxis, indikatorer för sektorsspecifik miljöprestanda och riktmärken för resultat i världsklass för detaljhandlingssektorn enligt förordning (EG) nr 122/2009 om frivilligt deltagande för organisationer i gemenskapens miljölednings- och miljörevisionsordning (Emas).</w:t>
      </w:r>
    </w:p>
    <w:p w14:paraId="4964FEA1" w14:textId="5273792C" w:rsidR="00FB32B9" w:rsidRDefault="00BC3186">
      <w:pPr>
        <w:spacing w:after="280" w:afterAutospacing="1"/>
        <w:rPr>
          <w:noProof/>
        </w:rPr>
      </w:pPr>
      <w:r>
        <w:rPr>
          <w:b/>
          <w:bCs/>
        </w:rPr>
        <w:t xml:space="preserve">Bakgrund: </w:t>
      </w:r>
      <w:r>
        <w:t xml:space="preserve">Enligt den senaste översynen av gemenskapens miljölednings- och miljörevisionsförordning (Emas), som trädde i kraft i januari 2011, ska Kommissionen i samråd med medlemsstaterna och andra berörda parter utarbeta sektorsspecifika referensdokument som återspeglar bästa miljöledningspraxis för specifika sektorer. Detta är det första sektorsspecifika referensdokumentet som har utarbetats. Dokumentet behandlar miljöledning hos organisationer inom detaljhandelssektorn och bygger på en detaljerad vetenskaps- och policyrapport utarbetad av Institute for Prospective Technological Studies, ett av de sju institut som ingår i kommissionens gemensamma forskningscentrum. Dokumentet har tagits fram enligt en gedigen och väl genomarbetad procedur där experter inom berört område deltar och syftet med dokumentet är att genom såväl idéer och inspiration som praktisk och teknisk vägledning hjälpa och stödja alla organisationer som har för avsikt att förbättra sin miljöprestanda. Dokumentet innehåller även indikatorer som visar hur dessa tekniker/angreppssätt kan mätas och ger möjlighet till uppföljning och jämförelser. </w:t>
      </w:r>
    </w:p>
    <w:p w14:paraId="4964FEA2" w14:textId="77777777" w:rsidR="00643D86" w:rsidRDefault="00BC3186" w:rsidP="00643D86">
      <w:pPr>
        <w:pStyle w:val="Rubrik1"/>
      </w:pPr>
      <w:bookmarkStart w:id="12" w:name="_Toc413223961"/>
      <w:r>
        <w:rPr>
          <w:noProof/>
        </w:rPr>
        <w:t>Commission Delegated Directive ../…/EU of 30.1.2015 amending, for the purposes of adapting to technical progress, Annex IV to Directive 2011/65/EU of the European Parliament and of the Council as regards an exemption for lead in polyvinyl chloride sensors in in-vitro diagnostic medical devices</w:t>
      </w:r>
      <w:bookmarkEnd w:id="12"/>
    </w:p>
    <w:p w14:paraId="58F3142B" w14:textId="77777777" w:rsidR="000F39BF" w:rsidRDefault="00BC3186" w:rsidP="00643D86">
      <w:pPr>
        <w:rPr>
          <w:lang w:val="en-US"/>
        </w:rPr>
      </w:pPr>
      <w:r>
        <w:rPr>
          <w:noProof/>
          <w:lang w:val="en-US"/>
        </w:rPr>
        <w:t>Intention</w:t>
      </w:r>
      <w:r>
        <w:rPr>
          <w:lang w:val="en-US"/>
        </w:rPr>
        <w:t xml:space="preserve"> not to raise objection to a delegated act</w:t>
      </w:r>
    </w:p>
    <w:p w14:paraId="4964FEA3" w14:textId="6A6558CE" w:rsidR="00643D86" w:rsidRDefault="00BC3186" w:rsidP="00643D86">
      <w:pPr>
        <w:rPr>
          <w:lang w:val="en-US"/>
        </w:rPr>
      </w:pPr>
      <w:r>
        <w:rPr>
          <w:noProof/>
          <w:lang w:val="en-US"/>
        </w:rPr>
        <w:t>5848</w:t>
      </w:r>
      <w:r>
        <w:rPr>
          <w:lang w:val="en-US"/>
        </w:rPr>
        <w:t>/15 ENV 33 MI 58 DELACT 11+ ADD 1</w:t>
      </w:r>
      <w:r w:rsidR="00646FD6">
        <w:rPr>
          <w:lang w:val="en-US"/>
        </w:rPr>
        <w:t xml:space="preserve"> </w:t>
      </w:r>
      <w:r>
        <w:rPr>
          <w:lang w:val="en-US"/>
        </w:rPr>
        <w:t>6553/15 ENV 82 MI 112 DELACT 20</w:t>
      </w:r>
    </w:p>
    <w:p w14:paraId="4964FEA4" w14:textId="77777777" w:rsidR="00643D86" w:rsidRDefault="00BC3186" w:rsidP="00643D86">
      <w:r>
        <w:rPr>
          <w:b/>
        </w:rPr>
        <w:t>Ansvarigt statsråd</w:t>
      </w:r>
      <w:r>
        <w:rPr>
          <w:b/>
        </w:rPr>
        <w:br/>
      </w:r>
      <w:r>
        <w:rPr>
          <w:noProof/>
        </w:rPr>
        <w:t>Åsa Romson</w:t>
      </w:r>
    </w:p>
    <w:p w14:paraId="4964FEA7" w14:textId="77777777" w:rsidR="00643D86" w:rsidRDefault="00BC3186" w:rsidP="00643D86">
      <w:r w:rsidRPr="00B44CE2">
        <w:rPr>
          <w:b/>
        </w:rPr>
        <w:lastRenderedPageBreak/>
        <w:t>Annotering</w:t>
      </w:r>
      <w:r>
        <w:rPr>
          <w:b/>
        </w:rPr>
        <w:br/>
      </w:r>
      <w:r>
        <w:rPr>
          <w:b/>
          <w:bCs/>
        </w:rPr>
        <w:t xml:space="preserve">Avsikt med behandlingen i rådet: </w:t>
      </w:r>
      <w:r>
        <w:t xml:space="preserve">Rådet föreslås inte motsätta sig antagandet av Kommissionens delegerade direktiv om ändring, för anpassning till den tekniska utvecklingen, av bilaga IV till Europaparlamentets och rådets direktiv 2011/65/EU (RoHS-direktivet) vad gäller undantag för bly i sensorer av polyvinylklorid i medicintekniska produkter för in vitro-diagnostik. </w:t>
      </w:r>
    </w:p>
    <w:p w14:paraId="4964FEA8" w14:textId="77777777" w:rsidR="00380663" w:rsidRDefault="00BC3186">
      <w:pPr>
        <w:spacing w:after="280" w:afterAutospacing="1"/>
      </w:pPr>
      <w:r>
        <w:rPr>
          <w:b/>
          <w:bCs/>
        </w:rPr>
        <w:t xml:space="preserve">Hur regeringen ställer sig till den blivande A-punkten: </w:t>
      </w:r>
      <w:r>
        <w:t xml:space="preserve">Sverige stöder rådets förslag att inte motsätta sig att Kommissionens förslag antas. Kommissionen har samrått med den expertgrupp som finns kopplad till RoHS- direktivet. Sveriges synpunkter som lämnades vid konsultationen har tillgodosetts. </w:t>
      </w:r>
    </w:p>
    <w:p w14:paraId="4964FEA9" w14:textId="77777777" w:rsidR="00380663" w:rsidRDefault="00BC3186">
      <w:pPr>
        <w:spacing w:after="280" w:afterAutospacing="1"/>
      </w:pPr>
      <w:r>
        <w:rPr>
          <w:b/>
          <w:bCs/>
        </w:rPr>
        <w:t xml:space="preserve">Bakgrund: </w:t>
      </w:r>
      <w:r>
        <w:t xml:space="preserve">RoHS direktivets syfte är att skydda människors hälsa och främja miljövänlig återvinning och bortskaffande av avfall som utgörs av eller innehåller elektriska och elektroniska produkter. RoHS-direktivet förbjuder användningen av metallerna kvicksilver, kadmium, bly, krom VI och flamskyddsmedlen PBB och PBDE i elektriska och elektroniska produkter både vid tillverkning inom EU och vid import från tredje land. Det finns möjligheter till tidsbegränsade undantag för vissa specifika användningar och Kommissionen har delegerad befogenhet att anta sådana. Det aktuella undantaget gäller bly i sensorer av polyvinylklorid i medicintekniska produkter för in vitro-diagnostik. </w:t>
      </w:r>
    </w:p>
    <w:p w14:paraId="4964FEAB" w14:textId="5509FF0A" w:rsidR="00FB32B9" w:rsidRDefault="00BC3186">
      <w:pPr>
        <w:spacing w:after="280" w:afterAutospacing="1"/>
        <w:rPr>
          <w:noProof/>
        </w:rPr>
      </w:pPr>
      <w:r>
        <w:t xml:space="preserve">Analysatorer för blod m.m. är viktiga analysinstrument inom hälso- och sjukvården såväl i EU som i övriga världen. Blodanalyser är centrala för nästan alla diagnostiska och terapeutiska förfaranden som genomförs inom hälso- och sjukvården i dag. Bly används som stabilisator för bearbetning av polyvinylklorid (PVC), som utgör grundmaterialet i sensorkort för patronerna i dessa analysatorer, som är av stor vikt inom vården. Till skillnad från alternativ såsom tenn påverkar blyet i sensorkortet inte mätningen av elektrolyter. Forskning om ersättningsmaterial för bly som stabiliseringsmedel i PVC-sensorkort pågår, men det finns ännu inget lämpligt alternativ. Varken substitution av bly i PVC-sensorkort i medicintekniska produkter för in vitro-diagnostik eller eliminering av bly genom substitution av PVC i dessa användningar kan genomföras ur teknisk synpunkt. Ett tidsbegränsat undantag anses därför motiverat. </w:t>
      </w:r>
    </w:p>
    <w:p w14:paraId="4964FEAC" w14:textId="77777777" w:rsidR="00643D86" w:rsidRDefault="00BC3186" w:rsidP="00643D86">
      <w:pPr>
        <w:pStyle w:val="Rubrik1"/>
      </w:pPr>
      <w:bookmarkStart w:id="13" w:name="_Toc413223962"/>
      <w:r>
        <w:rPr>
          <w:noProof/>
        </w:rPr>
        <w:t>Commission Delegated Directive ../…/EU of 30.1.2015 amending, for the purposes of adapting to technical progress, Annex IV to Directive 2011/65/EU of the European Parliament and of the Council as regards an exemption for mercury in intravascular ultrasound imaging systems</w:t>
      </w:r>
      <w:bookmarkEnd w:id="13"/>
    </w:p>
    <w:p w14:paraId="30CB8EE9" w14:textId="77777777" w:rsidR="000F39BF" w:rsidRDefault="00BC3186" w:rsidP="00643D86">
      <w:pPr>
        <w:rPr>
          <w:lang w:val="en-US"/>
        </w:rPr>
      </w:pPr>
      <w:r>
        <w:rPr>
          <w:noProof/>
          <w:lang w:val="en-US"/>
        </w:rPr>
        <w:t>Intention</w:t>
      </w:r>
      <w:r>
        <w:rPr>
          <w:lang w:val="en-US"/>
        </w:rPr>
        <w:t xml:space="preserve"> not to raise objection to a delegated act</w:t>
      </w:r>
    </w:p>
    <w:p w14:paraId="5E0216A5" w14:textId="77777777" w:rsidR="00646FD6" w:rsidRDefault="00BC3186" w:rsidP="00643D86">
      <w:pPr>
        <w:rPr>
          <w:lang w:val="en-US"/>
        </w:rPr>
      </w:pPr>
      <w:r>
        <w:rPr>
          <w:noProof/>
          <w:lang w:val="en-US"/>
        </w:rPr>
        <w:t>5852</w:t>
      </w:r>
      <w:r>
        <w:rPr>
          <w:lang w:val="en-US"/>
        </w:rPr>
        <w:t>/15 ENV 35 MI 60 DELACT 13+ ADD 1</w:t>
      </w:r>
      <w:r w:rsidR="00646FD6">
        <w:rPr>
          <w:lang w:val="en-US"/>
        </w:rPr>
        <w:t xml:space="preserve"> </w:t>
      </w:r>
      <w:r>
        <w:rPr>
          <w:lang w:val="en-US"/>
        </w:rPr>
        <w:t>6555/15 ENV 84 MI 113 DELACT 21</w:t>
      </w:r>
      <w:r w:rsidR="000F39BF">
        <w:rPr>
          <w:lang w:val="en-US"/>
        </w:rPr>
        <w:t xml:space="preserve"> </w:t>
      </w:r>
    </w:p>
    <w:p w14:paraId="4964FEAE" w14:textId="77777777" w:rsidR="00643D86" w:rsidRDefault="00BC3186" w:rsidP="00643D86">
      <w:r>
        <w:rPr>
          <w:b/>
        </w:rPr>
        <w:t>Ansvarigt statsråd</w:t>
      </w:r>
      <w:r>
        <w:rPr>
          <w:b/>
        </w:rPr>
        <w:br/>
      </w:r>
      <w:r>
        <w:rPr>
          <w:noProof/>
        </w:rPr>
        <w:t>Åsa Romson</w:t>
      </w:r>
    </w:p>
    <w:p w14:paraId="4964FEB1" w14:textId="77777777" w:rsidR="00643D86" w:rsidRDefault="00BC3186" w:rsidP="00643D86">
      <w:r w:rsidRPr="00B44CE2">
        <w:rPr>
          <w:b/>
        </w:rPr>
        <w:t>Annotering</w:t>
      </w:r>
      <w:r>
        <w:rPr>
          <w:b/>
        </w:rPr>
        <w:br/>
      </w:r>
      <w:r>
        <w:rPr>
          <w:b/>
          <w:bCs/>
        </w:rPr>
        <w:t xml:space="preserve">Avsikt med behandlingen i rådet: </w:t>
      </w:r>
      <w:r>
        <w:t xml:space="preserve">Rådet föreslås inte motsätta sig antagandet av Kommissionens delegerade direktiv om ändring, för anpassning till den tekniska utvecklingen, </w:t>
      </w:r>
      <w:r>
        <w:lastRenderedPageBreak/>
        <w:t xml:space="preserve">av bilaga IV till Europaparlamentets och rådets direktiv 2011/65/EU (RoHs-direktivet) vad gäller undantag för kvicksilver i system för intravaskulär ultraljudsavbildning. </w:t>
      </w:r>
    </w:p>
    <w:p w14:paraId="4964FEB2" w14:textId="77777777" w:rsidR="00380663" w:rsidRDefault="00BC3186">
      <w:pPr>
        <w:spacing w:after="280" w:afterAutospacing="1"/>
      </w:pPr>
      <w:r>
        <w:rPr>
          <w:b/>
          <w:bCs/>
        </w:rPr>
        <w:t>Hur regeringen ställer sig till den blivande A-punkten:</w:t>
      </w:r>
      <w:r>
        <w:t xml:space="preserve"> Sverige stöder rådets förslag att inte motsätta sig att kommissionens delegerade akt antas. Kommissionen har samrått med den expertgrupp som finns kopplad till RoHS-direktivet. Sveriges synpunkter som lämnades vid konsultationen har tillgodosetts. </w:t>
      </w:r>
    </w:p>
    <w:p w14:paraId="4964FEB3" w14:textId="77777777" w:rsidR="00380663" w:rsidRDefault="00BC3186">
      <w:pPr>
        <w:spacing w:after="280" w:afterAutospacing="1"/>
      </w:pPr>
      <w:r>
        <w:rPr>
          <w:b/>
          <w:bCs/>
        </w:rPr>
        <w:t xml:space="preserve">Bakgrund: </w:t>
      </w:r>
      <w:r>
        <w:t>RoHS-direktivets syfte är att skydda människors hälsa och främja miljövänlig återvinning och bortskaffande av avfall som utgörs av eller innehåller elektriska och elektroniska produkter. RoHS-direktivet förbjuder användningen av metallerna kvicksilver, kadmium, bly, krom VI och flamskyddsmedlen PBB och PBDE i elektriska och elektroniska produkter både vid tillverkning inom EU och vid import från tredje land. Det finns möjligheter för tidsbegränsade undantag för vissa specifika användningar och Kommissionen har delegerad befogenhet att anta sådana. Det aktuella undantaget gäller kvicksilver i system för intravaskulär ultraljudsavbildning.</w:t>
      </w:r>
    </w:p>
    <w:p w14:paraId="4964FEB5" w14:textId="4C33675A" w:rsidR="00380663" w:rsidRDefault="00BC3186">
      <w:pPr>
        <w:spacing w:after="280" w:afterAutospacing="1"/>
      </w:pPr>
      <w:r>
        <w:t>Kvicksilver används i elektriska roterande kontaktdon i medicintekniska produkter för intravaskulär ultraljudsavbildning. Kvicksilvret eliminerar det brus som uppstår vid kontakten mellan metaller vid rotation. På grund av befintlig teknik är substitution av kvicksilver inte möjlig, eftersom kvicksilver är den enda ledande metall som är flytande vid rumstemperatur. Alla typer av kontakt mellan fasta ämnen ökar det elektriska motståndet, orsakar elektriskt brus genom variationer i motståndet m.m. Den kvicksilverhaltiga komponenten i produkten kan för närvarande inte ersättas med en komponent som är i överensstämmelse med RoHS-direktivet. Nackdelen med både substitution av kvicksilver i elektriska roterande kontaktdon i medicintekniska produkter för intravaskulär ultraljudsavbildning och eliminering av kvicksilver genom substitution av kontaktdonet eller produkten är att de inte är genomförbara ur teknisk synpunkt eller har en allmänt negativ inverkan på grund av negativa effekter för patienternas hälsa. Ett tidsbegränsat undantag anses därför motiverat.</w:t>
      </w:r>
    </w:p>
    <w:p w14:paraId="4964FEB6" w14:textId="77777777" w:rsidR="00643D86" w:rsidRDefault="00BC3186" w:rsidP="00643D86">
      <w:pPr>
        <w:pStyle w:val="Rubrik1"/>
      </w:pPr>
      <w:bookmarkStart w:id="14" w:name="_Toc413223963"/>
      <w:r>
        <w:rPr>
          <w:noProof/>
        </w:rPr>
        <w:t>Proposal for a Regulation of the European Parliament and of the Council on the monitoring, reporting and verification of carbon dioxide emissions from maritime transport and amending Regulation (EU) No 525/2013 (First reading) (Legislative deliberation)</w:t>
      </w:r>
      <w:bookmarkEnd w:id="14"/>
    </w:p>
    <w:p w14:paraId="5AE36E91" w14:textId="37290526" w:rsidR="000F39BF" w:rsidRDefault="00BC3186" w:rsidP="00643D86">
      <w:pPr>
        <w:rPr>
          <w:lang w:val="en-US"/>
        </w:rPr>
      </w:pPr>
      <w:r>
        <w:rPr>
          <w:noProof/>
          <w:lang w:val="en-US"/>
        </w:rPr>
        <w:t>Adoption</w:t>
      </w:r>
      <w:r w:rsidR="00646FD6">
        <w:rPr>
          <w:noProof/>
          <w:lang w:val="en-US"/>
        </w:rPr>
        <w:t xml:space="preserve"> </w:t>
      </w:r>
      <w:r>
        <w:rPr>
          <w:noProof/>
          <w:lang w:val="en-US"/>
        </w:rPr>
        <w:t>a</w:t>
      </w:r>
      <w:r>
        <w:rPr>
          <w:lang w:val="en-US"/>
        </w:rPr>
        <w:t>) of the Council's position at first reading</w:t>
      </w:r>
      <w:r w:rsidR="00646FD6">
        <w:rPr>
          <w:lang w:val="en-US"/>
        </w:rPr>
        <w:t xml:space="preserve"> </w:t>
      </w:r>
      <w:r>
        <w:rPr>
          <w:lang w:val="en-US"/>
        </w:rPr>
        <w:t>b) of the statement of the Council's reasons</w:t>
      </w:r>
    </w:p>
    <w:p w14:paraId="4964FEB9" w14:textId="722A5803" w:rsidR="00643D86" w:rsidRDefault="00BC3186" w:rsidP="00643D86">
      <w:pPr>
        <w:rPr>
          <w:lang w:val="en-US"/>
        </w:rPr>
      </w:pPr>
      <w:r>
        <w:rPr>
          <w:noProof/>
          <w:lang w:val="en-US"/>
        </w:rPr>
        <w:t>17086</w:t>
      </w:r>
      <w:r>
        <w:rPr>
          <w:lang w:val="en-US"/>
        </w:rPr>
        <w:t>/14 CLIMA 119 ENV 1010 MAR 191 MI 1013 ONU 167 CODEC 2552</w:t>
      </w:r>
      <w:r w:rsidR="000F39BF">
        <w:rPr>
          <w:lang w:val="en-US"/>
        </w:rPr>
        <w:t xml:space="preserve"> </w:t>
      </w:r>
      <w:r>
        <w:rPr>
          <w:lang w:val="en-US"/>
        </w:rPr>
        <w:t>6572/15 CODEC 249 CLIMA 18 ENV 89 MAR 18 MI 114 ONU 24</w:t>
      </w:r>
      <w:r w:rsidR="000F39BF">
        <w:rPr>
          <w:lang w:val="en-US"/>
        </w:rPr>
        <w:t xml:space="preserve"> </w:t>
      </w:r>
      <w:r>
        <w:rPr>
          <w:lang w:val="en-US"/>
        </w:rPr>
        <w:t>+ ADD 1</w:t>
      </w:r>
    </w:p>
    <w:p w14:paraId="4964FEBA" w14:textId="77777777" w:rsidR="00643D86" w:rsidRDefault="00BC3186" w:rsidP="00643D86">
      <w:r>
        <w:rPr>
          <w:b/>
        </w:rPr>
        <w:t>Ansvarigt statsråd</w:t>
      </w:r>
      <w:r>
        <w:rPr>
          <w:b/>
        </w:rPr>
        <w:br/>
      </w:r>
      <w:r>
        <w:rPr>
          <w:noProof/>
        </w:rPr>
        <w:t>Åsa Romson</w:t>
      </w:r>
    </w:p>
    <w:p w14:paraId="4964FEBB" w14:textId="77777777" w:rsidR="00643D86" w:rsidRPr="00643D86" w:rsidRDefault="00BC3186" w:rsidP="00643D86">
      <w:r w:rsidRPr="00643D86">
        <w:rPr>
          <w:b/>
        </w:rPr>
        <w:t>Tidigare behandling i riksdagen</w:t>
      </w:r>
      <w:r>
        <w:rPr>
          <w:b/>
        </w:rPr>
        <w:br/>
      </w:r>
      <w:r>
        <w:rPr>
          <w:noProof/>
        </w:rPr>
        <w:t>2014-12-12</w:t>
      </w:r>
    </w:p>
    <w:p w14:paraId="4964FEBC" w14:textId="77777777" w:rsidR="00643D86" w:rsidRPr="00643D86" w:rsidRDefault="00BC3186" w:rsidP="00643D86">
      <w:r w:rsidRPr="00643D86">
        <w:rPr>
          <w:b/>
        </w:rPr>
        <w:t>Tidigare behandling vid rådsmöte</w:t>
      </w:r>
      <w:r>
        <w:rPr>
          <w:b/>
        </w:rPr>
        <w:br/>
      </w:r>
      <w:r>
        <w:rPr>
          <w:noProof/>
        </w:rPr>
        <w:t>2014-12-17</w:t>
      </w:r>
    </w:p>
    <w:p w14:paraId="4964FEBF" w14:textId="197CA0B1" w:rsidR="00380663" w:rsidRDefault="00BC3186" w:rsidP="000F39BF">
      <w:r w:rsidRPr="00B44CE2">
        <w:rPr>
          <w:b/>
        </w:rPr>
        <w:lastRenderedPageBreak/>
        <w:t>Annotering</w:t>
      </w:r>
      <w:r w:rsidR="000F39BF">
        <w:rPr>
          <w:b/>
        </w:rPr>
        <w:br/>
      </w:r>
      <w:r>
        <w:rPr>
          <w:b/>
          <w:bCs/>
        </w:rPr>
        <w:t>Avsikt med behandlingen i rådet:</w:t>
      </w:r>
      <w:r w:rsidR="000F39BF">
        <w:rPr>
          <w:b/>
          <w:bCs/>
        </w:rPr>
        <w:t xml:space="preserve"> </w:t>
      </w:r>
      <w:r>
        <w:t xml:space="preserve">Antagande av MRV förordningen och rådets motivering. </w:t>
      </w:r>
    </w:p>
    <w:p w14:paraId="4964FEC1" w14:textId="30546F3E" w:rsidR="00380663" w:rsidRDefault="00BC3186">
      <w:pPr>
        <w:spacing w:after="280" w:afterAutospacing="1"/>
      </w:pPr>
      <w:r>
        <w:rPr>
          <w:b/>
          <w:bCs/>
        </w:rPr>
        <w:t>Hur regeringen ställer sig till den blivande A-punkten:</w:t>
      </w:r>
      <w:r>
        <w:t xml:space="preserve"> Sverige avser rösta ja till att förordningen antas i första läsningen. </w:t>
      </w:r>
    </w:p>
    <w:p w14:paraId="4964FEC5" w14:textId="4B8177D4" w:rsidR="00643D86" w:rsidRPr="00643D86" w:rsidRDefault="00BC3186" w:rsidP="000F39BF">
      <w:pPr>
        <w:spacing w:after="280" w:afterAutospacing="1"/>
        <w:rPr>
          <w:lang w:val="en-US"/>
        </w:rPr>
      </w:pPr>
      <w:r>
        <w:rPr>
          <w:b/>
          <w:bCs/>
        </w:rPr>
        <w:t>Bakgrund:</w:t>
      </w:r>
      <w:r w:rsidR="000F39BF">
        <w:rPr>
          <w:b/>
          <w:bCs/>
        </w:rPr>
        <w:t xml:space="preserve"> </w:t>
      </w:r>
      <w:r>
        <w:t xml:space="preserve">Sjöfartens utsläpp av koldioxid ökar som resultat av ökade sjötransporter. Samtidigt är sjöfart ett effektivt transportslag. Avsikten med förordningen är att etablera ett regelverk för mätning, rapportering och verifiering (MRV) av koldioxidutsläpp och bränsleförbrukning från sjöfart inom och till/från EU. Det kan ses som ett första steg i arbetet med att minska utsläppen från internationell sjöfart. Förordningen ska dessutom kunna användas för att få fram information om åtgärders effektivitet och på så sätt i längden bidra till att sjöfarten minskar sina utsläpp samtidigt som det också kan bidra till sänkta kostnader. </w:t>
      </w:r>
      <w:bookmarkEnd w:id="0"/>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4FED7" w14:textId="77777777" w:rsidR="00A1747D" w:rsidRDefault="00BC3186">
      <w:pPr>
        <w:spacing w:after="0" w:line="240" w:lineRule="auto"/>
      </w:pPr>
      <w:r>
        <w:separator/>
      </w:r>
    </w:p>
  </w:endnote>
  <w:endnote w:type="continuationSeparator" w:id="0">
    <w:p w14:paraId="4964FED9" w14:textId="77777777" w:rsidR="00A1747D" w:rsidRDefault="00BC3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altName w:val="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4FED3" w14:textId="77777777" w:rsidR="00A1747D" w:rsidRDefault="00BC3186">
      <w:pPr>
        <w:spacing w:after="0" w:line="240" w:lineRule="auto"/>
      </w:pPr>
      <w:r>
        <w:separator/>
      </w:r>
    </w:p>
  </w:footnote>
  <w:footnote w:type="continuationSeparator" w:id="0">
    <w:p w14:paraId="4964FED5" w14:textId="77777777" w:rsidR="00A1747D" w:rsidRDefault="00BC31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718315"/>
      <w:docPartObj>
        <w:docPartGallery w:val="Page Numbers (Top of Page)"/>
        <w:docPartUnique/>
      </w:docPartObj>
    </w:sdtPr>
    <w:sdtEndPr/>
    <w:sdtContent>
      <w:p w14:paraId="46E6AB6B" w14:textId="4C53A05B" w:rsidR="000F39BF" w:rsidRDefault="000F39BF">
        <w:pPr>
          <w:pStyle w:val="Sidhuvud"/>
          <w:jc w:val="right"/>
        </w:pPr>
        <w:r>
          <w:fldChar w:fldCharType="begin"/>
        </w:r>
        <w:r>
          <w:instrText>PAGE   \* MERGEFORMAT</w:instrText>
        </w:r>
        <w:r>
          <w:fldChar w:fldCharType="separate"/>
        </w:r>
        <w:r w:rsidR="007F2DE3">
          <w:rPr>
            <w:noProof/>
          </w:rPr>
          <w:t>11</w:t>
        </w:r>
        <w:r>
          <w:fldChar w:fldCharType="end"/>
        </w:r>
      </w:p>
    </w:sdtContent>
  </w:sdt>
  <w:p w14:paraId="4964FEC7" w14:textId="77777777" w:rsidR="006F1C0D" w:rsidRDefault="007F2DE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80663" w14:paraId="4964FECD" w14:textId="77777777" w:rsidTr="006E71D7">
      <w:tc>
        <w:tcPr>
          <w:tcW w:w="4606" w:type="dxa"/>
        </w:tcPr>
        <w:p w14:paraId="4964FEC8" w14:textId="77777777" w:rsidR="006E71D7" w:rsidRDefault="00BC3186" w:rsidP="00752770">
          <w:pPr>
            <w:pStyle w:val="Sidhuvud"/>
            <w:ind w:left="0"/>
          </w:pPr>
          <w:r>
            <w:rPr>
              <w:noProof/>
              <w:lang w:eastAsia="sv-SE"/>
            </w:rPr>
            <w:drawing>
              <wp:inline distT="0" distB="0" distL="0" distR="0" wp14:anchorId="4964FED3" wp14:editId="4964FED4">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964FEC9" w14:textId="77777777" w:rsidR="00FB32B9" w:rsidRDefault="007F2DE3" w:rsidP="00FB32B9">
          <w:pPr>
            <w:ind w:right="916"/>
            <w:rPr>
              <w:rFonts w:ascii="TradeGothic" w:hAnsi="TradeGothic"/>
              <w:b/>
            </w:rPr>
          </w:pPr>
        </w:p>
        <w:p w14:paraId="4964FECA" w14:textId="77777777" w:rsidR="00FB32B9" w:rsidRDefault="00BC3186" w:rsidP="00FB32B9">
          <w:pPr>
            <w:ind w:right="916"/>
          </w:pPr>
          <w:r>
            <w:rPr>
              <w:rFonts w:ascii="TradeGothic" w:hAnsi="TradeGothic"/>
              <w:b/>
            </w:rPr>
            <w:t>Promemoria</w:t>
          </w:r>
        </w:p>
        <w:p w14:paraId="4964FECB" w14:textId="77777777" w:rsidR="00FB32B9" w:rsidRDefault="007F2DE3" w:rsidP="00FB32B9">
          <w:pPr>
            <w:jc w:val="right"/>
          </w:pPr>
        </w:p>
        <w:p w14:paraId="4964FECC" w14:textId="1CD3E13A" w:rsidR="006E71D7" w:rsidRDefault="000F39BF" w:rsidP="00FB32B9">
          <w:pPr>
            <w:ind w:right="916"/>
          </w:pPr>
          <w:r>
            <w:rPr>
              <w:rFonts w:ascii="TradeGothic" w:hAnsi="TradeGothic"/>
              <w:b/>
              <w:noProof/>
            </w:rPr>
            <w:t>2015-03</w:t>
          </w:r>
          <w:r w:rsidR="00BC3186">
            <w:rPr>
              <w:rFonts w:ascii="TradeGothic" w:hAnsi="TradeGothic"/>
              <w:b/>
              <w:noProof/>
            </w:rPr>
            <w:t>-0</w:t>
          </w:r>
          <w:r>
            <w:rPr>
              <w:rFonts w:ascii="TradeGothic" w:hAnsi="TradeGothic"/>
              <w:b/>
              <w:noProof/>
            </w:rPr>
            <w:t>4</w:t>
          </w:r>
        </w:p>
      </w:tc>
    </w:tr>
  </w:tbl>
  <w:p w14:paraId="4964FECE" w14:textId="77777777" w:rsidR="00FB32B9" w:rsidRDefault="007F2DE3" w:rsidP="00FB32B9">
    <w:pPr>
      <w:pStyle w:val="Avsndare"/>
      <w:framePr w:w="0" w:hRule="auto" w:hSpace="0" w:wrap="auto" w:vAnchor="margin" w:hAnchor="text" w:xAlign="left" w:yAlign="inline"/>
      <w:rPr>
        <w:b/>
        <w:i w:val="0"/>
        <w:sz w:val="22"/>
      </w:rPr>
    </w:pPr>
  </w:p>
  <w:p w14:paraId="4964FECF" w14:textId="77777777" w:rsidR="00FB32B9" w:rsidRDefault="00BC3186" w:rsidP="00FB32B9">
    <w:pPr>
      <w:pStyle w:val="Avsndare"/>
      <w:framePr w:w="0" w:hRule="auto" w:hSpace="0" w:wrap="auto" w:vAnchor="margin" w:hAnchor="text" w:xAlign="left" w:yAlign="inline"/>
      <w:rPr>
        <w:b/>
        <w:i w:val="0"/>
        <w:sz w:val="22"/>
      </w:rPr>
    </w:pPr>
    <w:r>
      <w:rPr>
        <w:b/>
        <w:i w:val="0"/>
        <w:sz w:val="22"/>
      </w:rPr>
      <w:t>Statsrådsberedningen</w:t>
    </w:r>
  </w:p>
  <w:p w14:paraId="4964FED0" w14:textId="77777777" w:rsidR="00FB32B9" w:rsidRDefault="007F2DE3" w:rsidP="00FB32B9">
    <w:pPr>
      <w:pStyle w:val="Avsndare"/>
      <w:framePr w:w="0" w:hRule="auto" w:hSpace="0" w:wrap="auto" w:vAnchor="margin" w:hAnchor="text" w:xAlign="left" w:yAlign="inline"/>
    </w:pPr>
  </w:p>
  <w:p w14:paraId="4964FED1" w14:textId="77777777" w:rsidR="00FB32B9" w:rsidRDefault="00BC3186" w:rsidP="00FB32B9">
    <w:pPr>
      <w:pStyle w:val="Avsndare"/>
      <w:framePr w:w="0" w:hRule="auto" w:hSpace="0" w:wrap="auto" w:vAnchor="margin" w:hAnchor="text" w:xAlign="left" w:yAlign="inline"/>
    </w:pPr>
    <w:r>
      <w:t>EU-kansliet</w:t>
    </w:r>
  </w:p>
  <w:p w14:paraId="4964FED2" w14:textId="77777777" w:rsidR="0012376B" w:rsidRDefault="007F2DE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79F8ADFE">
      <w:start w:val="1"/>
      <w:numFmt w:val="decimal"/>
      <w:pStyle w:val="Rubrik1"/>
      <w:lvlText w:val="%1."/>
      <w:lvlJc w:val="left"/>
      <w:pPr>
        <w:ind w:left="720" w:hanging="360"/>
      </w:pPr>
    </w:lvl>
    <w:lvl w:ilvl="1" w:tplc="98706E8A" w:tentative="1">
      <w:start w:val="1"/>
      <w:numFmt w:val="lowerLetter"/>
      <w:lvlText w:val="%2."/>
      <w:lvlJc w:val="left"/>
      <w:pPr>
        <w:ind w:left="1440" w:hanging="360"/>
      </w:pPr>
    </w:lvl>
    <w:lvl w:ilvl="2" w:tplc="FD8A3608" w:tentative="1">
      <w:start w:val="1"/>
      <w:numFmt w:val="lowerRoman"/>
      <w:lvlText w:val="%3."/>
      <w:lvlJc w:val="right"/>
      <w:pPr>
        <w:ind w:left="2160" w:hanging="180"/>
      </w:pPr>
    </w:lvl>
    <w:lvl w:ilvl="3" w:tplc="22707EC0" w:tentative="1">
      <w:start w:val="1"/>
      <w:numFmt w:val="decimal"/>
      <w:lvlText w:val="%4."/>
      <w:lvlJc w:val="left"/>
      <w:pPr>
        <w:ind w:left="2880" w:hanging="360"/>
      </w:pPr>
    </w:lvl>
    <w:lvl w:ilvl="4" w:tplc="24C2A1BE" w:tentative="1">
      <w:start w:val="1"/>
      <w:numFmt w:val="lowerLetter"/>
      <w:lvlText w:val="%5."/>
      <w:lvlJc w:val="left"/>
      <w:pPr>
        <w:ind w:left="3600" w:hanging="360"/>
      </w:pPr>
    </w:lvl>
    <w:lvl w:ilvl="5" w:tplc="88A824DE" w:tentative="1">
      <w:start w:val="1"/>
      <w:numFmt w:val="lowerRoman"/>
      <w:lvlText w:val="%6."/>
      <w:lvlJc w:val="right"/>
      <w:pPr>
        <w:ind w:left="4320" w:hanging="180"/>
      </w:pPr>
    </w:lvl>
    <w:lvl w:ilvl="6" w:tplc="D43A2FA8" w:tentative="1">
      <w:start w:val="1"/>
      <w:numFmt w:val="decimal"/>
      <w:lvlText w:val="%7."/>
      <w:lvlJc w:val="left"/>
      <w:pPr>
        <w:ind w:left="5040" w:hanging="360"/>
      </w:pPr>
    </w:lvl>
    <w:lvl w:ilvl="7" w:tplc="A002ED4E" w:tentative="1">
      <w:start w:val="1"/>
      <w:numFmt w:val="lowerLetter"/>
      <w:lvlText w:val="%8."/>
      <w:lvlJc w:val="left"/>
      <w:pPr>
        <w:ind w:left="5760" w:hanging="360"/>
      </w:pPr>
    </w:lvl>
    <w:lvl w:ilvl="8" w:tplc="54049A46" w:tentative="1">
      <w:start w:val="1"/>
      <w:numFmt w:val="lowerRoman"/>
      <w:lvlText w:val="%9."/>
      <w:lvlJc w:val="right"/>
      <w:pPr>
        <w:ind w:left="6480" w:hanging="180"/>
      </w:pPr>
    </w:lvl>
  </w:abstractNum>
  <w:abstractNum w:abstractNumId="1">
    <w:nsid w:val="73990993"/>
    <w:multiLevelType w:val="hybridMultilevel"/>
    <w:tmpl w:val="3BD822EE"/>
    <w:lvl w:ilvl="0" w:tplc="66E83F2A">
      <w:start w:val="1"/>
      <w:numFmt w:val="decimal"/>
      <w:lvlText w:val="%1."/>
      <w:lvlJc w:val="left"/>
      <w:pPr>
        <w:ind w:left="360" w:hanging="360"/>
      </w:pPr>
      <w:rPr>
        <w:b w:val="0"/>
      </w:rPr>
    </w:lvl>
    <w:lvl w:ilvl="1" w:tplc="A6047088" w:tentative="1">
      <w:start w:val="1"/>
      <w:numFmt w:val="lowerLetter"/>
      <w:lvlText w:val="%2."/>
      <w:lvlJc w:val="left"/>
      <w:pPr>
        <w:ind w:left="1080" w:hanging="360"/>
      </w:pPr>
    </w:lvl>
    <w:lvl w:ilvl="2" w:tplc="A5FC3C72" w:tentative="1">
      <w:start w:val="1"/>
      <w:numFmt w:val="lowerRoman"/>
      <w:lvlText w:val="%3."/>
      <w:lvlJc w:val="right"/>
      <w:pPr>
        <w:ind w:left="1800" w:hanging="180"/>
      </w:pPr>
    </w:lvl>
    <w:lvl w:ilvl="3" w:tplc="55C28314" w:tentative="1">
      <w:start w:val="1"/>
      <w:numFmt w:val="decimal"/>
      <w:lvlText w:val="%4."/>
      <w:lvlJc w:val="left"/>
      <w:pPr>
        <w:ind w:left="2520" w:hanging="360"/>
      </w:pPr>
    </w:lvl>
    <w:lvl w:ilvl="4" w:tplc="0D2CD5EA" w:tentative="1">
      <w:start w:val="1"/>
      <w:numFmt w:val="lowerLetter"/>
      <w:lvlText w:val="%5."/>
      <w:lvlJc w:val="left"/>
      <w:pPr>
        <w:ind w:left="3240" w:hanging="360"/>
      </w:pPr>
    </w:lvl>
    <w:lvl w:ilvl="5" w:tplc="2B2A6CD6" w:tentative="1">
      <w:start w:val="1"/>
      <w:numFmt w:val="lowerRoman"/>
      <w:lvlText w:val="%6."/>
      <w:lvlJc w:val="right"/>
      <w:pPr>
        <w:ind w:left="3960" w:hanging="180"/>
      </w:pPr>
    </w:lvl>
    <w:lvl w:ilvl="6" w:tplc="D60639DE" w:tentative="1">
      <w:start w:val="1"/>
      <w:numFmt w:val="decimal"/>
      <w:lvlText w:val="%7."/>
      <w:lvlJc w:val="left"/>
      <w:pPr>
        <w:ind w:left="4680" w:hanging="360"/>
      </w:pPr>
    </w:lvl>
    <w:lvl w:ilvl="7" w:tplc="5D3AFFC0" w:tentative="1">
      <w:start w:val="1"/>
      <w:numFmt w:val="lowerLetter"/>
      <w:lvlText w:val="%8."/>
      <w:lvlJc w:val="left"/>
      <w:pPr>
        <w:ind w:left="5400" w:hanging="360"/>
      </w:pPr>
    </w:lvl>
    <w:lvl w:ilvl="8" w:tplc="02E2F480" w:tentative="1">
      <w:start w:val="1"/>
      <w:numFmt w:val="lowerRoman"/>
      <w:lvlText w:val="%9."/>
      <w:lvlJc w:val="right"/>
      <w:pPr>
        <w:ind w:left="6120" w:hanging="180"/>
      </w:pPr>
    </w:lvl>
  </w:abstractNum>
  <w:abstractNum w:abstractNumId="2">
    <w:nsid w:val="73990994"/>
    <w:multiLevelType w:val="hybridMultilevel"/>
    <w:tmpl w:val="73990994"/>
    <w:lvl w:ilvl="0" w:tplc="19E01C02">
      <w:start w:val="1"/>
      <w:numFmt w:val="bullet"/>
      <w:lvlText w:val=""/>
      <w:lvlJc w:val="left"/>
      <w:pPr>
        <w:tabs>
          <w:tab w:val="num" w:pos="720"/>
        </w:tabs>
        <w:ind w:left="720" w:hanging="360"/>
      </w:pPr>
      <w:rPr>
        <w:rFonts w:ascii="Symbol" w:hAnsi="Symbol"/>
      </w:rPr>
    </w:lvl>
    <w:lvl w:ilvl="1" w:tplc="BD620120">
      <w:start w:val="1"/>
      <w:numFmt w:val="bullet"/>
      <w:lvlText w:val="o"/>
      <w:lvlJc w:val="left"/>
      <w:pPr>
        <w:tabs>
          <w:tab w:val="num" w:pos="1440"/>
        </w:tabs>
        <w:ind w:left="1440" w:hanging="360"/>
      </w:pPr>
      <w:rPr>
        <w:rFonts w:ascii="Courier New" w:hAnsi="Courier New"/>
      </w:rPr>
    </w:lvl>
    <w:lvl w:ilvl="2" w:tplc="690C83C4">
      <w:start w:val="1"/>
      <w:numFmt w:val="bullet"/>
      <w:lvlText w:val=""/>
      <w:lvlJc w:val="left"/>
      <w:pPr>
        <w:tabs>
          <w:tab w:val="num" w:pos="2160"/>
        </w:tabs>
        <w:ind w:left="2160" w:hanging="360"/>
      </w:pPr>
      <w:rPr>
        <w:rFonts w:ascii="Wingdings" w:hAnsi="Wingdings"/>
      </w:rPr>
    </w:lvl>
    <w:lvl w:ilvl="3" w:tplc="6F2A228A">
      <w:start w:val="1"/>
      <w:numFmt w:val="bullet"/>
      <w:lvlText w:val=""/>
      <w:lvlJc w:val="left"/>
      <w:pPr>
        <w:tabs>
          <w:tab w:val="num" w:pos="2880"/>
        </w:tabs>
        <w:ind w:left="2880" w:hanging="360"/>
      </w:pPr>
      <w:rPr>
        <w:rFonts w:ascii="Symbol" w:hAnsi="Symbol"/>
      </w:rPr>
    </w:lvl>
    <w:lvl w:ilvl="4" w:tplc="4F68C718">
      <w:start w:val="1"/>
      <w:numFmt w:val="bullet"/>
      <w:lvlText w:val="o"/>
      <w:lvlJc w:val="left"/>
      <w:pPr>
        <w:tabs>
          <w:tab w:val="num" w:pos="3600"/>
        </w:tabs>
        <w:ind w:left="3600" w:hanging="360"/>
      </w:pPr>
      <w:rPr>
        <w:rFonts w:ascii="Courier New" w:hAnsi="Courier New"/>
      </w:rPr>
    </w:lvl>
    <w:lvl w:ilvl="5" w:tplc="96885D0E">
      <w:start w:val="1"/>
      <w:numFmt w:val="bullet"/>
      <w:lvlText w:val=""/>
      <w:lvlJc w:val="left"/>
      <w:pPr>
        <w:tabs>
          <w:tab w:val="num" w:pos="4320"/>
        </w:tabs>
        <w:ind w:left="4320" w:hanging="360"/>
      </w:pPr>
      <w:rPr>
        <w:rFonts w:ascii="Wingdings" w:hAnsi="Wingdings"/>
      </w:rPr>
    </w:lvl>
    <w:lvl w:ilvl="6" w:tplc="69E4EE3C">
      <w:start w:val="1"/>
      <w:numFmt w:val="bullet"/>
      <w:lvlText w:val=""/>
      <w:lvlJc w:val="left"/>
      <w:pPr>
        <w:tabs>
          <w:tab w:val="num" w:pos="5040"/>
        </w:tabs>
        <w:ind w:left="5040" w:hanging="360"/>
      </w:pPr>
      <w:rPr>
        <w:rFonts w:ascii="Symbol" w:hAnsi="Symbol"/>
      </w:rPr>
    </w:lvl>
    <w:lvl w:ilvl="7" w:tplc="2AF69E0A">
      <w:start w:val="1"/>
      <w:numFmt w:val="bullet"/>
      <w:lvlText w:val="o"/>
      <w:lvlJc w:val="left"/>
      <w:pPr>
        <w:tabs>
          <w:tab w:val="num" w:pos="5760"/>
        </w:tabs>
        <w:ind w:left="5760" w:hanging="360"/>
      </w:pPr>
      <w:rPr>
        <w:rFonts w:ascii="Courier New" w:hAnsi="Courier New"/>
      </w:rPr>
    </w:lvl>
    <w:lvl w:ilvl="8" w:tplc="74EE3182">
      <w:start w:val="1"/>
      <w:numFmt w:val="bullet"/>
      <w:lvlText w:val=""/>
      <w:lvlJc w:val="left"/>
      <w:pPr>
        <w:tabs>
          <w:tab w:val="num" w:pos="6480"/>
        </w:tabs>
        <w:ind w:left="6480" w:hanging="360"/>
      </w:pPr>
      <w:rPr>
        <w:rFonts w:ascii="Wingdings" w:hAnsi="Wingdings"/>
      </w:rPr>
    </w:lvl>
  </w:abstractNum>
  <w:abstractNum w:abstractNumId="3">
    <w:nsid w:val="7E555432"/>
    <w:multiLevelType w:val="hybridMultilevel"/>
    <w:tmpl w:val="F636025C"/>
    <w:lvl w:ilvl="0" w:tplc="CBD42ED4">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63"/>
    <w:rsid w:val="00083010"/>
    <w:rsid w:val="000F39BF"/>
    <w:rsid w:val="00380663"/>
    <w:rsid w:val="00646FD6"/>
    <w:rsid w:val="007F2DE3"/>
    <w:rsid w:val="008A547E"/>
    <w:rsid w:val="009E1AD5"/>
    <w:rsid w:val="00A1747D"/>
    <w:rsid w:val="00BC31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0830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083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JE6N4JFJXNNF-9-66799</_dlc_DocId>
    <_dlc_DocIdUrl xmlns="8b66ae41-1ec6-402e-b662-35d1932ca064">
      <Url>http://rkdhs-sb/enhet/EUKansli/_layouts/DocIdRedir.aspx?ID=JE6N4JFJXNNF-9-66799</Url>
      <Description>JE6N4JFJXNNF-9-66799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18B7-AC3F-4B53-81E4-B07E83BE4F66}"/>
</file>

<file path=customXml/itemProps2.xml><?xml version="1.0" encoding="utf-8"?>
<ds:datastoreItem xmlns:ds="http://schemas.openxmlformats.org/officeDocument/2006/customXml" ds:itemID="{00FE7B21-C5EE-4E27-ABC5-15FA79442EB7}"/>
</file>

<file path=customXml/itemProps3.xml><?xml version="1.0" encoding="utf-8"?>
<ds:datastoreItem xmlns:ds="http://schemas.openxmlformats.org/officeDocument/2006/customXml" ds:itemID="{05EE7039-BC4F-474A-B48E-8A22FA60C54C}"/>
</file>

<file path=customXml/itemProps4.xml><?xml version="1.0" encoding="utf-8"?>
<ds:datastoreItem xmlns:ds="http://schemas.openxmlformats.org/officeDocument/2006/customXml" ds:itemID="{035A6B69-6262-4976-A513-F9418BE452E2}"/>
</file>

<file path=customXml/itemProps5.xml><?xml version="1.0" encoding="utf-8"?>
<ds:datastoreItem xmlns:ds="http://schemas.openxmlformats.org/officeDocument/2006/customXml" ds:itemID="{A9332F17-8E3F-48AD-AF90-07AFB9A19BE6}"/>
</file>

<file path=customXml/itemProps6.xml><?xml version="1.0" encoding="utf-8"?>
<ds:datastoreItem xmlns:ds="http://schemas.openxmlformats.org/officeDocument/2006/customXml" ds:itemID="{CB38B767-229E-430D-921A-DFAD3F255A65}"/>
</file>

<file path=customXml/itemProps7.xml><?xml version="1.0" encoding="utf-8"?>
<ds:datastoreItem xmlns:ds="http://schemas.openxmlformats.org/officeDocument/2006/customXml" ds:itemID="{4F17605F-A1F3-476A-B636-6BEC2C248600}"/>
</file>

<file path=docProps/app.xml><?xml version="1.0" encoding="utf-8"?>
<Properties xmlns="http://schemas.openxmlformats.org/officeDocument/2006/extended-properties" xmlns:vt="http://schemas.openxmlformats.org/officeDocument/2006/docPropsVTypes">
  <Template>Normal</Template>
  <TotalTime>0</TotalTime>
  <Pages>11</Pages>
  <Words>3949</Words>
  <Characters>20933</Characters>
  <Application>Microsoft Office Word</Application>
  <DocSecurity>0</DocSecurity>
  <Lines>174</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2015-03-04T09:18:00Z</dcterms:created>
  <dcterms:modified xsi:type="dcterms:W3CDTF">2015-03-04T09:18:00Z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04610d5a-1a62-4009-87bf-a0f0293515e4</vt:lpwstr>
  </property>
</Properties>
</file>