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DE23A2" w:rsidRPr="00AC05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23A2" w:rsidRPr="00AC0585" w:rsidRDefault="00DE23A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DE23A2" w:rsidRPr="00AC0585" w:rsidRDefault="00DE23A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DE23A2" w:rsidRPr="00AC058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DE23A2" w:rsidRPr="00AC0585" w:rsidRDefault="00DE23A2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AC0585">
              <w:rPr>
                <w:rFonts w:ascii="TradeGothic" w:hAnsi="TradeGothic"/>
                <w:b/>
                <w:sz w:val="22"/>
              </w:rPr>
              <w:t>PM Till riksdagen</w:t>
            </w:r>
            <w:r w:rsidRPr="00AC0585">
              <w:rPr>
                <w:color w:val="000000"/>
              </w:rPr>
              <w:t xml:space="preserve">                 </w:t>
            </w:r>
            <w:r w:rsidR="00DA4F9A" w:rsidRPr="00AC0585">
              <w:rPr>
                <w:rFonts w:ascii="TradeGothic" w:hAnsi="TradeGothic"/>
                <w:bCs/>
                <w:sz w:val="22"/>
              </w:rPr>
              <w:t xml:space="preserve"> </w:t>
            </w:r>
          </w:p>
        </w:tc>
      </w:tr>
      <w:tr w:rsidR="00DE23A2" w:rsidRPr="00AC0585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DE23A2" w:rsidRPr="00AC0585" w:rsidRDefault="00DE23A2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DE23A2" w:rsidRPr="00AC0585" w:rsidRDefault="00DE23A2">
            <w:pPr>
              <w:framePr w:w="4400" w:h="1644" w:wrap="notBeside" w:vAnchor="page" w:hAnchor="page" w:x="6573" w:y="721"/>
            </w:pPr>
          </w:p>
        </w:tc>
      </w:tr>
      <w:tr w:rsidR="00DE23A2" w:rsidRPr="00AC05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23A2" w:rsidRPr="00AC0585" w:rsidRDefault="00765B0D">
            <w:pPr>
              <w:framePr w:w="4400" w:h="1644" w:wrap="notBeside" w:vAnchor="page" w:hAnchor="page" w:x="6573" w:y="721"/>
            </w:pPr>
            <w:r w:rsidRPr="00AC0585">
              <w:t>20</w:t>
            </w:r>
            <w:r w:rsidR="00F629A3" w:rsidRPr="00AC0585">
              <w:t>10</w:t>
            </w:r>
            <w:r w:rsidRPr="00AC0585">
              <w:t>-0</w:t>
            </w:r>
            <w:r w:rsidR="003C5FBC" w:rsidRPr="00AC0585">
              <w:t>2-0</w:t>
            </w:r>
            <w:r w:rsidR="00A35BA8" w:rsidRPr="00AC0585">
              <w:t>4</w:t>
            </w:r>
          </w:p>
        </w:tc>
        <w:tc>
          <w:tcPr>
            <w:tcW w:w="2347" w:type="dxa"/>
            <w:gridSpan w:val="2"/>
          </w:tcPr>
          <w:p w:rsidR="00DE23A2" w:rsidRPr="00AC0585" w:rsidRDefault="00DE23A2">
            <w:pPr>
              <w:framePr w:w="4400" w:h="1644" w:wrap="notBeside" w:vAnchor="page" w:hAnchor="page" w:x="6573" w:y="721"/>
            </w:pPr>
          </w:p>
        </w:tc>
      </w:tr>
      <w:tr w:rsidR="00DE23A2" w:rsidRPr="00AC0585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DE23A2" w:rsidRPr="00AC0585" w:rsidRDefault="00DE23A2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DE23A2" w:rsidRPr="00AC0585" w:rsidRDefault="00DE23A2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DE23A2" w:rsidRPr="00AC058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AC0585" w:rsidRDefault="00DE23A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AC0585">
              <w:rPr>
                <w:b/>
                <w:i w:val="0"/>
                <w:sz w:val="22"/>
              </w:rPr>
              <w:t>Finansdepartementet</w:t>
            </w:r>
          </w:p>
        </w:tc>
      </w:tr>
      <w:tr w:rsidR="00DE23A2" w:rsidRPr="00AC058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AC0585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3A2" w:rsidRPr="00AC058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AC0585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AC0585">
              <w:rPr>
                <w:bCs/>
                <w:iCs/>
              </w:rPr>
              <w:t>Budgetavdelningen</w:t>
            </w:r>
          </w:p>
        </w:tc>
      </w:tr>
      <w:tr w:rsidR="00DE23A2" w:rsidRPr="00AC058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AC0585" w:rsidRDefault="00F629A3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AC0585">
              <w:rPr>
                <w:bCs/>
                <w:iCs/>
              </w:rPr>
              <w:t>Martin Stjernström</w:t>
            </w:r>
          </w:p>
          <w:p w:rsidR="00DE23A2" w:rsidRPr="00AC0585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AC0585">
              <w:rPr>
                <w:bCs/>
                <w:iCs/>
              </w:rPr>
              <w:t xml:space="preserve">08-405 </w:t>
            </w:r>
            <w:r w:rsidR="00F629A3" w:rsidRPr="00AC0585">
              <w:rPr>
                <w:bCs/>
                <w:iCs/>
              </w:rPr>
              <w:t>28 57</w:t>
            </w:r>
          </w:p>
          <w:p w:rsidR="00F629A3" w:rsidRPr="00AC0585" w:rsidRDefault="00F629A3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AC0585">
              <w:rPr>
                <w:bCs/>
                <w:iCs/>
              </w:rPr>
              <w:t>Carl Asplund</w:t>
            </w:r>
          </w:p>
          <w:p w:rsidR="00F629A3" w:rsidRPr="00AC0585" w:rsidRDefault="00F629A3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AC0585">
              <w:rPr>
                <w:bCs/>
                <w:iCs/>
              </w:rPr>
              <w:t>08 – 405 35 63</w:t>
            </w:r>
          </w:p>
        </w:tc>
      </w:tr>
      <w:tr w:rsidR="00DE23A2" w:rsidRPr="00AC058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AC0585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3A2" w:rsidRPr="00AC058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AC0585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3A2" w:rsidRPr="00AC058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AC0585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3A2" w:rsidRPr="00AC058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AC0585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DE23A2" w:rsidRPr="00AC0585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DE23A2" w:rsidRPr="00AC0585" w:rsidRDefault="00DE23A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DE23A2" w:rsidRPr="00AC0585" w:rsidRDefault="00DE23A2">
      <w:pPr>
        <w:framePr w:w="4400" w:h="2523" w:wrap="notBeside" w:vAnchor="page" w:hAnchor="page" w:x="6453" w:y="2445"/>
        <w:ind w:left="142"/>
        <w:rPr>
          <w:b/>
        </w:rPr>
      </w:pPr>
      <w:r w:rsidRPr="00AC0585">
        <w:rPr>
          <w:b/>
        </w:rPr>
        <w:t>EU-nämnden</w:t>
      </w:r>
    </w:p>
    <w:p w:rsidR="00DE23A2" w:rsidRPr="00AC0585" w:rsidRDefault="00DE23A2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AC0585">
        <w:t>Ansvarsfrihetsprövningen avseende bu</w:t>
      </w:r>
      <w:r w:rsidR="00F629A3" w:rsidRPr="00AC0585">
        <w:t>dgetens genomföra</w:t>
      </w:r>
      <w:r w:rsidR="00F629A3" w:rsidRPr="00AC0585">
        <w:t>n</w:t>
      </w:r>
      <w:r w:rsidR="00F629A3" w:rsidRPr="00AC0585">
        <w:t>de för 2008</w:t>
      </w:r>
      <w:r w:rsidRPr="00AC0585">
        <w:t xml:space="preserve"> </w:t>
      </w:r>
    </w:p>
    <w:p w:rsidR="00DE23A2" w:rsidRPr="00AC0585" w:rsidRDefault="00DE23A2">
      <w:pPr>
        <w:pStyle w:val="RKrubrik"/>
      </w:pPr>
      <w:r w:rsidRPr="00AC0585">
        <w:t>Dokumentbeteckning</w:t>
      </w:r>
    </w:p>
    <w:p w:rsidR="00DE23A2" w:rsidRPr="00AC0585" w:rsidRDefault="00DE23A2">
      <w:pPr>
        <w:pStyle w:val="RKnormal"/>
      </w:pPr>
    </w:p>
    <w:p w:rsidR="00DE23A2" w:rsidRPr="00AC0585" w:rsidRDefault="00DE23A2">
      <w:pPr>
        <w:pStyle w:val="RKrubrik"/>
      </w:pPr>
      <w:r w:rsidRPr="00AC0585">
        <w:t>Sammanfattning</w:t>
      </w:r>
    </w:p>
    <w:p w:rsidR="00F629A3" w:rsidRPr="00AC0585" w:rsidRDefault="00F629A3" w:rsidP="00F629A3">
      <w:pPr>
        <w:pStyle w:val="RKnormal"/>
        <w:rPr>
          <w:bCs/>
        </w:rPr>
      </w:pPr>
      <w:r w:rsidRPr="00AC0585">
        <w:t xml:space="preserve">Revisionsrätten presenterade sin årsrapport för budgetåret 2008 den 10 november </w:t>
      </w:r>
      <w:r w:rsidR="00BA1EF5" w:rsidRPr="00AC0585">
        <w:t xml:space="preserve">2009. Rådet </w:t>
      </w:r>
      <w:r w:rsidRPr="00AC0585">
        <w:t xml:space="preserve">har under januari 2010 behandlat rapporten. </w:t>
      </w:r>
      <w:r w:rsidR="00BA1EF5" w:rsidRPr="00AC0585">
        <w:t>B</w:t>
      </w:r>
      <w:r w:rsidR="00BA1EF5" w:rsidRPr="00AC0585">
        <w:t>e</w:t>
      </w:r>
      <w:r w:rsidR="00BA1EF5" w:rsidRPr="00AC0585">
        <w:t xml:space="preserve">handlingen har ägt rum i Rådets budgetkommitté (BK). </w:t>
      </w:r>
      <w:r w:rsidRPr="00AC0585">
        <w:t>Arbetet har r</w:t>
      </w:r>
      <w:r w:rsidRPr="00AC0585">
        <w:t>e</w:t>
      </w:r>
      <w:r w:rsidRPr="00AC0585">
        <w:t xml:space="preserve">sulterat i ett antal slutsatser </w:t>
      </w:r>
      <w:r w:rsidRPr="00AC0585">
        <w:rPr>
          <w:bCs/>
        </w:rPr>
        <w:t>över vilka åtgärder som rådet anser bör vidtas med anledning av rättens iakttagelser samt en rekommend</w:t>
      </w:r>
      <w:r w:rsidRPr="00AC0585">
        <w:rPr>
          <w:bCs/>
        </w:rPr>
        <w:t>a</w:t>
      </w:r>
      <w:r w:rsidRPr="00AC0585">
        <w:rPr>
          <w:bCs/>
        </w:rPr>
        <w:t>tion om ansvarsfrihet för kommissionen. Förslaget till Ekofin-rådet är att rekommendera Europaparlamentet (EP) att bevilja kommissionen a</w:t>
      </w:r>
      <w:r w:rsidRPr="00AC0585">
        <w:rPr>
          <w:bCs/>
        </w:rPr>
        <w:t>n</w:t>
      </w:r>
      <w:r w:rsidRPr="00AC0585">
        <w:rPr>
          <w:bCs/>
        </w:rPr>
        <w:t>svarsfrihet för budge</w:t>
      </w:r>
      <w:r w:rsidRPr="00AC0585">
        <w:rPr>
          <w:bCs/>
        </w:rPr>
        <w:t>t</w:t>
      </w:r>
      <w:r w:rsidRPr="00AC0585">
        <w:rPr>
          <w:bCs/>
        </w:rPr>
        <w:t>året 2008.</w:t>
      </w:r>
    </w:p>
    <w:p w:rsidR="00DE23A2" w:rsidRPr="00AC0585" w:rsidRDefault="00DE23A2">
      <w:pPr>
        <w:pStyle w:val="RKnormal"/>
        <w:rPr>
          <w:b/>
          <w:bCs/>
        </w:rPr>
      </w:pPr>
      <w:r w:rsidRPr="00AC0585">
        <w:t xml:space="preserve"> </w:t>
      </w:r>
    </w:p>
    <w:p w:rsidR="00DE23A2" w:rsidRPr="00AC0585" w:rsidRDefault="00DE23A2" w:rsidP="00F35971">
      <w:pPr>
        <w:pStyle w:val="RKrubrik"/>
      </w:pPr>
      <w:r w:rsidRPr="00AC0585">
        <w:t>Bakgrund</w:t>
      </w:r>
    </w:p>
    <w:p w:rsidR="00DE23A2" w:rsidRPr="00AC0585" w:rsidRDefault="00DE23A2">
      <w:pPr>
        <w:pStyle w:val="RKnormal"/>
      </w:pPr>
    </w:p>
    <w:p w:rsidR="00DE23A2" w:rsidRPr="00AC0585" w:rsidRDefault="00DE23A2">
      <w:pPr>
        <w:pStyle w:val="RKnormal"/>
        <w:spacing w:after="100" w:afterAutospacing="1"/>
        <w:rPr>
          <w:b/>
          <w:bCs/>
        </w:rPr>
      </w:pPr>
      <w:r w:rsidRPr="00AC0585">
        <w:rPr>
          <w:b/>
          <w:bCs/>
          <w:i/>
          <w:iCs/>
        </w:rPr>
        <w:softHyphen/>
      </w:r>
      <w:r w:rsidRPr="00AC0585">
        <w:rPr>
          <w:b/>
          <w:bCs/>
          <w:i/>
          <w:iCs/>
        </w:rPr>
        <w:softHyphen/>
        <w:t xml:space="preserve">Revisionsrättens väsentligaste </w:t>
      </w:r>
      <w:r w:rsidR="008D4B74" w:rsidRPr="00AC0585">
        <w:rPr>
          <w:b/>
          <w:bCs/>
          <w:i/>
          <w:iCs/>
        </w:rPr>
        <w:t>iakttagelser för budgetåret 200</w:t>
      </w:r>
      <w:r w:rsidR="00F629A3" w:rsidRPr="00AC0585">
        <w:rPr>
          <w:b/>
          <w:bCs/>
          <w:i/>
          <w:iCs/>
        </w:rPr>
        <w:t>8</w:t>
      </w:r>
      <w:r w:rsidRPr="00AC0585">
        <w:rPr>
          <w:b/>
          <w:bCs/>
          <w:i/>
          <w:iCs/>
        </w:rPr>
        <w:t xml:space="preserve">   </w:t>
      </w:r>
    </w:p>
    <w:p w:rsidR="009F02FC" w:rsidRPr="00AC0585" w:rsidRDefault="009F02FC" w:rsidP="00F35971">
      <w:pPr>
        <w:pStyle w:val="RKnormal"/>
      </w:pPr>
    </w:p>
    <w:p w:rsidR="00B8683F" w:rsidRPr="00AC0585" w:rsidRDefault="00B8683F" w:rsidP="00B8683F">
      <w:pPr>
        <w:pStyle w:val="RKnormal"/>
        <w:ind w:right="-142"/>
      </w:pPr>
      <w:r w:rsidRPr="00AC0585">
        <w:t>Revisionsförklaringen består som tidigare av uttalanden om dels tillfö</w:t>
      </w:r>
      <w:r w:rsidRPr="00AC0585">
        <w:t>r</w:t>
      </w:r>
      <w:r w:rsidRPr="00AC0585">
        <w:t>litligheten i EU-räkenskaperna för 2008, dels lagligheten och korrekth</w:t>
      </w:r>
      <w:r w:rsidRPr="00AC0585">
        <w:t>e</w:t>
      </w:r>
      <w:r w:rsidRPr="00AC0585">
        <w:t>ten i de transaktioner som ligger till grund för räkenskaperna.</w:t>
      </w:r>
    </w:p>
    <w:p w:rsidR="00B8683F" w:rsidRPr="00AC0585" w:rsidRDefault="00B8683F" w:rsidP="00B8683F">
      <w:pPr>
        <w:pStyle w:val="RKnormal"/>
        <w:ind w:right="-142"/>
      </w:pPr>
    </w:p>
    <w:p w:rsidR="00211375" w:rsidRPr="00AC0585" w:rsidRDefault="00B8683F" w:rsidP="00211375">
      <w:pPr>
        <w:pStyle w:val="RKnormal"/>
        <w:ind w:right="-142"/>
      </w:pPr>
      <w:r w:rsidRPr="00AC0585">
        <w:t>För andra året i rad ges ett uttalande utan reservation för räkenskape</w:t>
      </w:r>
      <w:r w:rsidRPr="00AC0585">
        <w:t>r</w:t>
      </w:r>
      <w:r w:rsidRPr="00AC0585">
        <w:t>na.</w:t>
      </w:r>
      <w:r w:rsidR="00846E32" w:rsidRPr="00AC0585">
        <w:t xml:space="preserve"> När det gäller transaktionernas laglighet och korrekthet återspeglar de samlade resultaten för 2008 de senaste årens förbättringar av budge</w:t>
      </w:r>
      <w:r w:rsidR="00846E32" w:rsidRPr="00AC0585">
        <w:t>t</w:t>
      </w:r>
      <w:r w:rsidR="00846E32" w:rsidRPr="00AC0585">
        <w:t>förvaltningen.</w:t>
      </w:r>
      <w:r w:rsidR="000C4252" w:rsidRPr="00AC0585">
        <w:t xml:space="preserve"> Revisionsrätten konstaterar också att betydande </w:t>
      </w:r>
      <w:r w:rsidR="00BA1EF5" w:rsidRPr="00AC0585">
        <w:t>förbät</w:t>
      </w:r>
      <w:r w:rsidR="00BA1EF5" w:rsidRPr="00AC0585">
        <w:t>t</w:t>
      </w:r>
      <w:r w:rsidR="00BA1EF5" w:rsidRPr="00AC0585">
        <w:t>ring</w:t>
      </w:r>
      <w:r w:rsidR="00DD4108" w:rsidRPr="00AC0585">
        <w:t xml:space="preserve">ar </w:t>
      </w:r>
      <w:r w:rsidR="000C4252" w:rsidRPr="00AC0585">
        <w:t>har skett över tiden.</w:t>
      </w:r>
    </w:p>
    <w:p w:rsidR="00846E32" w:rsidRPr="00AC0585" w:rsidRDefault="00846E32" w:rsidP="00211375">
      <w:pPr>
        <w:pStyle w:val="RKnormal"/>
        <w:ind w:right="-142"/>
      </w:pPr>
    </w:p>
    <w:p w:rsidR="00211375" w:rsidRPr="00AC0585" w:rsidRDefault="00211375" w:rsidP="00211375">
      <w:pPr>
        <w:pStyle w:val="RKnormal"/>
        <w:ind w:right="-142"/>
      </w:pPr>
      <w:r w:rsidRPr="00AC0585">
        <w:lastRenderedPageBreak/>
        <w:t xml:space="preserve">Enligt revisionsrätten är förbättringen </w:t>
      </w:r>
      <w:r w:rsidR="00F21538" w:rsidRPr="00AC0585">
        <w:t xml:space="preserve">under 2008 </w:t>
      </w:r>
      <w:r w:rsidRPr="00AC0585">
        <w:t>främst en följd av bättre resultat på det största verksamhetsområdet Jordbruk och natu</w:t>
      </w:r>
      <w:r w:rsidRPr="00AC0585">
        <w:t>r</w:t>
      </w:r>
      <w:r w:rsidRPr="00AC0585">
        <w:t>resurser. Där lämnar Revisionsrätten för första gången inte ett ”uttala</w:t>
      </w:r>
      <w:r w:rsidRPr="00AC0585">
        <w:t>n</w:t>
      </w:r>
      <w:r w:rsidRPr="00AC0585">
        <w:t>de med avvikande m</w:t>
      </w:r>
      <w:r w:rsidRPr="00AC0585">
        <w:t>e</w:t>
      </w:r>
      <w:r w:rsidRPr="00AC0585">
        <w:t>ning”, utan ett ”uttalande med reservation“. (Från ”rött” till ”gult” med revisionsrä</w:t>
      </w:r>
      <w:r w:rsidRPr="00AC0585">
        <w:t>t</w:t>
      </w:r>
      <w:r w:rsidRPr="00AC0585">
        <w:t>tens trafikljusmodell.) Samtidigt finns fortsatta problem inom bl.a. verksamhetsområdet Sammanhållning - det område där flest fel förekommer. Inom det området uppskattar rev</w:t>
      </w:r>
      <w:r w:rsidRPr="00AC0585">
        <w:t>i</w:t>
      </w:r>
      <w:r w:rsidRPr="00AC0585">
        <w:t xml:space="preserve">sionsrätten att minst 11 % </w:t>
      </w:r>
      <w:r w:rsidR="00BA1EF5" w:rsidRPr="00AC0585">
        <w:t xml:space="preserve">av medlen </w:t>
      </w:r>
      <w:r w:rsidRPr="00AC0585">
        <w:t>inte borde ha betalats ut.</w:t>
      </w:r>
    </w:p>
    <w:p w:rsidR="00211375" w:rsidRPr="00AC0585" w:rsidRDefault="00211375" w:rsidP="00211375">
      <w:pPr>
        <w:pStyle w:val="RKnormal"/>
        <w:ind w:right="-142"/>
      </w:pPr>
    </w:p>
    <w:p w:rsidR="00211375" w:rsidRPr="00AC0585" w:rsidRDefault="00211375" w:rsidP="00211375">
      <w:pPr>
        <w:pStyle w:val="RKnormal"/>
        <w:ind w:right="-142"/>
      </w:pPr>
      <w:r w:rsidRPr="00AC0585">
        <w:t xml:space="preserve">Revisionsrätten konstaterar att systemen för övervakning och kontroll behöver förbättras </w:t>
      </w:r>
      <w:r w:rsidR="000D030A" w:rsidRPr="00AC0585">
        <w:t xml:space="preserve">ytterligare </w:t>
      </w:r>
      <w:r w:rsidRPr="00AC0585">
        <w:t>och påpekar att ett fortsatt arbete med förenklade b</w:t>
      </w:r>
      <w:r w:rsidRPr="00AC0585">
        <w:t>e</w:t>
      </w:r>
      <w:r w:rsidRPr="00AC0585">
        <w:t>stämmelser måste vara en prioriterad fråga.</w:t>
      </w:r>
      <w:r w:rsidR="00846E32" w:rsidRPr="00AC0585">
        <w:t xml:space="preserve"> </w:t>
      </w:r>
    </w:p>
    <w:p w:rsidR="001026D4" w:rsidRPr="00AC0585" w:rsidRDefault="001026D4" w:rsidP="001026D4">
      <w:pPr>
        <w:pStyle w:val="RKnormal"/>
        <w:spacing w:line="240" w:lineRule="auto"/>
      </w:pPr>
    </w:p>
    <w:p w:rsidR="0026402A" w:rsidRPr="00AC0585" w:rsidRDefault="001026D4" w:rsidP="001026D4">
      <w:pPr>
        <w:pStyle w:val="RKnormal"/>
        <w:rPr>
          <w:color w:val="000000"/>
          <w:szCs w:val="22"/>
        </w:rPr>
      </w:pPr>
      <w:r w:rsidRPr="00AC0585">
        <w:rPr>
          <w:color w:val="000000"/>
          <w:szCs w:val="22"/>
        </w:rPr>
        <w:t>Sverige kommenteras i mycket begränsad omfattning i årsrapporten</w:t>
      </w:r>
      <w:r w:rsidRPr="00AC0585">
        <w:t xml:space="preserve">. I </w:t>
      </w:r>
      <w:r w:rsidR="0026402A" w:rsidRPr="00AC0585">
        <w:t>det fall Sverige nämns hänvisas till uppföljning av tidigare års iaktt</w:t>
      </w:r>
      <w:r w:rsidR="0026402A" w:rsidRPr="00AC0585">
        <w:t>a</w:t>
      </w:r>
      <w:r w:rsidR="0026402A" w:rsidRPr="00AC0585">
        <w:t xml:space="preserve">gelser i revisionsförklaringen. </w:t>
      </w:r>
      <w:r w:rsidR="0026402A" w:rsidRPr="00AC0585">
        <w:rPr>
          <w:color w:val="000000"/>
          <w:szCs w:val="22"/>
        </w:rPr>
        <w:t xml:space="preserve">Revisionsrätten hävdar </w:t>
      </w:r>
      <w:r w:rsidR="00846E32" w:rsidRPr="00AC0585">
        <w:rPr>
          <w:color w:val="000000"/>
          <w:szCs w:val="22"/>
        </w:rPr>
        <w:t xml:space="preserve">där </w:t>
      </w:r>
      <w:r w:rsidR="0026402A" w:rsidRPr="00AC0585">
        <w:rPr>
          <w:color w:val="000000"/>
          <w:szCs w:val="22"/>
        </w:rPr>
        <w:t>felaktigt, för Sveriges vidkommande, att det ge</w:t>
      </w:r>
      <w:r w:rsidR="0026402A" w:rsidRPr="00AC0585">
        <w:rPr>
          <w:color w:val="000000"/>
          <w:szCs w:val="22"/>
        </w:rPr>
        <w:t>o</w:t>
      </w:r>
      <w:r w:rsidR="0026402A" w:rsidRPr="00AC0585">
        <w:rPr>
          <w:color w:val="000000"/>
          <w:szCs w:val="22"/>
        </w:rPr>
        <w:t>grafiska lagret inom systemet för identifiering av jordbruksskiften (GIS) i några länder endast inn</w:t>
      </w:r>
      <w:r w:rsidR="0026402A" w:rsidRPr="00AC0585">
        <w:rPr>
          <w:color w:val="000000"/>
          <w:szCs w:val="22"/>
        </w:rPr>
        <w:t>e</w:t>
      </w:r>
      <w:r w:rsidR="0026402A" w:rsidRPr="00AC0585">
        <w:rPr>
          <w:color w:val="000000"/>
          <w:szCs w:val="22"/>
        </w:rPr>
        <w:t>håller flygfoton som är mer än fem år gamla (Frankrike och Sverige). Fr.o.m. 2007 är flygf</w:t>
      </w:r>
      <w:r w:rsidR="0026402A" w:rsidRPr="00AC0585">
        <w:rPr>
          <w:color w:val="000000"/>
          <w:szCs w:val="22"/>
        </w:rPr>
        <w:t>o</w:t>
      </w:r>
      <w:r w:rsidR="0026402A" w:rsidRPr="00AC0585">
        <w:rPr>
          <w:color w:val="000000"/>
          <w:szCs w:val="22"/>
        </w:rPr>
        <w:t>tografierna maximalt tre år. Tidigare var dessa maximalt fem år. Detta innebär att det geografiska lagret innehöll/innehåller en bet</w:t>
      </w:r>
      <w:r w:rsidR="0026402A" w:rsidRPr="00AC0585">
        <w:rPr>
          <w:color w:val="000000"/>
          <w:szCs w:val="22"/>
        </w:rPr>
        <w:t>y</w:t>
      </w:r>
      <w:r w:rsidR="0026402A" w:rsidRPr="00AC0585">
        <w:rPr>
          <w:color w:val="000000"/>
          <w:szCs w:val="22"/>
        </w:rPr>
        <w:t>dande andel fotografier som är yngre än fem år.</w:t>
      </w:r>
    </w:p>
    <w:p w:rsidR="00C50480" w:rsidRPr="00AC0585" w:rsidRDefault="00C50480" w:rsidP="00C50480">
      <w:pPr>
        <w:pStyle w:val="RKrubrik"/>
        <w:rPr>
          <w:rFonts w:ascii="OrigGarmnd BT" w:hAnsi="OrigGarmnd BT"/>
          <w:i/>
          <w:sz w:val="24"/>
          <w:szCs w:val="24"/>
        </w:rPr>
      </w:pPr>
      <w:r w:rsidRPr="00AC0585">
        <w:rPr>
          <w:rFonts w:ascii="OrigGarmnd BT" w:hAnsi="OrigGarmnd BT"/>
          <w:i/>
          <w:sz w:val="24"/>
          <w:szCs w:val="24"/>
        </w:rPr>
        <w:t>Sveriges bedömning av revi</w:t>
      </w:r>
      <w:r w:rsidR="005C1952" w:rsidRPr="00AC0585">
        <w:rPr>
          <w:rFonts w:ascii="OrigGarmnd BT" w:hAnsi="OrigGarmnd BT"/>
          <w:i/>
          <w:sz w:val="24"/>
          <w:szCs w:val="24"/>
        </w:rPr>
        <w:t>sionsrättens årsrapport för 2</w:t>
      </w:r>
      <w:r w:rsidR="00211375" w:rsidRPr="00AC0585">
        <w:rPr>
          <w:rFonts w:ascii="OrigGarmnd BT" w:hAnsi="OrigGarmnd BT"/>
          <w:i/>
          <w:sz w:val="24"/>
          <w:szCs w:val="24"/>
        </w:rPr>
        <w:t>008</w:t>
      </w:r>
      <w:r w:rsidRPr="00AC0585">
        <w:rPr>
          <w:rFonts w:ascii="OrigGarmnd BT" w:hAnsi="OrigGarmnd BT"/>
          <w:i/>
          <w:sz w:val="24"/>
          <w:szCs w:val="24"/>
        </w:rPr>
        <w:t xml:space="preserve"> samt ansvar</w:t>
      </w:r>
      <w:r w:rsidRPr="00AC0585">
        <w:rPr>
          <w:rFonts w:ascii="OrigGarmnd BT" w:hAnsi="OrigGarmnd BT"/>
          <w:i/>
          <w:sz w:val="24"/>
          <w:szCs w:val="24"/>
        </w:rPr>
        <w:t>s</w:t>
      </w:r>
      <w:r w:rsidRPr="00AC0585">
        <w:rPr>
          <w:rFonts w:ascii="OrigGarmnd BT" w:hAnsi="OrigGarmnd BT"/>
          <w:i/>
          <w:sz w:val="24"/>
          <w:szCs w:val="24"/>
        </w:rPr>
        <w:t>frihe</w:t>
      </w:r>
      <w:r w:rsidR="00B11825" w:rsidRPr="00AC0585">
        <w:rPr>
          <w:rFonts w:ascii="OrigGarmnd BT" w:hAnsi="OrigGarmnd BT"/>
          <w:i/>
          <w:sz w:val="24"/>
          <w:szCs w:val="24"/>
        </w:rPr>
        <w:t>t</w:t>
      </w:r>
      <w:r w:rsidRPr="00AC0585">
        <w:rPr>
          <w:rFonts w:ascii="OrigGarmnd BT" w:hAnsi="OrigGarmnd BT"/>
          <w:i/>
          <w:sz w:val="24"/>
          <w:szCs w:val="24"/>
        </w:rPr>
        <w:t xml:space="preserve"> för kommissionen</w:t>
      </w:r>
      <w:r w:rsidR="003F39FE" w:rsidRPr="00AC0585">
        <w:rPr>
          <w:rFonts w:ascii="OrigGarmnd BT" w:hAnsi="OrigGarmnd BT"/>
          <w:i/>
          <w:sz w:val="24"/>
          <w:szCs w:val="24"/>
        </w:rPr>
        <w:t xml:space="preserve"> - omständighet</w:t>
      </w:r>
      <w:r w:rsidR="004E05D8" w:rsidRPr="00AC0585">
        <w:rPr>
          <w:rFonts w:ascii="OrigGarmnd BT" w:hAnsi="OrigGarmnd BT"/>
          <w:i/>
          <w:sz w:val="24"/>
          <w:szCs w:val="24"/>
        </w:rPr>
        <w:t>er</w:t>
      </w:r>
      <w:r w:rsidR="00B11825" w:rsidRPr="00AC0585">
        <w:rPr>
          <w:rFonts w:ascii="OrigGarmnd BT" w:hAnsi="OrigGarmnd BT"/>
          <w:i/>
          <w:sz w:val="24"/>
          <w:szCs w:val="24"/>
        </w:rPr>
        <w:t xml:space="preserve"> som beaktats</w:t>
      </w:r>
    </w:p>
    <w:p w:rsidR="001D7305" w:rsidRPr="00AC0585" w:rsidRDefault="001D7305" w:rsidP="00F307F0">
      <w:pPr>
        <w:pStyle w:val="RKnormal"/>
      </w:pPr>
    </w:p>
    <w:p w:rsidR="003E432A" w:rsidRPr="00AC0585" w:rsidRDefault="003E432A" w:rsidP="003E432A">
      <w:pPr>
        <w:pStyle w:val="RKnormal"/>
        <w:rPr>
          <w:b/>
          <w:i/>
        </w:rPr>
      </w:pPr>
      <w:r w:rsidRPr="00AC0585">
        <w:rPr>
          <w:b/>
          <w:i/>
        </w:rPr>
        <w:t>Bakgrund</w:t>
      </w:r>
    </w:p>
    <w:p w:rsidR="003E432A" w:rsidRPr="00AC0585" w:rsidRDefault="003E432A" w:rsidP="003E432A">
      <w:pPr>
        <w:pStyle w:val="RKnormal"/>
      </w:pPr>
      <w:r w:rsidRPr="00AC0585">
        <w:t>Europeiska unionen är en unik organisation genom sitt politiska och</w:t>
      </w:r>
    </w:p>
    <w:p w:rsidR="003E432A" w:rsidRPr="00AC0585" w:rsidRDefault="003E432A" w:rsidP="003E432A">
      <w:pPr>
        <w:pStyle w:val="RKnormal"/>
        <w:rPr>
          <w:rFonts w:ascii="ArialMT" w:hAnsi="ArialMT"/>
        </w:rPr>
      </w:pPr>
      <w:r w:rsidRPr="00AC0585">
        <w:t>rättsliga sammanhang, sin storlek och sin komplexitet. Både de eur</w:t>
      </w:r>
      <w:r w:rsidRPr="00AC0585">
        <w:t>o</w:t>
      </w:r>
      <w:r w:rsidRPr="00AC0585">
        <w:t>peiska institutionerna och medlemsstaterna deltar i förvaltningen av budgeten. Budgeten kompliceras av det stora antalet och de variera</w:t>
      </w:r>
      <w:r w:rsidRPr="00AC0585">
        <w:t>n</w:t>
      </w:r>
      <w:r w:rsidRPr="00AC0585">
        <w:t xml:space="preserve">de typerna av stödformer, </w:t>
      </w:r>
      <w:r w:rsidR="00BA1EF5" w:rsidRPr="00AC0585">
        <w:t xml:space="preserve">det mycket stora antalet </w:t>
      </w:r>
      <w:r w:rsidRPr="00AC0585">
        <w:t>stödmottagar</w:t>
      </w:r>
      <w:r w:rsidR="00BA1EF5" w:rsidRPr="00AC0585">
        <w:t>e</w:t>
      </w:r>
      <w:r w:rsidRPr="00AC0585">
        <w:t xml:space="preserve"> och deltaga</w:t>
      </w:r>
      <w:r w:rsidRPr="00AC0585">
        <w:t>n</w:t>
      </w:r>
      <w:r w:rsidRPr="00AC0585">
        <w:t xml:space="preserve">det </w:t>
      </w:r>
      <w:r w:rsidR="00BA1EF5" w:rsidRPr="00AC0585">
        <w:t xml:space="preserve">i genomförandet </w:t>
      </w:r>
      <w:r w:rsidRPr="00AC0585">
        <w:t>av många olika organisatoriska enheter i medlemsstaterna som ofta företräder olika förvaltningskult</w:t>
      </w:r>
      <w:r w:rsidRPr="00AC0585">
        <w:t>u</w:t>
      </w:r>
      <w:r w:rsidRPr="00AC0585">
        <w:t>rer.</w:t>
      </w:r>
      <w:r w:rsidRPr="00AC0585">
        <w:rPr>
          <w:rFonts w:ascii="ArialMT" w:hAnsi="ArialMT"/>
        </w:rPr>
        <w:t xml:space="preserve"> </w:t>
      </w:r>
    </w:p>
    <w:p w:rsidR="003E432A" w:rsidRPr="00AC0585" w:rsidRDefault="003E432A" w:rsidP="003E432A">
      <w:pPr>
        <w:pStyle w:val="RKnormal"/>
        <w:rPr>
          <w:rFonts w:ascii="ArialMT" w:hAnsi="ArialMT"/>
        </w:rPr>
      </w:pPr>
    </w:p>
    <w:p w:rsidR="003E432A" w:rsidRPr="00AC0585" w:rsidRDefault="003E432A" w:rsidP="003E432A">
      <w:pPr>
        <w:pStyle w:val="RKnormal"/>
      </w:pPr>
      <w:r w:rsidRPr="00AC0585">
        <w:t>Kommissionen är enligt fördraget ytterst ansvarig för budgetens g</w:t>
      </w:r>
      <w:r w:rsidRPr="00AC0585">
        <w:t>e</w:t>
      </w:r>
      <w:r w:rsidRPr="00AC0585">
        <w:t>nomförande gentemot rådet och EP. Medlemsstaterna har dock ett a</w:t>
      </w:r>
      <w:r w:rsidRPr="00AC0585">
        <w:t>n</w:t>
      </w:r>
      <w:r w:rsidRPr="00AC0585">
        <w:t>svar inför kommissionen och ska samarbeta med kommissionen i g</w:t>
      </w:r>
      <w:r w:rsidRPr="00AC0585">
        <w:t>e</w:t>
      </w:r>
      <w:r w:rsidRPr="00AC0585">
        <w:t>nomförandet av budgeten</w:t>
      </w:r>
      <w:r w:rsidRPr="00AC0585">
        <w:rPr>
          <w:b/>
          <w:bCs/>
          <w:szCs w:val="16"/>
        </w:rPr>
        <w:t xml:space="preserve"> </w:t>
      </w:r>
      <w:r w:rsidRPr="00AC0585">
        <w:t>och för att upprätta och vidmakthålla effe</w:t>
      </w:r>
      <w:r w:rsidRPr="00AC0585">
        <w:t>k</w:t>
      </w:r>
      <w:r w:rsidRPr="00AC0585">
        <w:t>tiva ko</w:t>
      </w:r>
      <w:r w:rsidRPr="00AC0585">
        <w:t>n</w:t>
      </w:r>
      <w:r w:rsidRPr="00AC0585">
        <w:t>trollsystem som säkerställer en sund ekonomisk förvaltning i medlem</w:t>
      </w:r>
      <w:r w:rsidRPr="00AC0585">
        <w:t>s</w:t>
      </w:r>
      <w:r w:rsidRPr="00AC0585">
        <w:t>staten. Ansvarsfrihetsprövningen bör även ses mot bakgrund av rådande ansvarsförhållanden mellan kommissionen och medlem</w:t>
      </w:r>
      <w:r w:rsidRPr="00AC0585">
        <w:t>s</w:t>
      </w:r>
      <w:r w:rsidRPr="00AC0585">
        <w:t>staterna och att majoriteten, ca 80 %, av budgeten förvaltas i s.k. par</w:t>
      </w:r>
      <w:r w:rsidRPr="00AC0585">
        <w:t>t</w:t>
      </w:r>
      <w:r w:rsidRPr="00AC0585">
        <w:t>nerskap och hant</w:t>
      </w:r>
      <w:r w:rsidRPr="00AC0585">
        <w:t>e</w:t>
      </w:r>
      <w:r w:rsidRPr="00AC0585">
        <w:t xml:space="preserve">ras av medlemsstaterna. </w:t>
      </w:r>
    </w:p>
    <w:p w:rsidR="003E432A" w:rsidRPr="00AC0585" w:rsidRDefault="003E432A" w:rsidP="003E432A">
      <w:pPr>
        <w:pStyle w:val="RKnormal"/>
      </w:pPr>
    </w:p>
    <w:p w:rsidR="003E432A" w:rsidRPr="00AC0585" w:rsidRDefault="003E432A" w:rsidP="003E432A">
      <w:pPr>
        <w:pStyle w:val="RKnormal"/>
        <w:rPr>
          <w:b/>
        </w:rPr>
      </w:pPr>
      <w:r w:rsidRPr="00AC0585">
        <w:t>Vidare gäller det att bedöma hur väl kommissionen tagit till sig rev</w:t>
      </w:r>
      <w:r w:rsidRPr="00AC0585">
        <w:t>i</w:t>
      </w:r>
      <w:r w:rsidRPr="00AC0585">
        <w:t>sionsrättens kritik samt effekterna av de åtgärder som kommissi</w:t>
      </w:r>
      <w:r w:rsidRPr="00AC0585">
        <w:t>o</w:t>
      </w:r>
      <w:r w:rsidRPr="00AC0585">
        <w:t>nen vidtagit för att avhjälpa de brister som rätten identifierat inom de olika sektorerna. Rådet och EP måste i ansvarsfrihetsprövningen även b</w:t>
      </w:r>
      <w:r w:rsidRPr="00AC0585">
        <w:t>e</w:t>
      </w:r>
      <w:r w:rsidRPr="00AC0585">
        <w:t>döma det rimliga i att ställa kommissionen till ansvar för de olika fel och brister som rä</w:t>
      </w:r>
      <w:r w:rsidRPr="00AC0585">
        <w:t>t</w:t>
      </w:r>
      <w:r w:rsidRPr="00AC0585">
        <w:t>ten identifierat.</w:t>
      </w:r>
    </w:p>
    <w:p w:rsidR="003E432A" w:rsidRPr="00AC0585" w:rsidRDefault="003E432A" w:rsidP="00F307F0">
      <w:pPr>
        <w:pStyle w:val="RKnormal"/>
      </w:pPr>
    </w:p>
    <w:p w:rsidR="003E432A" w:rsidRPr="00AC0585" w:rsidRDefault="003E432A" w:rsidP="003E432A">
      <w:pPr>
        <w:pStyle w:val="RKnormal"/>
        <w:rPr>
          <w:b/>
          <w:i/>
        </w:rPr>
      </w:pPr>
      <w:r w:rsidRPr="00AC0585">
        <w:rPr>
          <w:b/>
          <w:i/>
        </w:rPr>
        <w:t>Bedömning</w:t>
      </w:r>
    </w:p>
    <w:p w:rsidR="001026D4" w:rsidRPr="00AC0585" w:rsidRDefault="00BA7393" w:rsidP="00B8683F">
      <w:pPr>
        <w:pStyle w:val="RKnormal"/>
        <w:ind w:right="-142"/>
        <w:rPr>
          <w:rFonts w:ascii="ArialMT" w:hAnsi="ArialMT"/>
        </w:rPr>
      </w:pPr>
      <w:r w:rsidRPr="00AC0585">
        <w:t>För femtonde året i rad har revisionsrätten lämnat en negativ revision</w:t>
      </w:r>
      <w:r w:rsidRPr="00AC0585">
        <w:t>s</w:t>
      </w:r>
      <w:r w:rsidRPr="00AC0585">
        <w:t xml:space="preserve">förklaring vad gäller genomförandet av EU:s budget. </w:t>
      </w:r>
      <w:r w:rsidR="00B8683F" w:rsidRPr="00AC0585">
        <w:rPr>
          <w:rFonts w:cs="OrigGarmnd BT"/>
          <w:color w:val="000000"/>
          <w:lang w:eastAsia="sv-SE"/>
        </w:rPr>
        <w:t xml:space="preserve">SE ser fortsatt </w:t>
      </w:r>
      <w:r w:rsidR="00F21538" w:rsidRPr="00AC0585">
        <w:rPr>
          <w:rFonts w:cs="OrigGarmnd BT"/>
          <w:color w:val="000000"/>
          <w:lang w:eastAsia="sv-SE"/>
        </w:rPr>
        <w:t xml:space="preserve">mycket </w:t>
      </w:r>
      <w:r w:rsidR="00B8683F" w:rsidRPr="00AC0585">
        <w:rPr>
          <w:rFonts w:cs="OrigGarmnd BT"/>
          <w:color w:val="000000"/>
          <w:lang w:eastAsia="sv-SE"/>
        </w:rPr>
        <w:t>allvarligt på situationen att kommissionen inte kan erhålla en pos</w:t>
      </w:r>
      <w:r w:rsidR="00B8683F" w:rsidRPr="00AC0585">
        <w:rPr>
          <w:rFonts w:cs="OrigGarmnd BT"/>
          <w:color w:val="000000"/>
          <w:lang w:eastAsia="sv-SE"/>
        </w:rPr>
        <w:t>i</w:t>
      </w:r>
      <w:r w:rsidR="00B8683F" w:rsidRPr="00AC0585">
        <w:rPr>
          <w:rFonts w:cs="OrigGarmnd BT"/>
          <w:color w:val="000000"/>
          <w:lang w:eastAsia="sv-SE"/>
        </w:rPr>
        <w:t xml:space="preserve">tiv revisionsförklaring för alla delar av budgeten. Samtidigt noterar SE </w:t>
      </w:r>
      <w:r w:rsidRPr="00AC0585">
        <w:t xml:space="preserve">att revisionsrätten </w:t>
      </w:r>
      <w:r w:rsidR="00B8683F" w:rsidRPr="00AC0585">
        <w:t xml:space="preserve">konstaterar </w:t>
      </w:r>
      <w:r w:rsidRPr="00AC0585">
        <w:t>förbättringar jämfört med före</w:t>
      </w:r>
      <w:r w:rsidR="00B8683F" w:rsidRPr="00AC0585">
        <w:t>gående år, framför allt på grund av bättre resultat på det största verksamhet</w:t>
      </w:r>
      <w:r w:rsidR="00B8683F" w:rsidRPr="00AC0585">
        <w:t>s</w:t>
      </w:r>
      <w:r w:rsidR="00B8683F" w:rsidRPr="00AC0585">
        <w:t>området - Jordbruk och natu</w:t>
      </w:r>
      <w:r w:rsidR="00B8683F" w:rsidRPr="00AC0585">
        <w:t>r</w:t>
      </w:r>
      <w:r w:rsidR="00B8683F" w:rsidRPr="00AC0585">
        <w:t>resurser.</w:t>
      </w:r>
    </w:p>
    <w:p w:rsidR="00B8683F" w:rsidRPr="00AC0585" w:rsidRDefault="00B8683F" w:rsidP="001026D4">
      <w:pPr>
        <w:pStyle w:val="RKnormal"/>
        <w:rPr>
          <w:rFonts w:ascii="ArialMT" w:hAnsi="ArialMT"/>
        </w:rPr>
      </w:pPr>
    </w:p>
    <w:p w:rsidR="00B8683F" w:rsidRPr="00AC0585" w:rsidRDefault="00B8683F" w:rsidP="00B8683F">
      <w:pPr>
        <w:pStyle w:val="RKnormal"/>
        <w:rPr>
          <w:lang w:eastAsia="sv-SE"/>
        </w:rPr>
      </w:pPr>
      <w:r w:rsidRPr="00AC0585">
        <w:rPr>
          <w:lang w:eastAsia="sv-SE"/>
        </w:rPr>
        <w:t xml:space="preserve">Förklaringen till </w:t>
      </w:r>
      <w:r w:rsidR="00F21538" w:rsidRPr="00AC0585">
        <w:rPr>
          <w:lang w:eastAsia="sv-SE"/>
        </w:rPr>
        <w:t xml:space="preserve">beskrivna </w:t>
      </w:r>
      <w:r w:rsidRPr="00AC0585">
        <w:rPr>
          <w:lang w:eastAsia="sv-SE"/>
        </w:rPr>
        <w:t>problemen anges vara allt för komplexa r</w:t>
      </w:r>
      <w:r w:rsidRPr="00AC0585">
        <w:rPr>
          <w:lang w:eastAsia="sv-SE"/>
        </w:rPr>
        <w:t>e</w:t>
      </w:r>
      <w:r w:rsidRPr="00AC0585">
        <w:rPr>
          <w:lang w:eastAsia="sv-SE"/>
        </w:rPr>
        <w:t>gelverk samt brister i övervaknings- och kontrollsystemen i kommi</w:t>
      </w:r>
      <w:r w:rsidRPr="00AC0585">
        <w:rPr>
          <w:lang w:eastAsia="sv-SE"/>
        </w:rPr>
        <w:t>s</w:t>
      </w:r>
      <w:r w:rsidRPr="00AC0585">
        <w:rPr>
          <w:lang w:eastAsia="sv-SE"/>
        </w:rPr>
        <w:t xml:space="preserve">sionen men framför allt i medlemsstaterna. Det är </w:t>
      </w:r>
      <w:r w:rsidR="000D030A" w:rsidRPr="00AC0585">
        <w:rPr>
          <w:lang w:eastAsia="sv-SE"/>
        </w:rPr>
        <w:t xml:space="preserve">därför </w:t>
      </w:r>
      <w:r w:rsidRPr="00AC0585">
        <w:rPr>
          <w:lang w:eastAsia="sv-SE"/>
        </w:rPr>
        <w:t xml:space="preserve">angeläget att kommissionen </w:t>
      </w:r>
      <w:r w:rsidR="000D030A" w:rsidRPr="00AC0585">
        <w:rPr>
          <w:lang w:eastAsia="sv-SE"/>
        </w:rPr>
        <w:t xml:space="preserve">å sin sida </w:t>
      </w:r>
      <w:r w:rsidRPr="00AC0585">
        <w:rPr>
          <w:lang w:eastAsia="sv-SE"/>
        </w:rPr>
        <w:t>identifierar vad som ytterligare behöver g</w:t>
      </w:r>
      <w:r w:rsidRPr="00AC0585">
        <w:rPr>
          <w:lang w:eastAsia="sv-SE"/>
        </w:rPr>
        <w:t>ö</w:t>
      </w:r>
      <w:r w:rsidRPr="00AC0585">
        <w:rPr>
          <w:lang w:eastAsia="sv-SE"/>
        </w:rPr>
        <w:t xml:space="preserve">ras och vidtar alla nödvändiga åtgärder för att undanröja de orsaker som lett fram till rättens bedömning. SE </w:t>
      </w:r>
      <w:r w:rsidR="00F0251E" w:rsidRPr="00AC0585">
        <w:rPr>
          <w:lang w:eastAsia="sv-SE"/>
        </w:rPr>
        <w:t xml:space="preserve">uppmanar </w:t>
      </w:r>
      <w:r w:rsidRPr="00AC0585">
        <w:rPr>
          <w:lang w:eastAsia="sv-SE"/>
        </w:rPr>
        <w:t xml:space="preserve">därför kommissionen, såsom ytterst ansvarig för budgeten, </w:t>
      </w:r>
      <w:r w:rsidR="00F0251E" w:rsidRPr="00AC0585">
        <w:rPr>
          <w:lang w:eastAsia="sv-SE"/>
        </w:rPr>
        <w:t xml:space="preserve">att </w:t>
      </w:r>
      <w:r w:rsidRPr="00AC0585">
        <w:rPr>
          <w:lang w:eastAsia="sv-SE"/>
        </w:rPr>
        <w:t>fortsatt vidta kraftfulla åtgä</w:t>
      </w:r>
      <w:r w:rsidRPr="00AC0585">
        <w:rPr>
          <w:lang w:eastAsia="sv-SE"/>
        </w:rPr>
        <w:t>r</w:t>
      </w:r>
      <w:r w:rsidRPr="00AC0585">
        <w:rPr>
          <w:lang w:eastAsia="sv-SE"/>
        </w:rPr>
        <w:t>der</w:t>
      </w:r>
      <w:r w:rsidR="00BA1EF5" w:rsidRPr="00AC0585">
        <w:rPr>
          <w:lang w:eastAsia="sv-SE"/>
        </w:rPr>
        <w:t xml:space="preserve"> för att förbättra genomförandet</w:t>
      </w:r>
      <w:r w:rsidRPr="00AC0585">
        <w:rPr>
          <w:lang w:eastAsia="sv-SE"/>
        </w:rPr>
        <w:t xml:space="preserve">. </w:t>
      </w:r>
      <w:r w:rsidR="000D030A" w:rsidRPr="00AC0585">
        <w:rPr>
          <w:lang w:eastAsia="sv-SE"/>
        </w:rPr>
        <w:t>Mot bakgrund av r</w:t>
      </w:r>
      <w:r w:rsidR="000D030A" w:rsidRPr="00AC0585">
        <w:rPr>
          <w:lang w:eastAsia="sv-SE"/>
        </w:rPr>
        <w:t>e</w:t>
      </w:r>
      <w:r w:rsidR="000D030A" w:rsidRPr="00AC0585">
        <w:rPr>
          <w:lang w:eastAsia="sv-SE"/>
        </w:rPr>
        <w:t>visionsrättens kritik måste ä</w:t>
      </w:r>
      <w:r w:rsidRPr="00AC0585">
        <w:rPr>
          <w:lang w:eastAsia="sv-SE"/>
        </w:rPr>
        <w:t xml:space="preserve">ven medlemsstaterna vidta </w:t>
      </w:r>
      <w:r w:rsidR="000D030A" w:rsidRPr="00AC0585">
        <w:rPr>
          <w:lang w:eastAsia="sv-SE"/>
        </w:rPr>
        <w:t xml:space="preserve">ytterligare </w:t>
      </w:r>
      <w:r w:rsidRPr="00AC0585">
        <w:rPr>
          <w:lang w:eastAsia="sv-SE"/>
        </w:rPr>
        <w:t>åtgärder som stä</w:t>
      </w:r>
      <w:r w:rsidRPr="00AC0585">
        <w:rPr>
          <w:lang w:eastAsia="sv-SE"/>
        </w:rPr>
        <w:t>r</w:t>
      </w:r>
      <w:r w:rsidRPr="00AC0585">
        <w:rPr>
          <w:lang w:eastAsia="sv-SE"/>
        </w:rPr>
        <w:t>ker förvaltningen och kontrollen av EU-medlen nationellt.</w:t>
      </w:r>
      <w:r w:rsidR="000D030A" w:rsidRPr="00AC0585">
        <w:rPr>
          <w:lang w:eastAsia="sv-SE"/>
        </w:rPr>
        <w:t xml:space="preserve"> SE fortsä</w:t>
      </w:r>
      <w:r w:rsidR="000D030A" w:rsidRPr="00AC0585">
        <w:rPr>
          <w:lang w:eastAsia="sv-SE"/>
        </w:rPr>
        <w:t>t</w:t>
      </w:r>
      <w:r w:rsidR="000D030A" w:rsidRPr="00AC0585">
        <w:rPr>
          <w:lang w:eastAsia="sv-SE"/>
        </w:rPr>
        <w:t xml:space="preserve">ter </w:t>
      </w:r>
      <w:r w:rsidR="00846E32" w:rsidRPr="00AC0585">
        <w:rPr>
          <w:lang w:eastAsia="sv-SE"/>
        </w:rPr>
        <w:t xml:space="preserve">för sin del </w:t>
      </w:r>
      <w:r w:rsidR="000D030A" w:rsidRPr="00AC0585">
        <w:rPr>
          <w:lang w:eastAsia="sv-SE"/>
        </w:rPr>
        <w:t>a</w:t>
      </w:r>
      <w:r w:rsidR="000D030A" w:rsidRPr="00AC0585">
        <w:rPr>
          <w:lang w:eastAsia="sv-SE"/>
        </w:rPr>
        <w:t>r</w:t>
      </w:r>
      <w:r w:rsidR="000D030A" w:rsidRPr="00AC0585">
        <w:rPr>
          <w:lang w:eastAsia="sv-SE"/>
        </w:rPr>
        <w:t>betet med det nationella intygandet för att på så sätt bidra till att räke</w:t>
      </w:r>
      <w:r w:rsidR="000D030A" w:rsidRPr="00AC0585">
        <w:rPr>
          <w:lang w:eastAsia="sv-SE"/>
        </w:rPr>
        <w:t>n</w:t>
      </w:r>
      <w:r w:rsidR="000D030A" w:rsidRPr="00AC0585">
        <w:rPr>
          <w:lang w:eastAsia="sv-SE"/>
        </w:rPr>
        <w:t>skaperna i allt väsentligt är rättvisande samt intyga att det finns ett ra</w:t>
      </w:r>
      <w:r w:rsidR="000D030A" w:rsidRPr="00AC0585">
        <w:rPr>
          <w:lang w:eastAsia="sv-SE"/>
        </w:rPr>
        <w:t>m</w:t>
      </w:r>
      <w:r w:rsidR="000D030A" w:rsidRPr="00AC0585">
        <w:rPr>
          <w:lang w:eastAsia="sv-SE"/>
        </w:rPr>
        <w:t>verk för staten som syftar till att säkerställa en betryggande intern styrning och ko</w:t>
      </w:r>
      <w:r w:rsidR="000D030A" w:rsidRPr="00AC0585">
        <w:rPr>
          <w:lang w:eastAsia="sv-SE"/>
        </w:rPr>
        <w:t>n</w:t>
      </w:r>
      <w:r w:rsidR="000D030A" w:rsidRPr="00AC0585">
        <w:rPr>
          <w:lang w:eastAsia="sv-SE"/>
        </w:rPr>
        <w:t xml:space="preserve">troll av EU-medlen i SE. </w:t>
      </w:r>
    </w:p>
    <w:p w:rsidR="00B8683F" w:rsidRPr="00AC0585" w:rsidRDefault="00B8683F" w:rsidP="001026D4">
      <w:pPr>
        <w:pStyle w:val="RKnormal"/>
        <w:rPr>
          <w:rFonts w:ascii="ArialMT" w:hAnsi="ArialMT"/>
        </w:rPr>
      </w:pPr>
    </w:p>
    <w:p w:rsidR="00BD21A0" w:rsidRPr="00AC0585" w:rsidRDefault="003E432A" w:rsidP="0076186B">
      <w:pPr>
        <w:pStyle w:val="RKnormal"/>
        <w:ind w:right="-142"/>
      </w:pPr>
      <w:r w:rsidRPr="00AC0585">
        <w:t>SE, tillsammans med UK, NL och DK, har varit de medlemsst</w:t>
      </w:r>
      <w:r w:rsidRPr="00AC0585">
        <w:t>a</w:t>
      </w:r>
      <w:r w:rsidRPr="00AC0585">
        <w:t>ter som hårdast drivit behovet av fortsatta åtgärder för att på sikt uppnå en ren r</w:t>
      </w:r>
      <w:r w:rsidRPr="00AC0585">
        <w:t>e</w:t>
      </w:r>
      <w:r w:rsidRPr="00AC0585">
        <w:t>visionsberättelse. Detta ses som en nödvändig åtgärd för att på sikt uppnå en positiv revisionsförklaring. De väsentligaste frågor som dr</w:t>
      </w:r>
      <w:r w:rsidRPr="00AC0585">
        <w:t>i</w:t>
      </w:r>
      <w:r w:rsidRPr="00AC0585">
        <w:t xml:space="preserve">vits kan sammanfattas enligt följande:  </w:t>
      </w:r>
    </w:p>
    <w:p w:rsidR="003E432A" w:rsidRPr="00AC0585" w:rsidRDefault="003E432A" w:rsidP="00BD21A0">
      <w:pPr>
        <w:pStyle w:val="RKnormal"/>
        <w:numPr>
          <w:ilvl w:val="0"/>
          <w:numId w:val="20"/>
        </w:numPr>
        <w:ind w:right="-142"/>
      </w:pPr>
      <w:r w:rsidRPr="00AC0585">
        <w:t>behov av förenklingar i regelverk och i system för att minska a</w:t>
      </w:r>
      <w:r w:rsidRPr="00AC0585">
        <w:t>n</w:t>
      </w:r>
      <w:r w:rsidRPr="00AC0585">
        <w:t>talet fel</w:t>
      </w:r>
    </w:p>
    <w:p w:rsidR="003E432A" w:rsidRPr="00AC0585" w:rsidRDefault="003E432A" w:rsidP="00BD21A0">
      <w:pPr>
        <w:pStyle w:val="RKnormal"/>
        <w:numPr>
          <w:ilvl w:val="0"/>
          <w:numId w:val="20"/>
        </w:numPr>
        <w:ind w:right="-142"/>
      </w:pPr>
      <w:r w:rsidRPr="00AC0585">
        <w:t>tydlighet i medlemsstaternas ansvar och accountability i förhå</w:t>
      </w:r>
      <w:r w:rsidRPr="00AC0585">
        <w:t>l</w:t>
      </w:r>
      <w:r w:rsidRPr="00AC0585">
        <w:t>lande till kommissi</w:t>
      </w:r>
      <w:r w:rsidRPr="00AC0585">
        <w:t>o</w:t>
      </w:r>
      <w:r w:rsidRPr="00AC0585">
        <w:t>nen</w:t>
      </w:r>
    </w:p>
    <w:p w:rsidR="003E432A" w:rsidRPr="00AC0585" w:rsidRDefault="003E432A" w:rsidP="00BD21A0">
      <w:pPr>
        <w:pStyle w:val="RKnormal"/>
        <w:numPr>
          <w:ilvl w:val="0"/>
          <w:numId w:val="20"/>
        </w:numPr>
        <w:ind w:right="-142"/>
      </w:pPr>
      <w:r w:rsidRPr="00AC0585">
        <w:t>beslut om vad som är att anse som en accepterad riskn</w:t>
      </w:r>
      <w:r w:rsidRPr="00AC0585">
        <w:t>i</w:t>
      </w:r>
      <w:r w:rsidRPr="00AC0585">
        <w:t>vå/riska</w:t>
      </w:r>
      <w:r w:rsidR="00BD21A0" w:rsidRPr="00AC0585">
        <w:t>ptit i kommissionens verksamhet</w:t>
      </w:r>
    </w:p>
    <w:p w:rsidR="003E432A" w:rsidRPr="00AC0585" w:rsidRDefault="003E432A" w:rsidP="00BD21A0">
      <w:pPr>
        <w:pStyle w:val="RKnormal"/>
        <w:numPr>
          <w:ilvl w:val="0"/>
          <w:numId w:val="20"/>
        </w:numPr>
        <w:ind w:right="-142"/>
      </w:pPr>
      <w:r w:rsidRPr="00AC0585">
        <w:t>effektiva kontrollsystem utifrån gemensamma principer och sta</w:t>
      </w:r>
      <w:r w:rsidRPr="00AC0585">
        <w:t>n</w:t>
      </w:r>
      <w:r w:rsidRPr="00AC0585">
        <w:t>dards</w:t>
      </w:r>
    </w:p>
    <w:p w:rsidR="003E432A" w:rsidRPr="00AC0585" w:rsidRDefault="00B04368" w:rsidP="0076186B">
      <w:pPr>
        <w:pStyle w:val="RKnormal"/>
        <w:ind w:right="-142"/>
      </w:pPr>
      <w:r w:rsidRPr="00AC0585">
        <w:t>SE har i allt väsentligt fått genomslag för dessa åsikter i rådsslutsatserna.</w:t>
      </w:r>
    </w:p>
    <w:p w:rsidR="00B04368" w:rsidRPr="00AC0585" w:rsidRDefault="00B04368" w:rsidP="0076186B">
      <w:pPr>
        <w:pStyle w:val="RKnormal"/>
        <w:ind w:right="-142"/>
      </w:pPr>
    </w:p>
    <w:p w:rsidR="003E432A" w:rsidRPr="00AC0585" w:rsidRDefault="00F0251E" w:rsidP="001026D4">
      <w:pPr>
        <w:pStyle w:val="RKnormal"/>
        <w:rPr>
          <w:rFonts w:ascii="ArialMT" w:hAnsi="ArialMT"/>
        </w:rPr>
      </w:pPr>
      <w:r w:rsidRPr="00AC0585">
        <w:t>SE anser att kommissionen inte kan lastas för felaktigheter på me</w:t>
      </w:r>
      <w:r w:rsidRPr="00AC0585">
        <w:t>d</w:t>
      </w:r>
      <w:r w:rsidRPr="00AC0585">
        <w:t>lemsstatsn</w:t>
      </w:r>
      <w:r w:rsidRPr="00AC0585">
        <w:t>i</w:t>
      </w:r>
      <w:r w:rsidRPr="00AC0585">
        <w:t>vå på ett sätt som aktualiserar att ansvarsfrihet inte skulle kunna lämnas till kommi</w:t>
      </w:r>
      <w:r w:rsidRPr="00AC0585">
        <w:t>s</w:t>
      </w:r>
      <w:r w:rsidRPr="00AC0585">
        <w:t>sionen.</w:t>
      </w:r>
    </w:p>
    <w:p w:rsidR="003E432A" w:rsidRPr="00AC0585" w:rsidRDefault="003E432A" w:rsidP="001026D4">
      <w:pPr>
        <w:pStyle w:val="RKnormal"/>
        <w:rPr>
          <w:rFonts w:ascii="ArialMT" w:hAnsi="ArialMT"/>
          <w:color w:val="FF0000"/>
        </w:rPr>
      </w:pPr>
    </w:p>
    <w:p w:rsidR="003E432A" w:rsidRPr="00AC0585" w:rsidRDefault="003E432A" w:rsidP="001026D4">
      <w:pPr>
        <w:pStyle w:val="RKnormal"/>
        <w:rPr>
          <w:rFonts w:ascii="ArialMT" w:hAnsi="ArialMT"/>
        </w:rPr>
      </w:pPr>
    </w:p>
    <w:p w:rsidR="00DE23A2" w:rsidRPr="00AC0585" w:rsidRDefault="00DE23A2">
      <w:pPr>
        <w:pStyle w:val="RKrubrik"/>
      </w:pPr>
      <w:r w:rsidRPr="00AC0585">
        <w:t>I Förslaget</w:t>
      </w:r>
    </w:p>
    <w:p w:rsidR="00DE23A2" w:rsidRPr="00AC0585" w:rsidRDefault="00DE23A2">
      <w:pPr>
        <w:pStyle w:val="RKrubrik"/>
      </w:pPr>
      <w:r w:rsidRPr="00AC0585">
        <w:t>1. Innehåll</w:t>
      </w:r>
    </w:p>
    <w:p w:rsidR="00DE23A2" w:rsidRPr="00AC0585" w:rsidRDefault="00897552">
      <w:pPr>
        <w:pStyle w:val="RKnormal"/>
        <w:rPr>
          <w:bCs/>
        </w:rPr>
      </w:pPr>
      <w:r w:rsidRPr="00AC0585">
        <w:rPr>
          <w:bCs/>
        </w:rPr>
        <w:t>Ekofinrådet ska</w:t>
      </w:r>
      <w:r w:rsidR="00DE23A2" w:rsidRPr="00AC0585">
        <w:rPr>
          <w:bCs/>
        </w:rPr>
        <w:t xml:space="preserve"> ta ställning till rådets rekommendation till E</w:t>
      </w:r>
      <w:r w:rsidR="00D20046" w:rsidRPr="00AC0585">
        <w:rPr>
          <w:bCs/>
        </w:rPr>
        <w:t>P</w:t>
      </w:r>
      <w:r w:rsidR="00DE23A2" w:rsidRPr="00AC0585">
        <w:rPr>
          <w:bCs/>
        </w:rPr>
        <w:t xml:space="preserve"> om h</w:t>
      </w:r>
      <w:r w:rsidR="00DE23A2" w:rsidRPr="00AC0585">
        <w:rPr>
          <w:bCs/>
        </w:rPr>
        <w:t>u</w:t>
      </w:r>
      <w:r w:rsidR="00DE23A2" w:rsidRPr="00AC0585">
        <w:rPr>
          <w:bCs/>
        </w:rPr>
        <w:t>ruvida kommissionen ska beviljas ansvarsfrihet för genomförandet av budgeten</w:t>
      </w:r>
      <w:r w:rsidR="00BA7393" w:rsidRPr="00AC0585">
        <w:rPr>
          <w:bCs/>
        </w:rPr>
        <w:t xml:space="preserve"> för år 2008</w:t>
      </w:r>
      <w:r w:rsidR="00DE23A2" w:rsidRPr="00AC0585">
        <w:rPr>
          <w:bCs/>
        </w:rPr>
        <w:t>. Rekommendationen baseras främst på revi</w:t>
      </w:r>
      <w:r w:rsidR="00BA7393" w:rsidRPr="00AC0585">
        <w:rPr>
          <w:bCs/>
        </w:rPr>
        <w:t>sion</w:t>
      </w:r>
      <w:r w:rsidR="00BA7393" w:rsidRPr="00AC0585">
        <w:rPr>
          <w:bCs/>
        </w:rPr>
        <w:t>s</w:t>
      </w:r>
      <w:r w:rsidR="00BA7393" w:rsidRPr="00AC0585">
        <w:rPr>
          <w:bCs/>
        </w:rPr>
        <w:t>rättens årsrapport för 2008</w:t>
      </w:r>
      <w:r w:rsidR="00DE23A2" w:rsidRPr="00AC0585">
        <w:rPr>
          <w:bCs/>
        </w:rPr>
        <w:t>, inkluderande revision</w:t>
      </w:r>
      <w:r w:rsidR="00DE23A2" w:rsidRPr="00AC0585">
        <w:rPr>
          <w:bCs/>
        </w:rPr>
        <w:t>s</w:t>
      </w:r>
      <w:r w:rsidR="00DE23A2" w:rsidRPr="00AC0585">
        <w:rPr>
          <w:bCs/>
        </w:rPr>
        <w:t>förklaringen samt relevanta specialrapporter. Till förslaget till rekommendation om a</w:t>
      </w:r>
      <w:r w:rsidR="00DE23A2" w:rsidRPr="00AC0585">
        <w:rPr>
          <w:bCs/>
        </w:rPr>
        <w:t>n</w:t>
      </w:r>
      <w:r w:rsidR="00DE23A2" w:rsidRPr="00AC0585">
        <w:rPr>
          <w:bCs/>
        </w:rPr>
        <w:t>svarsfrihet f</w:t>
      </w:r>
      <w:r w:rsidR="00DE23A2" w:rsidRPr="00AC0585">
        <w:rPr>
          <w:bCs/>
        </w:rPr>
        <w:t>o</w:t>
      </w:r>
      <w:r w:rsidR="00DE23A2" w:rsidRPr="00AC0585">
        <w:rPr>
          <w:bCs/>
        </w:rPr>
        <w:t>gas rådets bedömning av revisionsrättens iakttagelser för de olika u</w:t>
      </w:r>
      <w:r w:rsidR="00DE23A2" w:rsidRPr="00AC0585">
        <w:rPr>
          <w:bCs/>
        </w:rPr>
        <w:t>t</w:t>
      </w:r>
      <w:r w:rsidR="00DE23A2" w:rsidRPr="00AC0585">
        <w:rPr>
          <w:bCs/>
        </w:rPr>
        <w:t>giftsområdena, inklusive vilka åtgärder som rådet anser bör vidtas med anledning av dessa iakttagelser. Förslaget till Ekofinrådet är att rekommendera E</w:t>
      </w:r>
      <w:r w:rsidR="00D20046" w:rsidRPr="00AC0585">
        <w:rPr>
          <w:bCs/>
        </w:rPr>
        <w:t>P</w:t>
      </w:r>
      <w:r w:rsidR="00DE23A2" w:rsidRPr="00AC0585">
        <w:rPr>
          <w:bCs/>
        </w:rPr>
        <w:t xml:space="preserve"> att bevilja kommissionen ansvarsfri</w:t>
      </w:r>
      <w:r w:rsidR="00BA7393" w:rsidRPr="00AC0585">
        <w:rPr>
          <w:bCs/>
        </w:rPr>
        <w:t>het för bu</w:t>
      </w:r>
      <w:r w:rsidR="00BA7393" w:rsidRPr="00AC0585">
        <w:rPr>
          <w:bCs/>
        </w:rPr>
        <w:t>d</w:t>
      </w:r>
      <w:r w:rsidR="00BA7393" w:rsidRPr="00AC0585">
        <w:rPr>
          <w:bCs/>
        </w:rPr>
        <w:t>getåret 2008</w:t>
      </w:r>
      <w:r w:rsidR="00DE23A2" w:rsidRPr="00AC0585">
        <w:rPr>
          <w:bCs/>
        </w:rPr>
        <w:t>.</w:t>
      </w:r>
    </w:p>
    <w:p w:rsidR="00DE23A2" w:rsidRPr="00AC0585" w:rsidRDefault="00DE23A2">
      <w:pPr>
        <w:pStyle w:val="RKnormal"/>
      </w:pPr>
    </w:p>
    <w:p w:rsidR="00DE23A2" w:rsidRPr="00AC0585" w:rsidRDefault="00DE23A2">
      <w:pPr>
        <w:pStyle w:val="RKrubrik"/>
        <w:spacing w:before="300" w:after="60"/>
      </w:pPr>
      <w:r w:rsidRPr="00AC0585">
        <w:t>II Ståndpunkter</w:t>
      </w:r>
    </w:p>
    <w:p w:rsidR="00DE23A2" w:rsidRPr="00AC0585" w:rsidRDefault="00DE23A2">
      <w:pPr>
        <w:pStyle w:val="RKrubrik"/>
      </w:pPr>
      <w:r w:rsidRPr="00AC0585">
        <w:t>1. Svensk ståndpunkt</w:t>
      </w:r>
    </w:p>
    <w:p w:rsidR="00001EBD" w:rsidRPr="00AC0585" w:rsidRDefault="00DE23A2">
      <w:pPr>
        <w:pStyle w:val="RKnormal"/>
      </w:pPr>
      <w:r w:rsidRPr="00AC0585">
        <w:t xml:space="preserve">Sverige stödjer </w:t>
      </w:r>
      <w:r w:rsidR="00001EBD" w:rsidRPr="00AC0585">
        <w:t>utkastet till rådsslutsatser med anledning av revision</w:t>
      </w:r>
      <w:r w:rsidR="00001EBD" w:rsidRPr="00AC0585">
        <w:t>s</w:t>
      </w:r>
      <w:r w:rsidR="00001EBD" w:rsidRPr="00AC0585">
        <w:t>rättens årsrapport avseende 2008.</w:t>
      </w:r>
    </w:p>
    <w:p w:rsidR="00DE23A2" w:rsidRPr="00AC0585" w:rsidRDefault="00DE23A2">
      <w:pPr>
        <w:pStyle w:val="RKrubrik"/>
      </w:pPr>
      <w:r w:rsidRPr="00AC0585">
        <w:t>2. Medlemsstaternas ståndpunkter</w:t>
      </w:r>
    </w:p>
    <w:p w:rsidR="004637CA" w:rsidRPr="00AC0585" w:rsidRDefault="004637CA" w:rsidP="004637CA">
      <w:pPr>
        <w:pStyle w:val="RKnormal"/>
      </w:pPr>
      <w:r w:rsidRPr="00AC0585">
        <w:t>Coreper förväntas kunna enas om att föreslå för Ekofin att rekomme</w:t>
      </w:r>
      <w:r w:rsidRPr="00AC0585">
        <w:t>n</w:t>
      </w:r>
      <w:r w:rsidRPr="00AC0585">
        <w:t>dera EP att bevilja kommissionen ansvarsfrihet för budge</w:t>
      </w:r>
      <w:r w:rsidRPr="00AC0585">
        <w:t>t</w:t>
      </w:r>
      <w:r w:rsidR="00DD4108" w:rsidRPr="00AC0585">
        <w:t>året 2008</w:t>
      </w:r>
      <w:r w:rsidRPr="00AC0585">
        <w:t xml:space="preserve">. </w:t>
      </w:r>
    </w:p>
    <w:p w:rsidR="00DE23A2" w:rsidRPr="00AC0585" w:rsidRDefault="00DE23A2">
      <w:pPr>
        <w:pStyle w:val="RKrubrik"/>
      </w:pPr>
      <w:r w:rsidRPr="00AC0585">
        <w:t>III Övrigt</w:t>
      </w:r>
    </w:p>
    <w:p w:rsidR="00DE23A2" w:rsidRPr="00AC0585" w:rsidRDefault="00DE23A2">
      <w:pPr>
        <w:pStyle w:val="RKrubrik"/>
      </w:pPr>
      <w:r w:rsidRPr="00AC0585">
        <w:t>1. Fortsatt behandling av ärendet</w:t>
      </w:r>
    </w:p>
    <w:p w:rsidR="00DE23A2" w:rsidRPr="00AC0585" w:rsidRDefault="00DE23A2">
      <w:pPr>
        <w:pStyle w:val="RKnormal"/>
      </w:pPr>
      <w:r w:rsidRPr="00AC0585">
        <w:t>Nästa steg i ansvarsfrihetsprövningen är att E</w:t>
      </w:r>
      <w:r w:rsidR="00D84307" w:rsidRPr="00AC0585">
        <w:t>P</w:t>
      </w:r>
      <w:r w:rsidRPr="00AC0585">
        <w:t xml:space="preserve"> beslutar om kommi</w:t>
      </w:r>
      <w:r w:rsidRPr="00AC0585">
        <w:t>s</w:t>
      </w:r>
      <w:r w:rsidRPr="00AC0585">
        <w:t>sionen ska b</w:t>
      </w:r>
      <w:r w:rsidRPr="00AC0585">
        <w:t>e</w:t>
      </w:r>
      <w:r w:rsidR="004509EB" w:rsidRPr="00AC0585">
        <w:t xml:space="preserve">viljas </w:t>
      </w:r>
      <w:r w:rsidR="00BA7393" w:rsidRPr="00AC0585">
        <w:t>ansvarsfrihet för år 2008</w:t>
      </w:r>
      <w:r w:rsidRPr="00AC0585">
        <w:t>.</w:t>
      </w:r>
    </w:p>
    <w:p w:rsidR="00DE23A2" w:rsidRPr="00AC0585" w:rsidRDefault="00DE23A2">
      <w:pPr>
        <w:pStyle w:val="RKnormal"/>
      </w:pPr>
    </w:p>
    <w:p w:rsidR="00DE23A2" w:rsidRPr="00AC0585" w:rsidRDefault="00DE23A2">
      <w:pPr>
        <w:pStyle w:val="RKrubrik"/>
      </w:pPr>
      <w:r w:rsidRPr="00AC0585">
        <w:t>2. Rättslig grund och beslutsförfarande</w:t>
      </w:r>
    </w:p>
    <w:p w:rsidR="00FA1D12" w:rsidRPr="00AC0585" w:rsidRDefault="00BA1EF5">
      <w:pPr>
        <w:pStyle w:val="RKnormal"/>
      </w:pPr>
      <w:r w:rsidRPr="00AC0585">
        <w:t>Enligt artikel 319</w:t>
      </w:r>
      <w:r w:rsidR="00FA1D12" w:rsidRPr="00AC0585">
        <w:t xml:space="preserve"> i EU</w:t>
      </w:r>
      <w:r w:rsidR="004E074E" w:rsidRPr="00AC0585">
        <w:t>F</w:t>
      </w:r>
      <w:r w:rsidR="00FA1D12" w:rsidRPr="00AC0585">
        <w:t>-fördraget</w:t>
      </w:r>
      <w:r w:rsidR="00641C90" w:rsidRPr="00AC0585">
        <w:t xml:space="preserve"> ska Rådet </w:t>
      </w:r>
      <w:r w:rsidR="00FA1D12" w:rsidRPr="00AC0585">
        <w:t>rekommend</w:t>
      </w:r>
      <w:r w:rsidR="00641C90" w:rsidRPr="00AC0585">
        <w:t>era EP om h</w:t>
      </w:r>
      <w:r w:rsidR="00641C90" w:rsidRPr="00AC0585">
        <w:t>u</w:t>
      </w:r>
      <w:r w:rsidR="00641C90" w:rsidRPr="00AC0585">
        <w:t>ruvida kom</w:t>
      </w:r>
      <w:r w:rsidR="007D6EBA" w:rsidRPr="00AC0585">
        <w:t>missionen ska</w:t>
      </w:r>
      <w:r w:rsidR="00641C90" w:rsidRPr="00AC0585">
        <w:t xml:space="preserve"> bevilja ansvarsfrihet. Enligt </w:t>
      </w:r>
      <w:r w:rsidR="004E074E" w:rsidRPr="00AC0585">
        <w:t xml:space="preserve">artikel 238 i EUF-fördraget </w:t>
      </w:r>
      <w:r w:rsidR="007D6EBA" w:rsidRPr="00AC0585">
        <w:t>ska</w:t>
      </w:r>
      <w:r w:rsidR="00641C90" w:rsidRPr="00AC0585">
        <w:t xml:space="preserve"> Rådet fatta beslut med kvalificerad </w:t>
      </w:r>
      <w:r w:rsidR="00FA1D12" w:rsidRPr="00AC0585">
        <w:t>maj</w:t>
      </w:r>
      <w:r w:rsidR="00FA1D12" w:rsidRPr="00AC0585">
        <w:t>o</w:t>
      </w:r>
      <w:r w:rsidR="00FA1D12" w:rsidRPr="00AC0585">
        <w:t xml:space="preserve">ritet.  </w:t>
      </w:r>
    </w:p>
    <w:p w:rsidR="00162404" w:rsidRPr="00AC0585" w:rsidRDefault="00162404">
      <w:pPr>
        <w:pStyle w:val="RKnormal"/>
      </w:pPr>
    </w:p>
    <w:p w:rsidR="00162404" w:rsidRPr="00AC0585" w:rsidRDefault="00162404">
      <w:pPr>
        <w:pStyle w:val="RKnormal"/>
      </w:pPr>
    </w:p>
    <w:p w:rsidR="00A04D4C" w:rsidRPr="00AC0585" w:rsidRDefault="00A04D4C">
      <w:pPr>
        <w:pStyle w:val="RKnormal"/>
      </w:pPr>
    </w:p>
    <w:p w:rsidR="004624A5" w:rsidRPr="00AC0585" w:rsidRDefault="004624A5">
      <w:pPr>
        <w:pStyle w:val="RKnormal"/>
      </w:pPr>
    </w:p>
    <w:p w:rsidR="00162404" w:rsidRPr="00AC0585" w:rsidRDefault="00162404">
      <w:pPr>
        <w:pStyle w:val="RKnormal"/>
      </w:pPr>
    </w:p>
    <w:sectPr w:rsidR="00162404" w:rsidRPr="00AC05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01C1" w:rsidRPr="00AC0585" w:rsidRDefault="00AC01C1">
      <w:r w:rsidRPr="00AC0585">
        <w:separator/>
      </w:r>
    </w:p>
  </w:endnote>
  <w:endnote w:type="continuationSeparator" w:id="0">
    <w:p w:rsidR="00AC01C1" w:rsidRPr="00AC0585" w:rsidRDefault="00AC01C1">
      <w:r w:rsidRPr="00AC05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EBA" w:rsidRPr="00AC0585" w:rsidRDefault="007D6EB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EBA" w:rsidRPr="00AC0585" w:rsidRDefault="007D6EB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EBA" w:rsidRPr="00AC0585" w:rsidRDefault="007D6EB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01C1" w:rsidRPr="00AC0585" w:rsidRDefault="00AC01C1">
      <w:r w:rsidRPr="00AC0585">
        <w:separator/>
      </w:r>
    </w:p>
  </w:footnote>
  <w:footnote w:type="continuationSeparator" w:id="0">
    <w:p w:rsidR="00AC01C1" w:rsidRPr="00AC0585" w:rsidRDefault="00AC01C1">
      <w:r w:rsidRPr="00AC05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EBA" w:rsidRPr="00AC0585" w:rsidRDefault="007D6EBA">
    <w:pPr>
      <w:pStyle w:val="Sidhuvud"/>
      <w:framePr w:wrap="around" w:vAnchor="text" w:hAnchor="margin" w:xAlign="right" w:y="1"/>
      <w:rPr>
        <w:rStyle w:val="Sidnummer"/>
      </w:rPr>
    </w:pPr>
    <w:r w:rsidRPr="00AC0585">
      <w:rPr>
        <w:rStyle w:val="Sidnummer"/>
      </w:rPr>
      <w:fldChar w:fldCharType="begin" w:fldLock="1"/>
    </w:r>
    <w:r w:rsidRPr="00AC0585">
      <w:rPr>
        <w:rStyle w:val="Sidnummer"/>
      </w:rPr>
      <w:instrText xml:space="preserve">PAGE  </w:instrText>
    </w:r>
    <w:r w:rsidRPr="00AC0585">
      <w:rPr>
        <w:rStyle w:val="Sidnummer"/>
      </w:rPr>
      <w:fldChar w:fldCharType="separate"/>
    </w:r>
    <w:r w:rsidR="002A280E" w:rsidRPr="00AC0585">
      <w:rPr>
        <w:rStyle w:val="Sidnummer"/>
      </w:rPr>
      <w:t>4</w:t>
    </w:r>
    <w:r w:rsidRPr="00AC0585">
      <w:rPr>
        <w:rStyle w:val="Sidnummer"/>
      </w:rPr>
      <w:fldChar w:fldCharType="end"/>
    </w:r>
  </w:p>
  <w:p w:rsidR="007D6EBA" w:rsidRPr="00AC0585" w:rsidRDefault="007D6EBA">
    <w:pPr>
      <w:pStyle w:val="Sidhuvud"/>
      <w:ind w:right="360"/>
    </w:pPr>
  </w:p>
  <w:p w:rsidR="007D6EBA" w:rsidRPr="00AC0585" w:rsidRDefault="007D6EB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EBA" w:rsidRPr="00AC0585" w:rsidRDefault="007D6EBA">
    <w:pPr>
      <w:pStyle w:val="Sidhuvud"/>
      <w:framePr w:wrap="around" w:vAnchor="text" w:hAnchor="margin" w:xAlign="right" w:y="1"/>
      <w:rPr>
        <w:rStyle w:val="Sidnummer"/>
      </w:rPr>
    </w:pPr>
    <w:r w:rsidRPr="00AC0585">
      <w:rPr>
        <w:rStyle w:val="Sidnummer"/>
      </w:rPr>
      <w:fldChar w:fldCharType="begin" w:fldLock="1"/>
    </w:r>
    <w:r w:rsidRPr="00AC0585">
      <w:rPr>
        <w:rStyle w:val="Sidnummer"/>
      </w:rPr>
      <w:instrText xml:space="preserve">PAGE  </w:instrText>
    </w:r>
    <w:r w:rsidRPr="00AC0585">
      <w:rPr>
        <w:rStyle w:val="Sidnummer"/>
      </w:rPr>
      <w:fldChar w:fldCharType="separate"/>
    </w:r>
    <w:r w:rsidR="002A280E" w:rsidRPr="00AC0585">
      <w:rPr>
        <w:rStyle w:val="Sidnummer"/>
      </w:rPr>
      <w:t>3</w:t>
    </w:r>
    <w:r w:rsidRPr="00AC0585">
      <w:rPr>
        <w:rStyle w:val="Sidnummer"/>
      </w:rPr>
      <w:fldChar w:fldCharType="end"/>
    </w:r>
  </w:p>
  <w:p w:rsidR="007D6EBA" w:rsidRPr="00AC0585" w:rsidRDefault="007D6EBA">
    <w:pPr>
      <w:pStyle w:val="Sidhuvud"/>
      <w:ind w:right="360"/>
    </w:pPr>
  </w:p>
  <w:p w:rsidR="007D6EBA" w:rsidRPr="00AC0585" w:rsidRDefault="007D6EB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D6EBA" w:rsidRPr="00AC0585" w:rsidRDefault="00AC0585">
    <w:pPr>
      <w:framePr w:w="2948" w:h="1321" w:hRule="exact" w:wrap="notBeside" w:vAnchor="page" w:hAnchor="page" w:x="1362" w:y="653"/>
    </w:pPr>
    <w:r w:rsidRPr="00AC0585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6EBA" w:rsidRPr="00AC0585" w:rsidRDefault="007D6EB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D6EBA" w:rsidRPr="00AC0585" w:rsidRDefault="007D6EBA">
    <w:pPr>
      <w:rPr>
        <w:rFonts w:ascii="TradeGothic" w:hAnsi="TradeGothic"/>
        <w:b/>
        <w:bCs/>
        <w:spacing w:val="12"/>
        <w:sz w:val="22"/>
      </w:rPr>
    </w:pPr>
  </w:p>
  <w:p w:rsidR="007D6EBA" w:rsidRPr="00AC0585" w:rsidRDefault="007D6EB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7D6EBA" w:rsidRPr="00AC0585" w:rsidRDefault="007D6EBA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6515"/>
    <w:multiLevelType w:val="hybridMultilevel"/>
    <w:tmpl w:val="2C30A1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B6D84"/>
    <w:multiLevelType w:val="hybridMultilevel"/>
    <w:tmpl w:val="567677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5552D"/>
    <w:multiLevelType w:val="hybridMultilevel"/>
    <w:tmpl w:val="C122C2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CA038F"/>
    <w:multiLevelType w:val="hybridMultilevel"/>
    <w:tmpl w:val="579C61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D19F8"/>
    <w:multiLevelType w:val="hybridMultilevel"/>
    <w:tmpl w:val="7F6E16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33789"/>
    <w:multiLevelType w:val="multilevel"/>
    <w:tmpl w:val="AD34338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F7AB5"/>
    <w:multiLevelType w:val="multilevel"/>
    <w:tmpl w:val="EC50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41E67"/>
    <w:multiLevelType w:val="hybridMultilevel"/>
    <w:tmpl w:val="02A4AFB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DB609A"/>
    <w:multiLevelType w:val="hybridMultilevel"/>
    <w:tmpl w:val="9196C9F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43669"/>
    <w:multiLevelType w:val="hybridMultilevel"/>
    <w:tmpl w:val="14E275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76376E"/>
    <w:multiLevelType w:val="hybridMultilevel"/>
    <w:tmpl w:val="D4B8191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02CF7"/>
    <w:multiLevelType w:val="hybridMultilevel"/>
    <w:tmpl w:val="8E54AB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95F7E"/>
    <w:multiLevelType w:val="hybridMultilevel"/>
    <w:tmpl w:val="5F26A10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7042C3"/>
    <w:multiLevelType w:val="hybridMultilevel"/>
    <w:tmpl w:val="AD343386"/>
    <w:lvl w:ilvl="0" w:tplc="041D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1D7089"/>
    <w:multiLevelType w:val="hybridMultilevel"/>
    <w:tmpl w:val="EC503B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F212D4"/>
    <w:multiLevelType w:val="hybridMultilevel"/>
    <w:tmpl w:val="183AE2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473BD"/>
    <w:multiLevelType w:val="hybridMultilevel"/>
    <w:tmpl w:val="B1C42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CE49CE"/>
    <w:multiLevelType w:val="hybridMultilevel"/>
    <w:tmpl w:val="6FE08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DA5763"/>
    <w:multiLevelType w:val="hybridMultilevel"/>
    <w:tmpl w:val="770A29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343E4D"/>
    <w:multiLevelType w:val="hybridMultilevel"/>
    <w:tmpl w:val="B7641D6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379856">
    <w:abstractNumId w:val="7"/>
  </w:num>
  <w:num w:numId="2" w16cid:durableId="476340263">
    <w:abstractNumId w:val="2"/>
  </w:num>
  <w:num w:numId="3" w16cid:durableId="125926897">
    <w:abstractNumId w:val="4"/>
  </w:num>
  <w:num w:numId="4" w16cid:durableId="1306547301">
    <w:abstractNumId w:val="15"/>
  </w:num>
  <w:num w:numId="5" w16cid:durableId="1710227776">
    <w:abstractNumId w:val="9"/>
  </w:num>
  <w:num w:numId="6" w16cid:durableId="498230632">
    <w:abstractNumId w:val="11"/>
  </w:num>
  <w:num w:numId="7" w16cid:durableId="629165657">
    <w:abstractNumId w:val="0"/>
  </w:num>
  <w:num w:numId="8" w16cid:durableId="1675524035">
    <w:abstractNumId w:val="1"/>
  </w:num>
  <w:num w:numId="9" w16cid:durableId="1001086932">
    <w:abstractNumId w:val="18"/>
  </w:num>
  <w:num w:numId="10" w16cid:durableId="71120639">
    <w:abstractNumId w:val="17"/>
  </w:num>
  <w:num w:numId="11" w16cid:durableId="476193107">
    <w:abstractNumId w:val="16"/>
  </w:num>
  <w:num w:numId="12" w16cid:durableId="446240736">
    <w:abstractNumId w:val="3"/>
  </w:num>
  <w:num w:numId="13" w16cid:durableId="742528037">
    <w:abstractNumId w:val="10"/>
  </w:num>
  <w:num w:numId="14" w16cid:durableId="1914003272">
    <w:abstractNumId w:val="13"/>
  </w:num>
  <w:num w:numId="15" w16cid:durableId="574050256">
    <w:abstractNumId w:val="5"/>
  </w:num>
  <w:num w:numId="16" w16cid:durableId="399669183">
    <w:abstractNumId w:val="14"/>
  </w:num>
  <w:num w:numId="17" w16cid:durableId="670838939">
    <w:abstractNumId w:val="6"/>
  </w:num>
  <w:num w:numId="18" w16cid:durableId="1471677014">
    <w:abstractNumId w:val="12"/>
  </w:num>
  <w:num w:numId="19" w16cid:durableId="1572158006">
    <w:abstractNumId w:val="19"/>
  </w:num>
  <w:num w:numId="20" w16cid:durableId="14460766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Finansdepartementet"/>
    <w:docVar w:name="Regering" w:val="N"/>
  </w:docVars>
  <w:rsids>
    <w:rsidRoot w:val="008316CD"/>
    <w:rsid w:val="00001EBD"/>
    <w:rsid w:val="000163E3"/>
    <w:rsid w:val="00037E14"/>
    <w:rsid w:val="000471E0"/>
    <w:rsid w:val="00047EF0"/>
    <w:rsid w:val="0005100E"/>
    <w:rsid w:val="00084D23"/>
    <w:rsid w:val="00092764"/>
    <w:rsid w:val="000A0FCE"/>
    <w:rsid w:val="000A13B5"/>
    <w:rsid w:val="000C4252"/>
    <w:rsid w:val="000C4747"/>
    <w:rsid w:val="000C4C76"/>
    <w:rsid w:val="000D030A"/>
    <w:rsid w:val="000F1364"/>
    <w:rsid w:val="000F1695"/>
    <w:rsid w:val="000F1DBA"/>
    <w:rsid w:val="000F2022"/>
    <w:rsid w:val="001026D4"/>
    <w:rsid w:val="00114CF4"/>
    <w:rsid w:val="00116914"/>
    <w:rsid w:val="001405C9"/>
    <w:rsid w:val="00154C7C"/>
    <w:rsid w:val="00155C84"/>
    <w:rsid w:val="00162404"/>
    <w:rsid w:val="00190013"/>
    <w:rsid w:val="001A5F96"/>
    <w:rsid w:val="001D7305"/>
    <w:rsid w:val="00211375"/>
    <w:rsid w:val="0022076D"/>
    <w:rsid w:val="00226DD6"/>
    <w:rsid w:val="00230A73"/>
    <w:rsid w:val="00232F45"/>
    <w:rsid w:val="00245353"/>
    <w:rsid w:val="0026402A"/>
    <w:rsid w:val="002750E6"/>
    <w:rsid w:val="00294498"/>
    <w:rsid w:val="002A280E"/>
    <w:rsid w:val="002A39FA"/>
    <w:rsid w:val="002A683E"/>
    <w:rsid w:val="002B07FF"/>
    <w:rsid w:val="002C099F"/>
    <w:rsid w:val="002C142F"/>
    <w:rsid w:val="002D6A35"/>
    <w:rsid w:val="002D77C5"/>
    <w:rsid w:val="002D7BDE"/>
    <w:rsid w:val="002E31EA"/>
    <w:rsid w:val="002E3873"/>
    <w:rsid w:val="002E59BA"/>
    <w:rsid w:val="00304218"/>
    <w:rsid w:val="003063A2"/>
    <w:rsid w:val="003237FC"/>
    <w:rsid w:val="00323C7A"/>
    <w:rsid w:val="00342CA5"/>
    <w:rsid w:val="00343B23"/>
    <w:rsid w:val="003444C6"/>
    <w:rsid w:val="003631CF"/>
    <w:rsid w:val="00381C80"/>
    <w:rsid w:val="00385DFD"/>
    <w:rsid w:val="0038795E"/>
    <w:rsid w:val="00393219"/>
    <w:rsid w:val="00393476"/>
    <w:rsid w:val="00397478"/>
    <w:rsid w:val="003A2400"/>
    <w:rsid w:val="003A5C29"/>
    <w:rsid w:val="003B19F2"/>
    <w:rsid w:val="003C5FBC"/>
    <w:rsid w:val="003D17F8"/>
    <w:rsid w:val="003E368A"/>
    <w:rsid w:val="003E432A"/>
    <w:rsid w:val="003F39FE"/>
    <w:rsid w:val="004061E5"/>
    <w:rsid w:val="00432BC6"/>
    <w:rsid w:val="004509EB"/>
    <w:rsid w:val="0045141F"/>
    <w:rsid w:val="004624A5"/>
    <w:rsid w:val="004637CA"/>
    <w:rsid w:val="00471796"/>
    <w:rsid w:val="00474164"/>
    <w:rsid w:val="00486B40"/>
    <w:rsid w:val="004A29C2"/>
    <w:rsid w:val="004A308E"/>
    <w:rsid w:val="004A46B2"/>
    <w:rsid w:val="004C06DF"/>
    <w:rsid w:val="004D63C4"/>
    <w:rsid w:val="004E05D8"/>
    <w:rsid w:val="004E074E"/>
    <w:rsid w:val="004F2692"/>
    <w:rsid w:val="00517062"/>
    <w:rsid w:val="00541F9A"/>
    <w:rsid w:val="005530AA"/>
    <w:rsid w:val="00565D00"/>
    <w:rsid w:val="00597C80"/>
    <w:rsid w:val="005A5A6A"/>
    <w:rsid w:val="005B2C19"/>
    <w:rsid w:val="005B49B5"/>
    <w:rsid w:val="005C1952"/>
    <w:rsid w:val="005D271E"/>
    <w:rsid w:val="005E67A1"/>
    <w:rsid w:val="005E79A4"/>
    <w:rsid w:val="005F069D"/>
    <w:rsid w:val="005F39FF"/>
    <w:rsid w:val="006112C8"/>
    <w:rsid w:val="006119C5"/>
    <w:rsid w:val="00616CF4"/>
    <w:rsid w:val="00641C90"/>
    <w:rsid w:val="00661A07"/>
    <w:rsid w:val="00676C87"/>
    <w:rsid w:val="00691DEC"/>
    <w:rsid w:val="0069280F"/>
    <w:rsid w:val="006C4353"/>
    <w:rsid w:val="006D3751"/>
    <w:rsid w:val="006E0EAD"/>
    <w:rsid w:val="006F77B2"/>
    <w:rsid w:val="00720F06"/>
    <w:rsid w:val="00722631"/>
    <w:rsid w:val="00730651"/>
    <w:rsid w:val="007327C0"/>
    <w:rsid w:val="007431F2"/>
    <w:rsid w:val="0075124F"/>
    <w:rsid w:val="00757CBC"/>
    <w:rsid w:val="0076186B"/>
    <w:rsid w:val="00765B0D"/>
    <w:rsid w:val="00780779"/>
    <w:rsid w:val="00791ED1"/>
    <w:rsid w:val="00792E32"/>
    <w:rsid w:val="007D12E8"/>
    <w:rsid w:val="007D35B1"/>
    <w:rsid w:val="007D4FA5"/>
    <w:rsid w:val="007D57B4"/>
    <w:rsid w:val="007D6EBA"/>
    <w:rsid w:val="007F6546"/>
    <w:rsid w:val="007F67D5"/>
    <w:rsid w:val="00822195"/>
    <w:rsid w:val="00826341"/>
    <w:rsid w:val="00826AEF"/>
    <w:rsid w:val="008316CD"/>
    <w:rsid w:val="00831BD9"/>
    <w:rsid w:val="00842E3F"/>
    <w:rsid w:val="00846E32"/>
    <w:rsid w:val="00861699"/>
    <w:rsid w:val="00866E7E"/>
    <w:rsid w:val="00897552"/>
    <w:rsid w:val="008A0CE9"/>
    <w:rsid w:val="008A5C80"/>
    <w:rsid w:val="008A7FD5"/>
    <w:rsid w:val="008D4B74"/>
    <w:rsid w:val="008E4C9C"/>
    <w:rsid w:val="00902DD0"/>
    <w:rsid w:val="00904478"/>
    <w:rsid w:val="0091345B"/>
    <w:rsid w:val="00966AD5"/>
    <w:rsid w:val="00971E0A"/>
    <w:rsid w:val="0098406B"/>
    <w:rsid w:val="009B2258"/>
    <w:rsid w:val="009B2A91"/>
    <w:rsid w:val="009D0B58"/>
    <w:rsid w:val="009D59ED"/>
    <w:rsid w:val="009D7645"/>
    <w:rsid w:val="009E0C81"/>
    <w:rsid w:val="009F02FC"/>
    <w:rsid w:val="00A00506"/>
    <w:rsid w:val="00A04D4C"/>
    <w:rsid w:val="00A26131"/>
    <w:rsid w:val="00A34AD9"/>
    <w:rsid w:val="00A35BA8"/>
    <w:rsid w:val="00A53E80"/>
    <w:rsid w:val="00A61DFD"/>
    <w:rsid w:val="00A713A9"/>
    <w:rsid w:val="00A84340"/>
    <w:rsid w:val="00A92C5F"/>
    <w:rsid w:val="00AA7BA4"/>
    <w:rsid w:val="00AB66DD"/>
    <w:rsid w:val="00AC01C1"/>
    <w:rsid w:val="00AC0585"/>
    <w:rsid w:val="00AC6EB5"/>
    <w:rsid w:val="00AE218C"/>
    <w:rsid w:val="00AE31D0"/>
    <w:rsid w:val="00B04368"/>
    <w:rsid w:val="00B104F9"/>
    <w:rsid w:val="00B11825"/>
    <w:rsid w:val="00B14581"/>
    <w:rsid w:val="00B16D11"/>
    <w:rsid w:val="00B30590"/>
    <w:rsid w:val="00B33A22"/>
    <w:rsid w:val="00B344AF"/>
    <w:rsid w:val="00B43651"/>
    <w:rsid w:val="00B64A28"/>
    <w:rsid w:val="00B66D23"/>
    <w:rsid w:val="00B8683F"/>
    <w:rsid w:val="00BA1EF5"/>
    <w:rsid w:val="00BA7393"/>
    <w:rsid w:val="00BD21A0"/>
    <w:rsid w:val="00BD6941"/>
    <w:rsid w:val="00BE37F5"/>
    <w:rsid w:val="00BF7524"/>
    <w:rsid w:val="00C01A90"/>
    <w:rsid w:val="00C0698F"/>
    <w:rsid w:val="00C06CDB"/>
    <w:rsid w:val="00C50480"/>
    <w:rsid w:val="00C5517E"/>
    <w:rsid w:val="00C56744"/>
    <w:rsid w:val="00C934EE"/>
    <w:rsid w:val="00CA2F1C"/>
    <w:rsid w:val="00CA4083"/>
    <w:rsid w:val="00CB4063"/>
    <w:rsid w:val="00CE077C"/>
    <w:rsid w:val="00CE6EAF"/>
    <w:rsid w:val="00CF386B"/>
    <w:rsid w:val="00CF4F32"/>
    <w:rsid w:val="00CF6CB6"/>
    <w:rsid w:val="00CF7731"/>
    <w:rsid w:val="00D00808"/>
    <w:rsid w:val="00D04537"/>
    <w:rsid w:val="00D20046"/>
    <w:rsid w:val="00D40168"/>
    <w:rsid w:val="00D44330"/>
    <w:rsid w:val="00D51A5F"/>
    <w:rsid w:val="00D62F80"/>
    <w:rsid w:val="00D8109A"/>
    <w:rsid w:val="00D81AAD"/>
    <w:rsid w:val="00D84307"/>
    <w:rsid w:val="00D95702"/>
    <w:rsid w:val="00DA0FD2"/>
    <w:rsid w:val="00DA4F9A"/>
    <w:rsid w:val="00DB3792"/>
    <w:rsid w:val="00DD4108"/>
    <w:rsid w:val="00DE23A2"/>
    <w:rsid w:val="00E05B78"/>
    <w:rsid w:val="00E1375D"/>
    <w:rsid w:val="00E168FC"/>
    <w:rsid w:val="00E412FE"/>
    <w:rsid w:val="00E56458"/>
    <w:rsid w:val="00E85499"/>
    <w:rsid w:val="00EE0AAC"/>
    <w:rsid w:val="00EE1737"/>
    <w:rsid w:val="00EE630A"/>
    <w:rsid w:val="00EF3FD4"/>
    <w:rsid w:val="00EF491D"/>
    <w:rsid w:val="00F0251E"/>
    <w:rsid w:val="00F048D1"/>
    <w:rsid w:val="00F1098B"/>
    <w:rsid w:val="00F10A98"/>
    <w:rsid w:val="00F1349C"/>
    <w:rsid w:val="00F20F49"/>
    <w:rsid w:val="00F21538"/>
    <w:rsid w:val="00F22093"/>
    <w:rsid w:val="00F23063"/>
    <w:rsid w:val="00F253E1"/>
    <w:rsid w:val="00F306D6"/>
    <w:rsid w:val="00F307F0"/>
    <w:rsid w:val="00F35971"/>
    <w:rsid w:val="00F44F1E"/>
    <w:rsid w:val="00F47B0B"/>
    <w:rsid w:val="00F53ECB"/>
    <w:rsid w:val="00F629A3"/>
    <w:rsid w:val="00F63EC3"/>
    <w:rsid w:val="00F670DA"/>
    <w:rsid w:val="00F67EB5"/>
    <w:rsid w:val="00F82375"/>
    <w:rsid w:val="00F97277"/>
    <w:rsid w:val="00FA1D12"/>
    <w:rsid w:val="00FA6E76"/>
    <w:rsid w:val="00FC62E3"/>
    <w:rsid w:val="00FE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3714D9A-5FF8-45EF-944D-8CBF2099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semiHidden/>
    <w:p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</w:rPr>
  </w:style>
  <w:style w:type="paragraph" w:customStyle="1" w:styleId="Brdtext">
    <w:name w:val="Brˆdtext"/>
    <w:basedOn w:val="Normal"/>
    <w:pPr>
      <w:overflowPunct/>
      <w:autoSpaceDE/>
      <w:autoSpaceDN/>
      <w:adjustRightInd/>
      <w:spacing w:line="320" w:lineRule="exact"/>
      <w:textAlignment w:val="auto"/>
    </w:pPr>
    <w:rPr>
      <w:rFonts w:ascii="Times New Roman" w:hAnsi="Times New Roman"/>
    </w:rPr>
  </w:style>
  <w:style w:type="character" w:customStyle="1" w:styleId="RKnormalChar">
    <w:name w:val="RKnormal Char"/>
    <w:basedOn w:val="Standardstycketeckensnitt"/>
    <w:link w:val="RKnormal"/>
    <w:rsid w:val="00F35971"/>
    <w:rPr>
      <w:rFonts w:ascii="OrigGarmnd BT" w:hAnsi="OrigGarmnd BT"/>
      <w:sz w:val="24"/>
      <w:lang w:val="sv-SE" w:eastAsia="en-US" w:bidi="ar-SA"/>
    </w:rPr>
  </w:style>
  <w:style w:type="paragraph" w:styleId="Ballongtext">
    <w:name w:val="Balloon Text"/>
    <w:basedOn w:val="Normal"/>
    <w:semiHidden/>
    <w:rsid w:val="003E43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</Template>
  <TotalTime>0</TotalTime>
  <Pages>2</Pages>
  <Words>1082</Words>
  <Characters>6982</Characters>
  <Application>Microsoft Office Word</Application>
  <DocSecurity>4</DocSecurity>
  <Lines>183</Lines>
  <Paragraphs>56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 Till riksdagen </vt:lpstr>
    </vt:vector>
  </TitlesOfParts>
  <Company>Regeringskansliet</Company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Till riksdagen </dc:title>
  <dc:subject>PM Till riksdagen </dc:subject>
  <dc:creator>Riksdagen</dc:creator>
  <cp:keywords>Riksdagen</cp:keywords>
  <dc:description/>
  <cp:lastModifiedBy>Lars Brink</cp:lastModifiedBy>
  <cp:revision>2</cp:revision>
  <cp:lastPrinted>2010-02-04T12:32:00Z</cp:lastPrinted>
  <dcterms:created xsi:type="dcterms:W3CDTF">2025-12-18T00:00:00Z</dcterms:created>
  <dcterms:modified xsi:type="dcterms:W3CDTF">2025-12-18T00:00:00Z</dcterms:modified>
  <cp:category>PM Till riksdagen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6;0;0;256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