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30725">
        <w:tblPrEx>
          <w:tblCellMar>
            <w:top w:w="0" w:type="dxa"/>
            <w:bottom w:w="0" w:type="dxa"/>
          </w:tblCellMar>
        </w:tblPrEx>
        <w:trPr>
          <w:cantSplit/>
          <w:trHeight w:val="1720"/>
        </w:trPr>
        <w:tc>
          <w:tcPr>
            <w:tcW w:w="6024" w:type="dxa"/>
            <w:gridSpan w:val="2"/>
          </w:tcPr>
          <w:p w:rsidR="001D40B6" w:rsidRPr="00130725" w:rsidRDefault="001D40B6">
            <w:pPr>
              <w:pStyle w:val="HuvudRubrik"/>
            </w:pPr>
            <w:r w:rsidRPr="00130725">
              <w:t>Finansutskottets betänkande</w:t>
            </w:r>
          </w:p>
          <w:p w:rsidR="001D40B6" w:rsidRPr="00130725" w:rsidRDefault="001D40B6">
            <w:pPr>
              <w:pStyle w:val="HuvudRubrikRad2"/>
            </w:pPr>
            <w:bookmarkStart w:id="0" w:name="BetänkandeNr"/>
            <w:bookmarkEnd w:id="0"/>
            <w:r w:rsidRPr="00130725">
              <w:t>2000/01:FiU12</w:t>
            </w:r>
          </w:p>
        </w:tc>
        <w:tc>
          <w:tcPr>
            <w:tcW w:w="1418" w:type="dxa"/>
            <w:tcBorders>
              <w:bottom w:val="nil"/>
            </w:tcBorders>
          </w:tcPr>
          <w:p w:rsidR="001D40B6" w:rsidRPr="00130725" w:rsidRDefault="00130725">
            <w:pPr>
              <w:spacing w:line="230" w:lineRule="auto"/>
              <w:jc w:val="center"/>
            </w:pPr>
            <w:r w:rsidRPr="0013072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D40B6" w:rsidRPr="00130725" w:rsidRDefault="001D40B6">
            <w:pPr>
              <w:pStyle w:val="Normaltindrag"/>
              <w:jc w:val="center"/>
            </w:pPr>
          </w:p>
          <w:p w:rsidR="001D40B6" w:rsidRPr="00130725" w:rsidRDefault="001D40B6">
            <w:pPr>
              <w:pStyle w:val="StatusSida1"/>
            </w:pPr>
          </w:p>
          <w:p w:rsidR="001D40B6" w:rsidRPr="00130725" w:rsidRDefault="001D40B6">
            <w:pPr>
              <w:pStyle w:val="UtskriftsdatumSida1"/>
              <w:framePr w:wrap="around"/>
            </w:pPr>
          </w:p>
        </w:tc>
      </w:tr>
      <w:tr w:rsidR="00000000" w:rsidRPr="00130725">
        <w:tblPrEx>
          <w:tblCellMar>
            <w:top w:w="0" w:type="dxa"/>
            <w:bottom w:w="0" w:type="dxa"/>
          </w:tblCellMar>
        </w:tblPrEx>
        <w:trPr>
          <w:cantSplit/>
        </w:trPr>
        <w:tc>
          <w:tcPr>
            <w:tcW w:w="6024" w:type="dxa"/>
            <w:gridSpan w:val="2"/>
            <w:tcBorders>
              <w:bottom w:val="single" w:sz="4" w:space="0" w:color="auto"/>
            </w:tcBorders>
          </w:tcPr>
          <w:p w:rsidR="001D40B6" w:rsidRPr="00130725" w:rsidRDefault="001D40B6">
            <w:pPr>
              <w:pStyle w:val="DokumentRubrik"/>
              <w:rPr>
                <w:noProof w:val="0"/>
              </w:rPr>
            </w:pPr>
            <w:bookmarkStart w:id="1" w:name="Huvudrubrik"/>
            <w:bookmarkEnd w:id="1"/>
            <w:r w:rsidRPr="00130725">
              <w:rPr>
                <w:noProof w:val="0"/>
              </w:rPr>
              <w:t xml:space="preserve">Allmänna pensionsfondens </w:t>
            </w:r>
            <w:r w:rsidRPr="00130725">
              <w:rPr>
                <w:noProof w:val="0"/>
              </w:rPr>
              <w:br/>
              <w:t>verk</w:t>
            </w:r>
            <w:r w:rsidRPr="00130725">
              <w:rPr>
                <w:noProof w:val="0"/>
              </w:rPr>
              <w:softHyphen/>
              <w:t>sam</w:t>
            </w:r>
            <w:r w:rsidRPr="00130725">
              <w:rPr>
                <w:noProof w:val="0"/>
              </w:rPr>
              <w:softHyphen/>
              <w:t xml:space="preserve">het 1999 </w:t>
            </w:r>
            <w:r w:rsidRPr="00130725">
              <w:rPr>
                <w:noProof w:val="0"/>
                <w:sz w:val="28"/>
              </w:rPr>
              <w:t>(skr. 1999/2000:132)</w:t>
            </w:r>
          </w:p>
        </w:tc>
        <w:tc>
          <w:tcPr>
            <w:tcW w:w="1418" w:type="dxa"/>
            <w:tcBorders>
              <w:bottom w:val="nil"/>
            </w:tcBorders>
          </w:tcPr>
          <w:p w:rsidR="001D40B6" w:rsidRPr="00130725" w:rsidRDefault="001D40B6"/>
        </w:tc>
      </w:tr>
      <w:tr w:rsidR="00000000" w:rsidRPr="00130725">
        <w:tblPrEx>
          <w:tblCellMar>
            <w:top w:w="0" w:type="dxa"/>
            <w:bottom w:w="0" w:type="dxa"/>
          </w:tblCellMar>
        </w:tblPrEx>
        <w:trPr>
          <w:cantSplit/>
          <w:trHeight w:hRule="exact" w:val="360"/>
        </w:trPr>
        <w:tc>
          <w:tcPr>
            <w:tcW w:w="3012" w:type="dxa"/>
          </w:tcPr>
          <w:p w:rsidR="001D40B6" w:rsidRPr="00130725" w:rsidRDefault="001D40B6"/>
        </w:tc>
        <w:tc>
          <w:tcPr>
            <w:tcW w:w="3012" w:type="dxa"/>
          </w:tcPr>
          <w:p w:rsidR="001D40B6" w:rsidRPr="00130725" w:rsidRDefault="001D40B6"/>
        </w:tc>
        <w:tc>
          <w:tcPr>
            <w:tcW w:w="1418" w:type="dxa"/>
          </w:tcPr>
          <w:p w:rsidR="001D40B6" w:rsidRPr="00130725" w:rsidRDefault="001D40B6"/>
        </w:tc>
      </w:tr>
    </w:tbl>
    <w:p w:rsidR="001D40B6" w:rsidRPr="00130725" w:rsidRDefault="001D40B6">
      <w:pPr>
        <w:pStyle w:val="Rubrik1"/>
        <w:spacing w:after="250"/>
        <w:rPr>
          <w:noProof w:val="0"/>
        </w:rPr>
      </w:pPr>
      <w:bookmarkStart w:id="2" w:name="_Toc496348213"/>
      <w:r w:rsidRPr="00130725">
        <w:rPr>
          <w:noProof w:val="0"/>
        </w:rPr>
        <w:t>Sammanfattning</w:t>
      </w:r>
      <w:bookmarkEnd w:id="2"/>
    </w:p>
    <w:p w:rsidR="001D40B6" w:rsidRPr="00130725" w:rsidRDefault="001D40B6">
      <w:r w:rsidRPr="00130725">
        <w:t>Finansutskottet behandlar i detta betänkande regeringens skrivelse 1999/2000:132 Redovisning av Allmänna pensionsfondens verksamhet 1999.  Utskottet föreslår att regeringens skrivelse läggs till handlingarna. Ingen motion har väckts i ärendet.</w:t>
      </w:r>
    </w:p>
    <w:p w:rsidR="001D40B6" w:rsidRPr="00130725" w:rsidRDefault="001D40B6">
      <w:pPr>
        <w:pStyle w:val="Normaltindrag"/>
        <w:spacing w:line="240" w:lineRule="auto"/>
        <w:rPr>
          <w:sz w:val="12"/>
        </w:rPr>
      </w:pPr>
    </w:p>
    <w:p w:rsidR="001D40B6" w:rsidRPr="00130725" w:rsidRDefault="001D40B6">
      <w:r w:rsidRPr="00130725">
        <w:t>I skrivelsen finns bl.a. en sammanställning av fondstyrelsernas årsredovi</w:t>
      </w:r>
      <w:r w:rsidRPr="00130725">
        <w:t>s</w:t>
      </w:r>
      <w:r w:rsidRPr="00130725">
        <w:t>ningar samt regeringens utvärdering av fondernas verksamhet, resultat och förvaltning. AP-fondens marknadsvärderade resultat uppgick 1999 till 77 miljarder kronor. Skillnaden mellan pensionsavgifterna och pensionsutbeta</w:t>
      </w:r>
      <w:r w:rsidRPr="00130725">
        <w:t>l</w:t>
      </w:r>
      <w:r w:rsidRPr="00130725">
        <w:t>ningarna – det s.k. avgiftsunderskottet – blev under året 29,8 miljarder kr</w:t>
      </w:r>
      <w:r w:rsidRPr="00130725">
        <w:t>o</w:t>
      </w:r>
      <w:r w:rsidRPr="00130725">
        <w:t>nor. De administrativa avgifterna uppgick till 0,8 miljarder kronor (ca 0,1 % av kapitalet) och som en följd av det reformerade ålderspensionssystemet levererade AP-fonden 45 miljarder kronor till staten under 1999.</w:t>
      </w:r>
      <w:r w:rsidRPr="00130725">
        <w:t xml:space="preserve"> Det sa</w:t>
      </w:r>
      <w:r w:rsidRPr="00130725">
        <w:t>m</w:t>
      </w:r>
      <w:r w:rsidRPr="00130725">
        <w:t>mantagna fondkapitalet ökade därmed med 1,4 miljarder kronor till 746,7 miljarder kronor.</w:t>
      </w:r>
    </w:p>
    <w:p w:rsidR="001D40B6" w:rsidRPr="00130725" w:rsidRDefault="001D40B6">
      <w:pPr>
        <w:pStyle w:val="Normaltindrag"/>
      </w:pPr>
      <w:r w:rsidRPr="00130725">
        <w:t>Resultatet motsvarar en avkastning på 10,2 % av det totala fondkapitalet. Räknas inflationen bort ger det en real avkastning under 1999 på 8,8 %. De senaste fem åren har avkastningen för första–femte AP-fondstyrelserna legat på i genomsnitt 11,8 % per år. Den reala avkastningen blev under samma period 11 % per år.</w:t>
      </w:r>
    </w:p>
    <w:p w:rsidR="001D40B6" w:rsidRPr="00130725" w:rsidRDefault="001D40B6">
      <w:pPr>
        <w:pStyle w:val="Normaltindrag"/>
      </w:pPr>
    </w:p>
    <w:p w:rsidR="001D40B6" w:rsidRPr="00130725" w:rsidRDefault="001D40B6">
      <w:pPr>
        <w:pStyle w:val="Normaltindrag"/>
      </w:pPr>
    </w:p>
    <w:p w:rsidR="001D40B6" w:rsidRPr="00130725" w:rsidRDefault="001D40B6">
      <w:bookmarkStart w:id="3" w:name="TextStart"/>
      <w:bookmarkEnd w:id="3"/>
    </w:p>
    <w:p w:rsidR="001D40B6" w:rsidRPr="00130725" w:rsidRDefault="001D40B6">
      <w:pPr>
        <w:pStyle w:val="Normaltindrag"/>
      </w:pPr>
    </w:p>
    <w:p w:rsidR="001D40B6" w:rsidRPr="00130725" w:rsidRDefault="001D40B6">
      <w:pPr>
        <w:pStyle w:val="Normaltindrag"/>
        <w:sectPr w:rsidR="00000000" w:rsidRPr="00130725">
          <w:headerReference w:type="even" r:id="rId7"/>
          <w:headerReference w:type="default" r:id="rId8"/>
          <w:footerReference w:type="even" r:id="rId9"/>
          <w:footerReference w:type="default" r:id="rId10"/>
          <w:headerReference w:type="first" r:id="rId11"/>
          <w:footerReference w:type="first" r:id="rId12"/>
          <w:pgSz w:w="11906" w:h="16838" w:code="9"/>
          <w:pgMar w:top="907" w:right="4649" w:bottom="4508" w:left="1304" w:header="340" w:footer="227" w:gutter="0"/>
          <w:cols w:space="720"/>
          <w:titlePg/>
        </w:sectPr>
      </w:pPr>
    </w:p>
    <w:p w:rsidR="001D40B6" w:rsidRPr="00130725" w:rsidRDefault="001D40B6">
      <w:pPr>
        <w:pStyle w:val="Rubrik1"/>
        <w:rPr>
          <w:noProof w:val="0"/>
        </w:rPr>
      </w:pPr>
      <w:bookmarkStart w:id="4" w:name="_Toc496348215"/>
      <w:r w:rsidRPr="00130725">
        <w:rPr>
          <w:noProof w:val="0"/>
        </w:rPr>
        <w:lastRenderedPageBreak/>
        <w:t>Utskottets förslag till riksdagsbeslut</w:t>
      </w:r>
      <w:bookmarkEnd w:id="4"/>
    </w:p>
    <w:p w:rsidR="001D40B6" w:rsidRPr="00130725" w:rsidRDefault="001D40B6">
      <w:pPr>
        <w:spacing w:before="60"/>
      </w:pPr>
      <w:r w:rsidRPr="00130725">
        <w:t>Med hänvisning till de motiveringar som framförs under Utskottets överv</w:t>
      </w:r>
      <w:r w:rsidRPr="00130725">
        <w:t>ä</w:t>
      </w:r>
      <w:r w:rsidRPr="00130725">
        <w:t>ganden föreslår utskottet att riksdagen fattar följande b</w:t>
      </w:r>
      <w:r w:rsidRPr="00130725">
        <w:t>e</w:t>
      </w:r>
      <w:r w:rsidRPr="00130725">
        <w:t>slut:</w:t>
      </w:r>
    </w:p>
    <w:p w:rsidR="001D40B6" w:rsidRPr="00130725" w:rsidRDefault="001D40B6">
      <w:pPr>
        <w:pStyle w:val="Frslagspunkt"/>
        <w:rPr>
          <w:noProof w:val="0"/>
        </w:rPr>
      </w:pPr>
      <w:r w:rsidRPr="00130725">
        <w:rPr>
          <w:noProof w:val="0"/>
        </w:rPr>
        <w:t xml:space="preserve">    Allmänna pensionsfondens verksamhet 1999</w:t>
      </w:r>
    </w:p>
    <w:p w:rsidR="001D40B6" w:rsidRPr="00130725" w:rsidRDefault="001D40B6">
      <w:pPr>
        <w:pStyle w:val="Normaltindrag"/>
      </w:pPr>
      <w:r w:rsidRPr="00130725">
        <w:t>Riksdagen lägger regeringens skrivelse 1999/2000:132 till handlin</w:t>
      </w:r>
      <w:r w:rsidRPr="00130725">
        <w:t>g</w:t>
      </w:r>
      <w:r w:rsidRPr="00130725">
        <w:t>arna.</w:t>
      </w:r>
    </w:p>
    <w:p w:rsidR="001D40B6" w:rsidRPr="00130725" w:rsidRDefault="001D40B6">
      <w:pPr>
        <w:pStyle w:val="Normaltindrag"/>
        <w:ind w:firstLine="0"/>
      </w:pPr>
      <w:bookmarkStart w:id="5" w:name="Nästa_Hpunkt"/>
      <w:bookmarkEnd w:id="5"/>
    </w:p>
    <w:p w:rsidR="001D40B6" w:rsidRPr="00130725" w:rsidRDefault="001D40B6">
      <w:pPr>
        <w:pStyle w:val="Utskriftsdatum"/>
      </w:pPr>
      <w:r w:rsidRPr="00130725">
        <w:t xml:space="preserve">Stockholm den 26 oktober 2000 </w:t>
      </w:r>
    </w:p>
    <w:p w:rsidR="001D40B6" w:rsidRPr="00130725" w:rsidRDefault="001D40B6">
      <w:r w:rsidRPr="00130725">
        <w:t>På finansutskottets vägnar</w:t>
      </w:r>
    </w:p>
    <w:p w:rsidR="001D40B6" w:rsidRPr="00130725" w:rsidRDefault="001D40B6">
      <w:pPr>
        <w:pStyle w:val="Ordfranden"/>
        <w:rPr>
          <w:noProof w:val="0"/>
        </w:rPr>
      </w:pPr>
      <w:bookmarkStart w:id="6" w:name="Ordförande"/>
      <w:bookmarkEnd w:id="6"/>
    </w:p>
    <w:p w:rsidR="001D40B6" w:rsidRPr="00130725" w:rsidRDefault="001D40B6">
      <w:pPr>
        <w:pStyle w:val="Ordfranden"/>
        <w:rPr>
          <w:noProof w:val="0"/>
        </w:rPr>
      </w:pPr>
    </w:p>
    <w:p w:rsidR="001D40B6" w:rsidRPr="00130725" w:rsidRDefault="001D40B6">
      <w:pPr>
        <w:pStyle w:val="Ordfranden"/>
        <w:rPr>
          <w:noProof w:val="0"/>
        </w:rPr>
      </w:pPr>
    </w:p>
    <w:p w:rsidR="001D40B6" w:rsidRPr="00130725" w:rsidRDefault="001D40B6">
      <w:pPr>
        <w:pStyle w:val="Ordfranden"/>
        <w:rPr>
          <w:noProof w:val="0"/>
        </w:rPr>
      </w:pPr>
      <w:r w:rsidRPr="00130725">
        <w:rPr>
          <w:noProof w:val="0"/>
        </w:rPr>
        <w:t>Jan Ber</w:t>
      </w:r>
      <w:r w:rsidRPr="00130725">
        <w:rPr>
          <w:i w:val="0"/>
          <w:noProof w:val="0"/>
        </w:rPr>
        <w:t>g</w:t>
      </w:r>
      <w:r w:rsidRPr="00130725">
        <w:rPr>
          <w:noProof w:val="0"/>
        </w:rPr>
        <w:t xml:space="preserve">qvist </w:t>
      </w:r>
    </w:p>
    <w:p w:rsidR="001D40B6" w:rsidRPr="00130725" w:rsidRDefault="001D40B6">
      <w:pPr>
        <w:pStyle w:val="Deltagare"/>
        <w:rPr>
          <w:noProof w:val="0"/>
        </w:rPr>
      </w:pPr>
      <w:bookmarkStart w:id="7" w:name="Deltagare"/>
      <w:bookmarkEnd w:id="7"/>
      <w:r w:rsidRPr="00130725">
        <w:rPr>
          <w:noProof w:val="0"/>
        </w:rPr>
        <w:t>Följande ledamöter har deltagit i beslutet: Jan Bergqvist (s), Mats Odell (kd), Gunnar Hökmark (m), Bengt Silfverstrand (s), Lisbet Calner (s), Johan Lönnroth (v), Lennart Hedquist (m), Sonia Karlsson (s), Fredrik Reinfeldt (m), Carin Lundberg (s), Siv Holma (v), Per Landgren (kd), Anna Åkerhielm (m), Yvonne Ruwaida (mp), Lena Ek (c), Karin Pilsäter (fp) och Tommy Waidelich (s).</w:t>
      </w:r>
    </w:p>
    <w:p w:rsidR="001D40B6" w:rsidRPr="00130725" w:rsidRDefault="001D40B6">
      <w:pPr>
        <w:pStyle w:val="Normaltindrag"/>
      </w:pPr>
    </w:p>
    <w:p w:rsidR="001D40B6" w:rsidRPr="00130725" w:rsidRDefault="001D40B6"/>
    <w:p w:rsidR="001D40B6" w:rsidRPr="00130725" w:rsidRDefault="001D40B6">
      <w:pPr>
        <w:pStyle w:val="Normaltindrag"/>
        <w:sectPr w:rsidR="00000000" w:rsidRPr="00130725">
          <w:headerReference w:type="even" r:id="rId13"/>
          <w:headerReference w:type="default" r:id="rId14"/>
          <w:footerReference w:type="even" r:id="rId15"/>
          <w:footerReference w:type="default" r:id="rId16"/>
          <w:headerReference w:type="first" r:id="rId17"/>
          <w:footerReference w:type="first" r:id="rId18"/>
          <w:pgSz w:w="11906" w:h="16838" w:code="9"/>
          <w:pgMar w:top="907" w:right="4649" w:bottom="4508" w:left="1304" w:header="340" w:footer="227" w:gutter="0"/>
          <w:cols w:space="720"/>
          <w:titlePg/>
        </w:sectPr>
      </w:pPr>
    </w:p>
    <w:p w:rsidR="001D40B6" w:rsidRPr="00130725" w:rsidRDefault="001D40B6">
      <w:pPr>
        <w:pStyle w:val="Rubrik1"/>
        <w:rPr>
          <w:noProof w:val="0"/>
        </w:rPr>
      </w:pPr>
      <w:bookmarkStart w:id="8" w:name="_Toc496348220"/>
      <w:r w:rsidRPr="00130725">
        <w:rPr>
          <w:noProof w:val="0"/>
        </w:rPr>
        <w:t>Utskottets överväganden</w:t>
      </w:r>
      <w:bookmarkEnd w:id="8"/>
    </w:p>
    <w:p w:rsidR="001D40B6" w:rsidRPr="00130725" w:rsidRDefault="001D40B6">
      <w:pPr>
        <w:pStyle w:val="Utskottetsvervganden-RubrikFrslagspunkt"/>
        <w:spacing w:before="0"/>
        <w:rPr>
          <w:noProof w:val="0"/>
        </w:rPr>
      </w:pPr>
      <w:r w:rsidRPr="00130725">
        <w:rPr>
          <w:noProof w:val="0"/>
        </w:rPr>
        <w:t>Allmänna pensionsfondens verksamhet 1999</w:t>
      </w:r>
    </w:p>
    <w:p w:rsidR="001D40B6" w:rsidRPr="00130725" w:rsidRDefault="001D40B6">
      <w:pPr>
        <w:pStyle w:val="Utskottsfrslagikorthet-Rubrik"/>
        <w:rPr>
          <w:noProof w:val="0"/>
        </w:rPr>
      </w:pPr>
      <w:r w:rsidRPr="00130725">
        <w:rPr>
          <w:noProof w:val="0"/>
        </w:rPr>
        <w:t>Utskottets förslag i korthet</w:t>
      </w:r>
    </w:p>
    <w:p w:rsidR="001D40B6" w:rsidRPr="00130725" w:rsidRDefault="001D40B6">
      <w:pPr>
        <w:pStyle w:val="Utskottsfrslagikorthet-Text"/>
      </w:pPr>
      <w:r w:rsidRPr="00130725">
        <w:t>Riksdagen beslutar lägga regeringens skrivelse 1999/2000:132 R</w:t>
      </w:r>
      <w:r w:rsidRPr="00130725">
        <w:t>e</w:t>
      </w:r>
      <w:r w:rsidRPr="00130725">
        <w:t>dovisning av Allmänna pensionsfondens verksamhet år 1999 till handlingarna.</w:t>
      </w:r>
    </w:p>
    <w:p w:rsidR="001D40B6" w:rsidRPr="00130725" w:rsidRDefault="001D40B6">
      <w:pPr>
        <w:pStyle w:val="R4"/>
        <w:spacing w:before="375" w:after="0"/>
        <w:rPr>
          <w:noProof w:val="0"/>
        </w:rPr>
      </w:pPr>
      <w:r w:rsidRPr="00130725">
        <w:rPr>
          <w:noProof w:val="0"/>
        </w:rPr>
        <w:t>Skrivelsen</w:t>
      </w:r>
    </w:p>
    <w:p w:rsidR="001D40B6" w:rsidRPr="00130725" w:rsidRDefault="001D40B6">
      <w:pPr>
        <w:spacing w:before="60"/>
      </w:pPr>
      <w:r w:rsidRPr="00130725">
        <w:t>I skrivelsen lämnas en redovisning av Allmänna pensionsfondens (AP-fondens) verksamhet under 1999. Redovisningen innehåller bl.a. en samma</w:t>
      </w:r>
      <w:r w:rsidRPr="00130725">
        <w:t>n</w:t>
      </w:r>
      <w:r w:rsidRPr="00130725">
        <w:t>ställning av fondstyrelsernas årsredovisningar, en sammanfattning av styre</w:t>
      </w:r>
      <w:r w:rsidRPr="00130725">
        <w:t>l</w:t>
      </w:r>
      <w:r w:rsidRPr="00130725">
        <w:t>sernas utvärdering av förvaltningen samt regeringens utvärdering och bedö</w:t>
      </w:r>
      <w:r w:rsidRPr="00130725">
        <w:t>m</w:t>
      </w:r>
      <w:r w:rsidRPr="00130725">
        <w:t>ning av förvaltningen av fondkapitalet. I likhet med tidigare år har regeringen anlitat konsultföretaget William Mercer för att ta fram ett underlag för reg</w:t>
      </w:r>
      <w:r w:rsidRPr="00130725">
        <w:t>e</w:t>
      </w:r>
      <w:r w:rsidRPr="00130725">
        <w:t>ringens utvärdering. Utvärderingen omfattar första till sjätte fondstyrelsen. Den sjunde fondstyrelsen ingår inte i utvärderingen eftersom styrelsen inte förva</w:t>
      </w:r>
      <w:r w:rsidRPr="00130725">
        <w:t>l</w:t>
      </w:r>
      <w:r w:rsidRPr="00130725">
        <w:t>tat några medel under 1999.</w:t>
      </w:r>
    </w:p>
    <w:p w:rsidR="001D40B6" w:rsidRPr="00130725" w:rsidRDefault="001D40B6">
      <w:pPr>
        <w:pStyle w:val="Normaltindrag"/>
        <w:spacing w:line="240" w:lineRule="auto"/>
        <w:rPr>
          <w:sz w:val="12"/>
        </w:rPr>
      </w:pPr>
    </w:p>
    <w:p w:rsidR="001D40B6" w:rsidRPr="00130725" w:rsidRDefault="001D40B6">
      <w:r w:rsidRPr="00130725">
        <w:t>AP-fondens sammantagna s.k. marknadsvärderade resultat (direktavkastnin</w:t>
      </w:r>
      <w:r w:rsidRPr="00130725">
        <w:t>g</w:t>
      </w:r>
      <w:r w:rsidRPr="00130725">
        <w:t>en plus realiserade och ej realiserade värdeförändringar av kapitalet) uppgick under 1999 till 77 miljarder kronor, visar sammanställningen av fondstyre</w:t>
      </w:r>
      <w:r w:rsidRPr="00130725">
        <w:t>l</w:t>
      </w:r>
      <w:r w:rsidRPr="00130725">
        <w:t xml:space="preserve">sernas årsredovisningar. </w:t>
      </w:r>
    </w:p>
    <w:p w:rsidR="001D40B6" w:rsidRPr="00130725" w:rsidRDefault="001D40B6">
      <w:r w:rsidRPr="00130725">
        <w:t xml:space="preserve">    Skillnaden mellan pensionsavgifterna och pensionsutbetalningarna – det s.k. avgiftsunderskottet – blev under året 29,8 miljarder kronor. De adminis</w:t>
      </w:r>
      <w:r w:rsidRPr="00130725">
        <w:t>t</w:t>
      </w:r>
      <w:r w:rsidRPr="00130725">
        <w:t>rativa avgifterna uppgick till 0,8 miljarder kronor (ca 0,1 % av kapitalet) och som en följd av det reformerade ålderspensionssystemet levererade AP-fonden 45 miljarder kronor till staten under 1999. Detta innebär sammantaget att fondkapitalet under förra året enbart ökade med 1,4 miljarder kronor till 746,7 miljarder kronor, trots resultatet på 77 miljarder kr</w:t>
      </w:r>
      <w:r w:rsidRPr="00130725">
        <w:t>o</w:t>
      </w:r>
      <w:r w:rsidRPr="00130725">
        <w:t>nor.</w:t>
      </w:r>
    </w:p>
    <w:p w:rsidR="001D40B6" w:rsidRPr="00130725" w:rsidRDefault="001D40B6">
      <w:r w:rsidRPr="00130725">
        <w:t xml:space="preserve">    Resultatet motsvarar en nominell avkastning på 10,2 % av det totala fon</w:t>
      </w:r>
      <w:r w:rsidRPr="00130725">
        <w:t>d</w:t>
      </w:r>
      <w:r w:rsidRPr="00130725">
        <w:t xml:space="preserve">kapitalet. Räknas inflationen bort ger det en real avkastning under 1999 på 8,8 %. De senaste fem åren – dvs. perioden 1995–1999 vilket är den period som regeringen har som utgångspunkt i sin utvärdering av fondstyrelserna – har avkastningen för </w:t>
      </w:r>
      <w:r w:rsidRPr="00130725">
        <w:rPr>
          <w:b/>
        </w:rPr>
        <w:t>första–femte AP-fondstyrelserna</w:t>
      </w:r>
      <w:r w:rsidRPr="00130725">
        <w:t xml:space="preserve"> legat på i genomsnitt 11,8 % per år. Den reala avkastningen blev under samma period 11 % per år. </w:t>
      </w:r>
    </w:p>
    <w:p w:rsidR="001D40B6" w:rsidRPr="00130725" w:rsidRDefault="001D40B6">
      <w:r w:rsidRPr="00130725">
        <w:t xml:space="preserve">   Det marknadsvärderade resultatet för </w:t>
      </w:r>
      <w:r w:rsidRPr="00130725">
        <w:rPr>
          <w:b/>
        </w:rPr>
        <w:t>första–tredje fondstyrelserna</w:t>
      </w:r>
      <w:r w:rsidRPr="00130725">
        <w:t>, de kapitalmässigt största fonderna i AP-fondsystemet (se figur 1), blev 3,6 mi</w:t>
      </w:r>
      <w:r w:rsidRPr="00130725">
        <w:t>l</w:t>
      </w:r>
      <w:r w:rsidRPr="00130725">
        <w:t>jarder kronor under 1999, vilket motsvarar en avkastning på nominellt 0,6 % och realt – 0,6 % av fondkapitalet. Under utvärderingsperioden 1995–1999 har avkastningen i genomsnitt varit 9,2 % per år nominellt och 8,2 % realt</w:t>
      </w:r>
      <w:r w:rsidRPr="00130725">
        <w:rPr>
          <w:b/>
        </w:rPr>
        <w:t>. Fjärde fondstyrelsens</w:t>
      </w:r>
      <w:r w:rsidRPr="00130725">
        <w:t xml:space="preserve"> marknadsvärderade resultat för 1999 blev 58,4 milja</w:t>
      </w:r>
      <w:r w:rsidRPr="00130725">
        <w:t>r</w:t>
      </w:r>
      <w:r w:rsidRPr="00130725">
        <w:t>der kronor, vilket ger en nominell avkastning på 64,7 % och en real avkas</w:t>
      </w:r>
      <w:r w:rsidRPr="00130725">
        <w:t>t</w:t>
      </w:r>
      <w:r w:rsidRPr="00130725">
        <w:t>ning på 62,8 %. De senaste fe</w:t>
      </w:r>
      <w:r w:rsidRPr="00130725">
        <w:t xml:space="preserve">m åren har den nominella avkastningen varit drygt 30 %. Det marknadsvärderade resultatet för </w:t>
      </w:r>
      <w:r w:rsidRPr="00130725">
        <w:rPr>
          <w:b/>
        </w:rPr>
        <w:t>femte fondstyrelsen</w:t>
      </w:r>
      <w:r w:rsidRPr="00130725">
        <w:t xml:space="preserve"> blev i fjol 8,2 miljarder kronor. Det motsvarar en nominell avkastning på 53,1 % och en real avkastning på 51,3 %. Under den senaste femårsperioden har den femte fondstyrelsens kapitalförvaltning gett en nominell avkastning på i g</w:t>
      </w:r>
      <w:r w:rsidRPr="00130725">
        <w:t>e</w:t>
      </w:r>
      <w:r w:rsidRPr="00130725">
        <w:t>nomsnitt 30 % per år.  Resultatet för den sjätte fondstyrelsen blev 6,6 milja</w:t>
      </w:r>
      <w:r w:rsidRPr="00130725">
        <w:t>r</w:t>
      </w:r>
      <w:r w:rsidRPr="00130725">
        <w:t xml:space="preserve">der kronor under 1999. Det ger en nominell avkastning på 55,8 % och en real avkastning på </w:t>
      </w:r>
      <w:r w:rsidRPr="00130725">
        <w:t>54 %. Eftersom sjätte fondstyrelsen endast varit verksam sedan slutet av 1996 finns än så länge inga uppgifter om styrelsens resultat under de senaste fem åren.</w:t>
      </w:r>
    </w:p>
    <w:p w:rsidR="001D40B6" w:rsidRPr="00130725" w:rsidRDefault="001D40B6">
      <w:pPr>
        <w:pStyle w:val="Tabellochbildrubrik"/>
      </w:pPr>
      <w:r w:rsidRPr="00130725">
        <w:t xml:space="preserve">Figur 1. Storleken på fondstyrelserna 1999 </w:t>
      </w:r>
      <w:r w:rsidRPr="00130725">
        <w:br/>
        <w:t xml:space="preserve">                (fondkapital i miljarder kr</w:t>
      </w:r>
      <w:r w:rsidRPr="00130725">
        <w:t>o</w:t>
      </w:r>
      <w:r w:rsidRPr="00130725">
        <w:t>nor)</w:t>
      </w:r>
    </w:p>
    <w:p w:rsidR="001D40B6" w:rsidRPr="00130725" w:rsidRDefault="001D40B6"/>
    <w:p w:rsidR="001D40B6" w:rsidRPr="00130725" w:rsidRDefault="00130725">
      <w:pPr>
        <w:spacing w:line="240" w:lineRule="auto"/>
      </w:pPr>
      <w:r w:rsidRPr="00130725">
        <w:rPr>
          <w:noProof/>
        </w:rPr>
        <w:drawing>
          <wp:inline distT="0" distB="0" distL="0" distR="0">
            <wp:extent cx="3771900" cy="24491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r="1558"/>
                    <a:stretch>
                      <a:fillRect/>
                    </a:stretch>
                  </pic:blipFill>
                  <pic:spPr bwMode="auto">
                    <a:xfrm>
                      <a:off x="0" y="0"/>
                      <a:ext cx="3771900" cy="2449195"/>
                    </a:xfrm>
                    <a:prstGeom prst="rect">
                      <a:avLst/>
                    </a:prstGeom>
                    <a:noFill/>
                    <a:ln>
                      <a:noFill/>
                    </a:ln>
                  </pic:spPr>
                </pic:pic>
              </a:graphicData>
            </a:graphic>
          </wp:inline>
        </w:drawing>
      </w:r>
    </w:p>
    <w:p w:rsidR="001D40B6" w:rsidRPr="00130725" w:rsidRDefault="001D40B6">
      <w:r w:rsidRPr="00130725">
        <w:t>Som framgår av figur 1 är första till tredje fondstyrelserna de största fonderna med ett totalt fondkapital på drygt 557 miljarder kronor. Näst störst är fjärde fondstyrelsen med drygt 147 miljarder kronor, följt av femte fondstyrelsen med ett fondkapital på 23 miljarder kronor. Kapitalet i den sjätte fondstyre</w:t>
      </w:r>
      <w:r w:rsidRPr="00130725">
        <w:t>l</w:t>
      </w:r>
      <w:r w:rsidRPr="00130725">
        <w:t>sen uppgick i slutet av 1999 till knappt 19 miljarder kronor.</w:t>
      </w:r>
    </w:p>
    <w:p w:rsidR="001D40B6" w:rsidRPr="00130725" w:rsidRDefault="001D40B6">
      <w:pPr>
        <w:pStyle w:val="Normaltindrag"/>
      </w:pPr>
    </w:p>
    <w:p w:rsidR="001D40B6" w:rsidRPr="00130725" w:rsidRDefault="001D40B6">
      <w:r w:rsidRPr="00130725">
        <w:t>I tabell 1 sammanfattas regeringens bedömning och utvärdering av fondst</w:t>
      </w:r>
      <w:r w:rsidRPr="00130725">
        <w:t>y</w:t>
      </w:r>
      <w:r w:rsidRPr="00130725">
        <w:t>relsernas resultat, mål och placeringsinriktning under 1999.</w:t>
      </w:r>
    </w:p>
    <w:p w:rsidR="001D40B6" w:rsidRPr="00130725" w:rsidRDefault="001D40B6"/>
    <w:p w:rsidR="001D40B6" w:rsidRPr="00130725" w:rsidRDefault="001D40B6">
      <w:pPr>
        <w:pStyle w:val="Rubrik2"/>
        <w:rPr>
          <w:noProof w:val="0"/>
          <w:sz w:val="20"/>
        </w:rPr>
      </w:pPr>
    </w:p>
    <w:p w:rsidR="001D40B6" w:rsidRPr="00130725" w:rsidRDefault="001D40B6"/>
    <w:p w:rsidR="001D40B6" w:rsidRPr="00130725" w:rsidRDefault="001D40B6">
      <w:pPr>
        <w:pStyle w:val="Tabellochbildrubrik"/>
      </w:pPr>
    </w:p>
    <w:p w:rsidR="001D40B6" w:rsidRPr="00130725" w:rsidRDefault="001D40B6">
      <w:pPr>
        <w:pStyle w:val="Tabellochbildrubrik"/>
      </w:pPr>
      <w:r w:rsidRPr="00130725">
        <w:t>Tabell 1. Regeringens bedömning av fondstyrelsernas verksa</w:t>
      </w:r>
      <w:r w:rsidRPr="00130725">
        <w:t>m</w:t>
      </w:r>
      <w:r w:rsidRPr="00130725">
        <w:t>het</w:t>
      </w:r>
    </w:p>
    <w:p w:rsidR="001D40B6" w:rsidRPr="00130725" w:rsidRDefault="001D40B6"/>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977"/>
        <w:gridCol w:w="3260"/>
      </w:tblGrid>
      <w:tr w:rsidR="00000000" w:rsidRPr="00130725">
        <w:tblPrEx>
          <w:tblCellMar>
            <w:top w:w="0" w:type="dxa"/>
            <w:bottom w:w="0" w:type="dxa"/>
          </w:tblCellMar>
        </w:tblPrEx>
        <w:trPr>
          <w:trHeight w:val="487"/>
        </w:trPr>
        <w:tc>
          <w:tcPr>
            <w:tcW w:w="851" w:type="dxa"/>
          </w:tcPr>
          <w:p w:rsidR="001D40B6" w:rsidRPr="00130725" w:rsidRDefault="001D40B6">
            <w:pPr>
              <w:spacing w:line="200" w:lineRule="atLeast"/>
              <w:rPr>
                <w:sz w:val="16"/>
              </w:rPr>
            </w:pPr>
          </w:p>
        </w:tc>
        <w:tc>
          <w:tcPr>
            <w:tcW w:w="2977" w:type="dxa"/>
          </w:tcPr>
          <w:p w:rsidR="001D40B6" w:rsidRPr="00130725" w:rsidRDefault="001D40B6">
            <w:pPr>
              <w:spacing w:line="200" w:lineRule="atLeast"/>
              <w:rPr>
                <w:sz w:val="16"/>
              </w:rPr>
            </w:pPr>
            <w:r w:rsidRPr="00130725">
              <w:rPr>
                <w:sz w:val="16"/>
              </w:rPr>
              <w:t>Mål och inriktning av verksamheten</w:t>
            </w:r>
          </w:p>
        </w:tc>
        <w:tc>
          <w:tcPr>
            <w:tcW w:w="3260" w:type="dxa"/>
          </w:tcPr>
          <w:p w:rsidR="001D40B6" w:rsidRPr="00130725" w:rsidRDefault="001D40B6">
            <w:pPr>
              <w:spacing w:line="200" w:lineRule="atLeast"/>
              <w:rPr>
                <w:sz w:val="16"/>
              </w:rPr>
            </w:pPr>
            <w:r w:rsidRPr="00130725">
              <w:rPr>
                <w:sz w:val="16"/>
              </w:rPr>
              <w:t>Resultat av förvaltningen</w:t>
            </w:r>
          </w:p>
        </w:tc>
      </w:tr>
      <w:tr w:rsidR="00000000" w:rsidRPr="00130725">
        <w:tblPrEx>
          <w:tblCellMar>
            <w:top w:w="0" w:type="dxa"/>
            <w:bottom w:w="0" w:type="dxa"/>
          </w:tblCellMar>
        </w:tblPrEx>
        <w:trPr>
          <w:trHeight w:val="565"/>
        </w:trPr>
        <w:tc>
          <w:tcPr>
            <w:tcW w:w="851" w:type="dxa"/>
          </w:tcPr>
          <w:p w:rsidR="001D40B6" w:rsidRPr="00130725" w:rsidRDefault="001D40B6">
            <w:pPr>
              <w:spacing w:line="200" w:lineRule="atLeast"/>
              <w:rPr>
                <w:sz w:val="16"/>
              </w:rPr>
            </w:pPr>
            <w:r w:rsidRPr="00130725">
              <w:rPr>
                <w:b/>
                <w:sz w:val="16"/>
              </w:rPr>
              <w:t>Första–tredje fondst</w:t>
            </w:r>
            <w:r w:rsidRPr="00130725">
              <w:rPr>
                <w:b/>
                <w:sz w:val="16"/>
              </w:rPr>
              <w:t>y</w:t>
            </w:r>
            <w:r w:rsidRPr="00130725">
              <w:rPr>
                <w:b/>
                <w:sz w:val="16"/>
              </w:rPr>
              <w:t>relserna</w:t>
            </w:r>
          </w:p>
        </w:tc>
        <w:tc>
          <w:tcPr>
            <w:tcW w:w="2977" w:type="dxa"/>
          </w:tcPr>
          <w:p w:rsidR="001D40B6" w:rsidRPr="00130725" w:rsidRDefault="001D40B6">
            <w:pPr>
              <w:spacing w:line="200" w:lineRule="atLeast"/>
              <w:rPr>
                <w:sz w:val="16"/>
              </w:rPr>
            </w:pPr>
            <w:r w:rsidRPr="00130725">
              <w:rPr>
                <w:sz w:val="16"/>
              </w:rPr>
              <w:t>Målen för de olika delportföljerna är i stort sett bra formulerade. Målet för den totala portföljen är dock mindre bra. Målet är otydligt. Ett tydligt och investeringsbart mål för hela portföljens avkastning och risk bör tas fram. Regeringen delar styrelsernas syn att ökade placeringar i utländska tillgångar är fördelaktigt, men styrelsen bör precisera om man i förvaltningen av den utländska nominella portföljen avser att överträffa ett valutasäkrat eller ett ej valutasäkrat index. Regeringen vidh</w:t>
            </w:r>
            <w:r w:rsidRPr="00130725">
              <w:rPr>
                <w:sz w:val="16"/>
              </w:rPr>
              <w:t>åller sin tidigare kritik att riktmärket för den nominella räntebärande portföljen bör beräknas av en extern part.</w:t>
            </w:r>
          </w:p>
          <w:p w:rsidR="001D40B6" w:rsidRPr="00130725" w:rsidRDefault="001D40B6">
            <w:pPr>
              <w:spacing w:line="200" w:lineRule="atLeast"/>
              <w:rPr>
                <w:sz w:val="16"/>
              </w:rPr>
            </w:pPr>
          </w:p>
        </w:tc>
        <w:tc>
          <w:tcPr>
            <w:tcW w:w="3260" w:type="dxa"/>
          </w:tcPr>
          <w:p w:rsidR="001D40B6" w:rsidRPr="00130725" w:rsidRDefault="001D40B6">
            <w:pPr>
              <w:spacing w:line="200" w:lineRule="atLeast"/>
              <w:rPr>
                <w:sz w:val="16"/>
              </w:rPr>
            </w:pPr>
            <w:r w:rsidRPr="00130725">
              <w:rPr>
                <w:sz w:val="16"/>
              </w:rPr>
              <w:t>I fjol misslyckades styrelserna med att nå det kortsiktiga målet att realvärdesäkra fondkapit</w:t>
            </w:r>
            <w:r w:rsidRPr="00130725">
              <w:rPr>
                <w:sz w:val="16"/>
              </w:rPr>
              <w:t>a</w:t>
            </w:r>
            <w:r w:rsidRPr="00130725">
              <w:rPr>
                <w:sz w:val="16"/>
              </w:rPr>
              <w:t>let. Sett över en femårsperiod har dock målet uppnåtts. Förvaltningen av fastigheter har gett ett gott  resultat de senaste fem åren. Utvärd</w:t>
            </w:r>
            <w:r w:rsidRPr="00130725">
              <w:rPr>
                <w:sz w:val="16"/>
              </w:rPr>
              <w:t>e</w:t>
            </w:r>
            <w:r w:rsidRPr="00130725">
              <w:rPr>
                <w:sz w:val="16"/>
              </w:rPr>
              <w:t>ringen av den utländska ränteportföljen försv</w:t>
            </w:r>
            <w:r w:rsidRPr="00130725">
              <w:rPr>
                <w:sz w:val="16"/>
              </w:rPr>
              <w:t>å</w:t>
            </w:r>
            <w:r w:rsidRPr="00130725">
              <w:rPr>
                <w:sz w:val="16"/>
              </w:rPr>
              <w:t>ras av att andelen valutasäkring ändrats. Målet att förvaltningen av svenska realobligationer skall överträffa ett realt marknadsindex har inte uppnåtts under den period detta varit möjligt att utvärd</w:t>
            </w:r>
            <w:r w:rsidRPr="00130725">
              <w:rPr>
                <w:sz w:val="16"/>
              </w:rPr>
              <w:t>e</w:t>
            </w:r>
            <w:r w:rsidRPr="00130725">
              <w:rPr>
                <w:sz w:val="16"/>
              </w:rPr>
              <w:t xml:space="preserve">ra. </w:t>
            </w:r>
          </w:p>
          <w:p w:rsidR="001D40B6" w:rsidRPr="00130725" w:rsidRDefault="001D40B6">
            <w:pPr>
              <w:spacing w:line="200" w:lineRule="atLeast"/>
              <w:rPr>
                <w:sz w:val="16"/>
              </w:rPr>
            </w:pPr>
          </w:p>
        </w:tc>
      </w:tr>
      <w:tr w:rsidR="00000000" w:rsidRPr="00130725">
        <w:tblPrEx>
          <w:tblCellMar>
            <w:top w:w="0" w:type="dxa"/>
            <w:bottom w:w="0" w:type="dxa"/>
          </w:tblCellMar>
        </w:tblPrEx>
        <w:trPr>
          <w:trHeight w:val="545"/>
        </w:trPr>
        <w:tc>
          <w:tcPr>
            <w:tcW w:w="851" w:type="dxa"/>
          </w:tcPr>
          <w:p w:rsidR="001D40B6" w:rsidRPr="00130725" w:rsidRDefault="001D40B6">
            <w:pPr>
              <w:spacing w:line="200" w:lineRule="atLeast"/>
              <w:rPr>
                <w:sz w:val="16"/>
              </w:rPr>
            </w:pPr>
            <w:r w:rsidRPr="00130725">
              <w:rPr>
                <w:b/>
                <w:sz w:val="16"/>
              </w:rPr>
              <w:t>Fjärde och femte fondst</w:t>
            </w:r>
            <w:r w:rsidRPr="00130725">
              <w:rPr>
                <w:b/>
                <w:sz w:val="16"/>
              </w:rPr>
              <w:t>y</w:t>
            </w:r>
            <w:r w:rsidRPr="00130725">
              <w:rPr>
                <w:b/>
                <w:sz w:val="16"/>
              </w:rPr>
              <w:t>relserna</w:t>
            </w:r>
          </w:p>
        </w:tc>
        <w:tc>
          <w:tcPr>
            <w:tcW w:w="2977" w:type="dxa"/>
          </w:tcPr>
          <w:p w:rsidR="001D40B6" w:rsidRPr="00130725" w:rsidRDefault="001D40B6">
            <w:pPr>
              <w:spacing w:line="200" w:lineRule="atLeast"/>
              <w:rPr>
                <w:sz w:val="16"/>
              </w:rPr>
            </w:pPr>
            <w:r w:rsidRPr="00130725">
              <w:rPr>
                <w:sz w:val="16"/>
              </w:rPr>
              <w:t>Regeringen noterar att både fjärde och femte fondens målformuleringar är väl avvägda. Det gör att förvaltningen kan utvärderas på ett bra sätt. Regeringen ställer sig däremot frågande till femte fondens val att enbart exponera den utländska portföljen mot Europa. En sådan snäv tolkning av mandatet för utlandsplaceringar bör, enligt regeringen, bygga på en tydlig strategi. En sådan saknar emellertid femte fondstyre</w:t>
            </w:r>
            <w:r w:rsidRPr="00130725">
              <w:rPr>
                <w:sz w:val="16"/>
              </w:rPr>
              <w:t>l</w:t>
            </w:r>
            <w:r w:rsidRPr="00130725">
              <w:rPr>
                <w:sz w:val="16"/>
              </w:rPr>
              <w:t>sen.</w:t>
            </w:r>
          </w:p>
        </w:tc>
        <w:tc>
          <w:tcPr>
            <w:tcW w:w="3260" w:type="dxa"/>
          </w:tcPr>
          <w:p w:rsidR="001D40B6" w:rsidRPr="00130725" w:rsidRDefault="001D40B6">
            <w:pPr>
              <w:spacing w:line="200" w:lineRule="atLeast"/>
              <w:rPr>
                <w:sz w:val="16"/>
              </w:rPr>
            </w:pPr>
            <w:r w:rsidRPr="00130725">
              <w:rPr>
                <w:sz w:val="16"/>
              </w:rPr>
              <w:t>Vare sig fjärde eller femte fonden har de senaste fem åren nått de uppsatta målen för den totala förvaltningen. Fjärde fondens avkastning har de gångna fem åren varit 30,7 % per år, medan jämförelseindex avkastat 33,1 % per år. Femte fondens avkastning har varit 30 % per år medan jämförelseindex gett 32,5 % per år. Det svagare resultatet beror främst på dålig avkastning 1998 samtidigt som den tidigare höga likvidi</w:t>
            </w:r>
            <w:r w:rsidRPr="00130725">
              <w:rPr>
                <w:sz w:val="16"/>
              </w:rPr>
              <w:softHyphen/>
              <w:t>tetsandelen i portföljen gjort det svårt att nå målen. Under 1999 har fjärde fonden nått målet att slå ett kombinerat index. Resultatet för den femte fonden var i fjol sämre än jämförelsei</w:t>
            </w:r>
            <w:r w:rsidRPr="00130725">
              <w:rPr>
                <w:sz w:val="16"/>
              </w:rPr>
              <w:t>n</w:t>
            </w:r>
            <w:r w:rsidRPr="00130725">
              <w:rPr>
                <w:sz w:val="16"/>
              </w:rPr>
              <w:t xml:space="preserve">dex. </w:t>
            </w:r>
          </w:p>
          <w:p w:rsidR="001D40B6" w:rsidRPr="00130725" w:rsidRDefault="001D40B6">
            <w:pPr>
              <w:spacing w:line="200" w:lineRule="atLeast"/>
              <w:rPr>
                <w:sz w:val="16"/>
              </w:rPr>
            </w:pPr>
            <w:r w:rsidRPr="00130725">
              <w:rPr>
                <w:sz w:val="16"/>
              </w:rPr>
              <w:t xml:space="preserve"> </w:t>
            </w:r>
          </w:p>
        </w:tc>
      </w:tr>
      <w:tr w:rsidR="00000000" w:rsidRPr="00130725">
        <w:tblPrEx>
          <w:tblCellMar>
            <w:top w:w="0" w:type="dxa"/>
            <w:bottom w:w="0" w:type="dxa"/>
          </w:tblCellMar>
        </w:tblPrEx>
        <w:trPr>
          <w:trHeight w:val="694"/>
        </w:trPr>
        <w:tc>
          <w:tcPr>
            <w:tcW w:w="851" w:type="dxa"/>
          </w:tcPr>
          <w:p w:rsidR="001D40B6" w:rsidRPr="00130725" w:rsidRDefault="001D40B6">
            <w:pPr>
              <w:spacing w:line="200" w:lineRule="atLeast"/>
              <w:rPr>
                <w:sz w:val="16"/>
              </w:rPr>
            </w:pPr>
            <w:r w:rsidRPr="00130725">
              <w:rPr>
                <w:b/>
                <w:sz w:val="16"/>
              </w:rPr>
              <w:t>Sjätte fondst</w:t>
            </w:r>
            <w:r w:rsidRPr="00130725">
              <w:rPr>
                <w:b/>
                <w:sz w:val="16"/>
              </w:rPr>
              <w:t>y</w:t>
            </w:r>
            <w:r w:rsidRPr="00130725">
              <w:rPr>
                <w:b/>
                <w:sz w:val="16"/>
              </w:rPr>
              <w:t>relsen</w:t>
            </w:r>
          </w:p>
        </w:tc>
        <w:tc>
          <w:tcPr>
            <w:tcW w:w="2977" w:type="dxa"/>
          </w:tcPr>
          <w:p w:rsidR="001D40B6" w:rsidRPr="00130725" w:rsidRDefault="001D40B6">
            <w:pPr>
              <w:spacing w:line="200" w:lineRule="atLeast"/>
              <w:rPr>
                <w:sz w:val="16"/>
              </w:rPr>
            </w:pPr>
            <w:r w:rsidRPr="00130725">
              <w:rPr>
                <w:sz w:val="16"/>
              </w:rPr>
              <w:t>Målen är i huvudsak välgrundade och möjliga att följa upp. Målet för totalpor</w:t>
            </w:r>
            <w:r w:rsidRPr="00130725">
              <w:rPr>
                <w:sz w:val="16"/>
              </w:rPr>
              <w:t>t</w:t>
            </w:r>
            <w:r w:rsidRPr="00130725">
              <w:rPr>
                <w:sz w:val="16"/>
              </w:rPr>
              <w:t>följen att slå det s.k. FDAX-index är ri</w:t>
            </w:r>
            <w:r w:rsidRPr="00130725">
              <w:rPr>
                <w:sz w:val="16"/>
              </w:rPr>
              <w:t>m</w:t>
            </w:r>
            <w:r w:rsidRPr="00130725">
              <w:rPr>
                <w:sz w:val="16"/>
              </w:rPr>
              <w:t>ligt. Enligt regeringen är dock målet för lågt satt. Målet bör vara att överträffa FDAX med 0,5–1 proce</w:t>
            </w:r>
            <w:r w:rsidRPr="00130725">
              <w:rPr>
                <w:sz w:val="16"/>
              </w:rPr>
              <w:t>n</w:t>
            </w:r>
            <w:r w:rsidRPr="00130725">
              <w:rPr>
                <w:sz w:val="16"/>
              </w:rPr>
              <w:t xml:space="preserve">tenhet per år. </w:t>
            </w:r>
          </w:p>
        </w:tc>
        <w:tc>
          <w:tcPr>
            <w:tcW w:w="3260" w:type="dxa"/>
          </w:tcPr>
          <w:p w:rsidR="001D40B6" w:rsidRPr="00130725" w:rsidRDefault="001D40B6">
            <w:pPr>
              <w:spacing w:line="200" w:lineRule="atLeast"/>
              <w:rPr>
                <w:sz w:val="16"/>
              </w:rPr>
            </w:pPr>
            <w:r w:rsidRPr="00130725">
              <w:rPr>
                <w:sz w:val="16"/>
              </w:rPr>
              <w:t>Eftersom verksamheten pågått under kort tid är det svårt att utvärdera resultatet. Det är dock positivt att portföljen med onoterade innehav har ökat. Däremot har fonden inte utnyttjat de riskspridningsmöjligheter som finns i att inve</w:t>
            </w:r>
            <w:r w:rsidRPr="00130725">
              <w:rPr>
                <w:sz w:val="16"/>
              </w:rPr>
              <w:t>s</w:t>
            </w:r>
            <w:r w:rsidRPr="00130725">
              <w:rPr>
                <w:sz w:val="16"/>
              </w:rPr>
              <w:t>tera i företag i olika mognadsfaser. Fonden är överviktad i företag som befinner sig i expa</w:t>
            </w:r>
            <w:r w:rsidRPr="00130725">
              <w:rPr>
                <w:sz w:val="16"/>
              </w:rPr>
              <w:t>n</w:t>
            </w:r>
            <w:r w:rsidRPr="00130725">
              <w:rPr>
                <w:sz w:val="16"/>
              </w:rPr>
              <w:t>sionsfasen. Portföljerna bör renodlas. Samma</w:t>
            </w:r>
            <w:r w:rsidRPr="00130725">
              <w:rPr>
                <w:sz w:val="16"/>
              </w:rPr>
              <w:t>n</w:t>
            </w:r>
            <w:r w:rsidRPr="00130725">
              <w:rPr>
                <w:sz w:val="16"/>
              </w:rPr>
              <w:t>blandningen av noterade och onoterade innehav gör att det blir svårt att utvärdera resultatet samt svårare att nå avkastningsmålet för den onoter</w:t>
            </w:r>
            <w:r w:rsidRPr="00130725">
              <w:rPr>
                <w:sz w:val="16"/>
              </w:rPr>
              <w:t>a</w:t>
            </w:r>
            <w:r w:rsidRPr="00130725">
              <w:rPr>
                <w:sz w:val="16"/>
              </w:rPr>
              <w:t>de portfö</w:t>
            </w:r>
            <w:r w:rsidRPr="00130725">
              <w:rPr>
                <w:sz w:val="16"/>
              </w:rPr>
              <w:t>l</w:t>
            </w:r>
            <w:r w:rsidRPr="00130725">
              <w:rPr>
                <w:sz w:val="16"/>
              </w:rPr>
              <w:t>jen.</w:t>
            </w:r>
          </w:p>
          <w:p w:rsidR="001D40B6" w:rsidRPr="00130725" w:rsidRDefault="001D40B6">
            <w:pPr>
              <w:spacing w:line="200" w:lineRule="atLeast"/>
              <w:rPr>
                <w:sz w:val="16"/>
              </w:rPr>
            </w:pPr>
          </w:p>
        </w:tc>
      </w:tr>
    </w:tbl>
    <w:p w:rsidR="001D40B6" w:rsidRPr="00130725" w:rsidRDefault="001D40B6">
      <w:pPr>
        <w:pStyle w:val="R4"/>
        <w:spacing w:before="375" w:after="0"/>
        <w:rPr>
          <w:noProof w:val="0"/>
        </w:rPr>
      </w:pPr>
      <w:r w:rsidRPr="00130725">
        <w:rPr>
          <w:noProof w:val="0"/>
        </w:rPr>
        <w:t>Utskottets ställningstagande</w:t>
      </w:r>
    </w:p>
    <w:p w:rsidR="001D40B6" w:rsidRPr="00130725" w:rsidRDefault="001D40B6">
      <w:pPr>
        <w:spacing w:before="60"/>
      </w:pPr>
      <w:r w:rsidRPr="00130725">
        <w:t>Utskottet har granskat regeringens skrivelse 1999/2000:132 Redovisning av Allmänna pensionsfondens verksamhet 1999 och föreslår att skrivelsen läggs till handlin</w:t>
      </w:r>
      <w:r w:rsidRPr="00130725">
        <w:t>g</w:t>
      </w:r>
      <w:r w:rsidRPr="00130725">
        <w:t>arna.</w:t>
      </w:r>
    </w:p>
    <w:p w:rsidR="001D40B6" w:rsidRPr="00130725" w:rsidRDefault="001D40B6">
      <w:pPr>
        <w:pStyle w:val="Normaltindrag"/>
      </w:pPr>
    </w:p>
    <w:p w:rsidR="001D40B6" w:rsidRPr="00130725" w:rsidRDefault="001D40B6">
      <w:pPr>
        <w:pStyle w:val="Tryckort"/>
        <w:framePr w:wrap="around" w:vAnchor="page" w:hAnchor="page" w:x="1297" w:y="12961"/>
        <w:jc w:val="left"/>
      </w:pPr>
      <w:r w:rsidRPr="00130725">
        <w:t>Elanders Gotab, Stockholm  2000</w:t>
      </w:r>
    </w:p>
    <w:p w:rsidR="001D40B6" w:rsidRPr="00130725" w:rsidRDefault="001D40B6">
      <w:pPr>
        <w:pStyle w:val="Normaltindrag"/>
        <w:spacing w:line="20" w:lineRule="exact"/>
        <w:ind w:firstLine="0"/>
      </w:pPr>
    </w:p>
    <w:sectPr w:rsidR="001D40B6" w:rsidRPr="0013072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0B6" w:rsidRPr="00130725" w:rsidRDefault="001D40B6">
      <w:pPr>
        <w:spacing w:line="240" w:lineRule="auto"/>
      </w:pPr>
      <w:r w:rsidRPr="00130725">
        <w:separator/>
      </w:r>
    </w:p>
  </w:endnote>
  <w:endnote w:type="continuationSeparator" w:id="0">
    <w:p w:rsidR="001D40B6" w:rsidRPr="00130725" w:rsidRDefault="001D40B6">
      <w:pPr>
        <w:spacing w:line="240" w:lineRule="auto"/>
      </w:pPr>
      <w:r w:rsidRPr="001307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fotV"/>
      <w:framePr w:w="8732" w:h="284" w:hRule="exact" w:hSpace="0" w:vSpace="0" w:wrap="around" w:xAlign="inside" w:y="13042" w:anchorLock="0"/>
    </w:pPr>
    <w:r w:rsidRPr="00130725">
      <w:fldChar w:fldCharType="begin" w:fldLock="1"/>
    </w:r>
    <w:r w:rsidRPr="00130725">
      <w:instrText xml:space="preserve"> P</w:instrText>
    </w:r>
    <w:r w:rsidRPr="00130725">
      <w:instrText>A</w:instrText>
    </w:r>
    <w:r w:rsidRPr="00130725">
      <w:instrText xml:space="preserve">GE </w:instrText>
    </w:r>
    <w:r w:rsidRPr="00130725">
      <w:fldChar w:fldCharType="separate"/>
    </w:r>
    <w:r w:rsidRPr="00130725">
      <w:t>2</w:t>
    </w:r>
    <w:r w:rsidRPr="00130725">
      <w:fldChar w:fldCharType="end"/>
    </w:r>
  </w:p>
  <w:p w:rsidR="001D40B6" w:rsidRPr="00130725" w:rsidRDefault="001D40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fotH"/>
      <w:framePr w:w="8732" w:h="284" w:hRule="exact" w:hSpace="0" w:vSpace="0" w:wrap="around" w:xAlign="inside" w:y="13042" w:anchorLock="0"/>
    </w:pPr>
    <w:r w:rsidRPr="00130725">
      <w:fldChar w:fldCharType="begin" w:fldLock="1"/>
    </w:r>
    <w:r w:rsidRPr="00130725">
      <w:instrText xml:space="preserve"> P</w:instrText>
    </w:r>
    <w:r w:rsidRPr="00130725">
      <w:instrText>A</w:instrText>
    </w:r>
    <w:r w:rsidRPr="00130725">
      <w:instrText xml:space="preserve">GE </w:instrText>
    </w:r>
    <w:r w:rsidRPr="00130725">
      <w:fldChar w:fldCharType="separate"/>
    </w:r>
    <w:r w:rsidRPr="00130725">
      <w:t>3</w:t>
    </w:r>
    <w:r w:rsidRPr="00130725">
      <w:fldChar w:fldCharType="end"/>
    </w:r>
  </w:p>
  <w:p w:rsidR="001D40B6" w:rsidRPr="00130725" w:rsidRDefault="001D40B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fotV"/>
      <w:framePr w:w="8732" w:h="284" w:hRule="exact" w:hSpace="0" w:vSpace="0" w:wrap="around" w:xAlign="inside" w:y="13042" w:anchorLock="0"/>
    </w:pPr>
    <w:r w:rsidRPr="00130725">
      <w:fldChar w:fldCharType="begin" w:fldLock="1"/>
    </w:r>
    <w:r w:rsidRPr="00130725">
      <w:instrText xml:space="preserve"> if </w:instrText>
    </w:r>
    <w:r w:rsidRPr="00130725">
      <w:fldChar w:fldCharType="begin" w:fldLock="1"/>
    </w:r>
    <w:r w:rsidRPr="00130725">
      <w:instrText xml:space="preserve"> = </w:instrText>
    </w:r>
    <w:r w:rsidRPr="00130725">
      <w:fldChar w:fldCharType="begin" w:fldLock="1"/>
    </w:r>
    <w:r w:rsidRPr="00130725">
      <w:instrText xml:space="preserve"> = </w:instrText>
    </w:r>
    <w:r w:rsidRPr="00130725">
      <w:fldChar w:fldCharType="begin" w:fldLock="1"/>
    </w:r>
    <w:r w:rsidRPr="00130725">
      <w:instrText xml:space="preserve"> page</w:instrText>
    </w:r>
    <w:r w:rsidRPr="00130725">
      <w:fldChar w:fldCharType="separate"/>
    </w:r>
    <w:r w:rsidR="00130725">
      <w:rPr>
        <w:noProof/>
      </w:rPr>
      <w:instrText>1</w:instrText>
    </w:r>
    <w:r w:rsidRPr="00130725">
      <w:fldChar w:fldCharType="end"/>
    </w:r>
    <w:r w:rsidRPr="00130725">
      <w:instrText xml:space="preserve">/2 </w:instrText>
    </w:r>
    <w:r w:rsidRPr="00130725">
      <w:fldChar w:fldCharType="separate"/>
    </w:r>
    <w:r w:rsidR="00130725">
      <w:rPr>
        <w:noProof/>
      </w:rPr>
      <w:instrText>0,5</w:instrText>
    </w:r>
    <w:r w:rsidRPr="00130725">
      <w:fldChar w:fldCharType="end"/>
    </w:r>
    <w:r w:rsidRPr="00130725">
      <w:instrText xml:space="preserve"> - </w:instrText>
    </w:r>
    <w:r w:rsidRPr="00130725">
      <w:fldChar w:fldCharType="begin" w:fldLock="1"/>
    </w:r>
    <w:r w:rsidRPr="00130725">
      <w:instrText xml:space="preserve"> = int(</w:instrText>
    </w:r>
    <w:r w:rsidRPr="00130725">
      <w:fldChar w:fldCharType="begin" w:fldLock="1"/>
    </w:r>
    <w:r w:rsidRPr="00130725">
      <w:instrText xml:space="preserve"> page</w:instrText>
    </w:r>
    <w:r w:rsidRPr="00130725">
      <w:fldChar w:fldCharType="separate"/>
    </w:r>
    <w:r w:rsidR="00130725">
      <w:rPr>
        <w:noProof/>
      </w:rPr>
      <w:instrText>1</w:instrText>
    </w:r>
    <w:r w:rsidRPr="00130725">
      <w:fldChar w:fldCharType="end"/>
    </w:r>
    <w:r w:rsidRPr="00130725">
      <w:instrText xml:space="preserve">/2) </w:instrText>
    </w:r>
    <w:r w:rsidRPr="00130725">
      <w:fldChar w:fldCharType="separate"/>
    </w:r>
    <w:r w:rsidR="00130725">
      <w:rPr>
        <w:noProof/>
      </w:rPr>
      <w:instrText>0</w:instrText>
    </w:r>
    <w:r w:rsidRPr="00130725">
      <w:fldChar w:fldCharType="end"/>
    </w:r>
    <w:r w:rsidRPr="00130725">
      <w:fldChar w:fldCharType="separate"/>
    </w:r>
    <w:r w:rsidR="00130725">
      <w:rPr>
        <w:noProof/>
      </w:rPr>
      <w:instrText>0,5</w:instrText>
    </w:r>
    <w:r w:rsidRPr="00130725">
      <w:fldChar w:fldCharType="end"/>
    </w:r>
    <w:r w:rsidRPr="00130725">
      <w:instrText xml:space="preserve"> = 0 "</w:instrText>
    </w:r>
    <w:r w:rsidRPr="00130725">
      <w:fldChar w:fldCharType="begin" w:fldLock="1"/>
    </w:r>
    <w:r w:rsidRPr="00130725">
      <w:instrText xml:space="preserve"> P</w:instrText>
    </w:r>
    <w:r w:rsidRPr="00130725">
      <w:instrText>A</w:instrText>
    </w:r>
    <w:r w:rsidRPr="00130725">
      <w:instrText xml:space="preserve">GE </w:instrText>
    </w:r>
    <w:r w:rsidRPr="00130725">
      <w:fldChar w:fldCharType="separate"/>
    </w:r>
    <w:r w:rsidRPr="00130725">
      <w:instrText>2</w:instrText>
    </w:r>
    <w:r w:rsidRPr="00130725">
      <w:fldChar w:fldCharType="end"/>
    </w:r>
  </w:p>
  <w:p w:rsidR="001D40B6" w:rsidRPr="00130725" w:rsidRDefault="001D40B6">
    <w:pPr>
      <w:pStyle w:val="SidfotH"/>
      <w:framePr w:w="8732" w:h="284" w:hRule="exact" w:hSpace="0" w:vSpace="0" w:wrap="around" w:xAlign="inside" w:y="13042" w:anchorLock="0"/>
    </w:pPr>
    <w:r w:rsidRPr="00130725">
      <w:instrText>""</w:instrText>
    </w:r>
    <w:r w:rsidRPr="00130725">
      <w:fldChar w:fldCharType="begin" w:fldLock="1"/>
    </w:r>
    <w:r w:rsidRPr="00130725">
      <w:instrText xml:space="preserve"> P</w:instrText>
    </w:r>
    <w:r w:rsidRPr="00130725">
      <w:instrText>A</w:instrText>
    </w:r>
    <w:r w:rsidRPr="00130725">
      <w:instrText xml:space="preserve">GE </w:instrText>
    </w:r>
    <w:r w:rsidRPr="00130725">
      <w:fldChar w:fldCharType="separate"/>
    </w:r>
    <w:r w:rsidR="00130725">
      <w:rPr>
        <w:noProof/>
      </w:rPr>
      <w:instrText>1</w:instrText>
    </w:r>
    <w:r w:rsidRPr="00130725">
      <w:fldChar w:fldCharType="end"/>
    </w:r>
    <w:r w:rsidRPr="00130725">
      <w:instrText>"</w:instrText>
    </w:r>
    <w:r w:rsidRPr="00130725">
      <w:fldChar w:fldCharType="separate"/>
    </w:r>
    <w:r w:rsidR="00130725">
      <w:rPr>
        <w:noProof/>
      </w:rPr>
      <w:t>1</w:t>
    </w:r>
    <w:r w:rsidRPr="00130725">
      <w:fldChar w:fldCharType="end"/>
    </w:r>
  </w:p>
  <w:p w:rsidR="001D40B6" w:rsidRPr="00130725" w:rsidRDefault="001D40B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fotV"/>
      <w:framePr w:w="8732" w:h="284" w:hRule="exact" w:hSpace="0" w:vSpace="0" w:wrap="around" w:xAlign="inside" w:y="13042" w:anchorLock="0"/>
    </w:pPr>
    <w:r w:rsidRPr="00130725">
      <w:fldChar w:fldCharType="begin" w:fldLock="1"/>
    </w:r>
    <w:r w:rsidRPr="00130725">
      <w:instrText xml:space="preserve"> P</w:instrText>
    </w:r>
    <w:r w:rsidRPr="00130725">
      <w:instrText>A</w:instrText>
    </w:r>
    <w:r w:rsidRPr="00130725">
      <w:instrText xml:space="preserve">GE </w:instrText>
    </w:r>
    <w:r w:rsidRPr="00130725">
      <w:fldChar w:fldCharType="separate"/>
    </w:r>
    <w:r w:rsidRPr="00130725">
      <w:t>2</w:t>
    </w:r>
    <w:r w:rsidRPr="00130725">
      <w:fldChar w:fldCharType="end"/>
    </w:r>
  </w:p>
  <w:p w:rsidR="001D40B6" w:rsidRPr="00130725" w:rsidRDefault="001D40B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fotH"/>
      <w:framePr w:w="8732" w:h="284" w:hRule="exact" w:hSpace="0" w:vSpace="0" w:wrap="around" w:xAlign="inside" w:y="13042" w:anchorLock="0"/>
    </w:pPr>
    <w:r w:rsidRPr="00130725">
      <w:fldChar w:fldCharType="begin" w:fldLock="1"/>
    </w:r>
    <w:r w:rsidRPr="00130725">
      <w:instrText xml:space="preserve"> P</w:instrText>
    </w:r>
    <w:r w:rsidRPr="00130725">
      <w:instrText>A</w:instrText>
    </w:r>
    <w:r w:rsidRPr="00130725">
      <w:instrText xml:space="preserve">GE </w:instrText>
    </w:r>
    <w:r w:rsidRPr="00130725">
      <w:fldChar w:fldCharType="separate"/>
    </w:r>
    <w:r w:rsidRPr="00130725">
      <w:t>3</w:t>
    </w:r>
    <w:r w:rsidRPr="00130725">
      <w:fldChar w:fldCharType="end"/>
    </w:r>
  </w:p>
  <w:p w:rsidR="001D40B6" w:rsidRPr="00130725" w:rsidRDefault="001D40B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fotV"/>
      <w:framePr w:w="8732" w:h="284" w:hRule="exact" w:hSpace="0" w:vSpace="0" w:wrap="around" w:xAlign="inside" w:y="13042" w:anchorLock="0"/>
    </w:pPr>
    <w:r w:rsidRPr="00130725">
      <w:fldChar w:fldCharType="begin" w:fldLock="1"/>
    </w:r>
    <w:r w:rsidRPr="00130725">
      <w:instrText xml:space="preserve"> if </w:instrText>
    </w:r>
    <w:r w:rsidRPr="00130725">
      <w:fldChar w:fldCharType="begin" w:fldLock="1"/>
    </w:r>
    <w:r w:rsidRPr="00130725">
      <w:instrText xml:space="preserve"> = </w:instrText>
    </w:r>
    <w:r w:rsidRPr="00130725">
      <w:fldChar w:fldCharType="begin" w:fldLock="1"/>
    </w:r>
    <w:r w:rsidRPr="00130725">
      <w:instrText xml:space="preserve"> = </w:instrText>
    </w:r>
    <w:r w:rsidRPr="00130725">
      <w:fldChar w:fldCharType="begin" w:fldLock="1"/>
    </w:r>
    <w:r w:rsidRPr="00130725">
      <w:instrText xml:space="preserve"> page</w:instrText>
    </w:r>
    <w:r w:rsidRPr="00130725">
      <w:fldChar w:fldCharType="separate"/>
    </w:r>
    <w:r w:rsidRPr="00130725">
      <w:instrText>2</w:instrText>
    </w:r>
    <w:r w:rsidRPr="00130725">
      <w:fldChar w:fldCharType="end"/>
    </w:r>
    <w:r w:rsidRPr="00130725">
      <w:instrText xml:space="preserve">/2 </w:instrText>
    </w:r>
    <w:r w:rsidRPr="00130725">
      <w:fldChar w:fldCharType="separate"/>
    </w:r>
    <w:r w:rsidRPr="00130725">
      <w:instrText>1</w:instrText>
    </w:r>
    <w:r w:rsidRPr="00130725">
      <w:fldChar w:fldCharType="end"/>
    </w:r>
    <w:r w:rsidRPr="00130725">
      <w:instrText xml:space="preserve"> - </w:instrText>
    </w:r>
    <w:r w:rsidRPr="00130725">
      <w:fldChar w:fldCharType="begin" w:fldLock="1"/>
    </w:r>
    <w:r w:rsidRPr="00130725">
      <w:instrText xml:space="preserve"> = int(</w:instrText>
    </w:r>
    <w:r w:rsidRPr="00130725">
      <w:fldChar w:fldCharType="begin" w:fldLock="1"/>
    </w:r>
    <w:r w:rsidRPr="00130725">
      <w:instrText xml:space="preserve"> page</w:instrText>
    </w:r>
    <w:r w:rsidRPr="00130725">
      <w:fldChar w:fldCharType="separate"/>
    </w:r>
    <w:r w:rsidRPr="00130725">
      <w:instrText>2</w:instrText>
    </w:r>
    <w:r w:rsidRPr="00130725">
      <w:fldChar w:fldCharType="end"/>
    </w:r>
    <w:r w:rsidRPr="00130725">
      <w:instrText xml:space="preserve">/2) </w:instrText>
    </w:r>
    <w:r w:rsidRPr="00130725">
      <w:fldChar w:fldCharType="separate"/>
    </w:r>
    <w:r w:rsidRPr="00130725">
      <w:instrText>1</w:instrText>
    </w:r>
    <w:r w:rsidRPr="00130725">
      <w:fldChar w:fldCharType="end"/>
    </w:r>
    <w:r w:rsidRPr="00130725">
      <w:fldChar w:fldCharType="separate"/>
    </w:r>
    <w:r w:rsidRPr="00130725">
      <w:instrText>0</w:instrText>
    </w:r>
    <w:r w:rsidRPr="00130725">
      <w:fldChar w:fldCharType="end"/>
    </w:r>
    <w:r w:rsidRPr="00130725">
      <w:instrText xml:space="preserve"> = 0 "</w:instrText>
    </w:r>
    <w:r w:rsidRPr="00130725">
      <w:fldChar w:fldCharType="begin" w:fldLock="1"/>
    </w:r>
    <w:r w:rsidRPr="00130725">
      <w:instrText xml:space="preserve"> P</w:instrText>
    </w:r>
    <w:r w:rsidRPr="00130725">
      <w:instrText>A</w:instrText>
    </w:r>
    <w:r w:rsidRPr="00130725">
      <w:instrText xml:space="preserve">GE </w:instrText>
    </w:r>
    <w:r w:rsidRPr="00130725">
      <w:fldChar w:fldCharType="separate"/>
    </w:r>
    <w:r w:rsidRPr="00130725">
      <w:instrText>2</w:instrText>
    </w:r>
    <w:r w:rsidRPr="00130725">
      <w:fldChar w:fldCharType="end"/>
    </w:r>
  </w:p>
  <w:p w:rsidR="001D40B6" w:rsidRPr="00130725" w:rsidRDefault="001D40B6">
    <w:pPr>
      <w:pStyle w:val="SidfotV"/>
      <w:framePr w:w="8732" w:h="284" w:hRule="exact" w:hSpace="0" w:vSpace="0" w:wrap="around" w:xAlign="inside" w:y="13042" w:anchorLock="0"/>
    </w:pPr>
    <w:r w:rsidRPr="00130725">
      <w:instrText>""</w:instrText>
    </w:r>
    <w:r w:rsidRPr="00130725">
      <w:fldChar w:fldCharType="begin" w:fldLock="1"/>
    </w:r>
    <w:r w:rsidRPr="00130725">
      <w:instrText xml:space="preserve"> P</w:instrText>
    </w:r>
    <w:r w:rsidRPr="00130725">
      <w:instrText>A</w:instrText>
    </w:r>
    <w:r w:rsidRPr="00130725">
      <w:instrText xml:space="preserve">GE </w:instrText>
    </w:r>
    <w:r w:rsidRPr="00130725">
      <w:fldChar w:fldCharType="separate"/>
    </w:r>
    <w:r w:rsidRPr="00130725">
      <w:instrText>3</w:instrText>
    </w:r>
    <w:r w:rsidRPr="00130725">
      <w:fldChar w:fldCharType="end"/>
    </w:r>
    <w:r w:rsidRPr="00130725">
      <w:instrText>"</w:instrText>
    </w:r>
    <w:r w:rsidRPr="00130725">
      <w:fldChar w:fldCharType="separate"/>
    </w:r>
    <w:r w:rsidRPr="00130725">
      <w:fldChar w:fldCharType="begin" w:fldLock="1"/>
    </w:r>
    <w:r w:rsidRPr="00130725">
      <w:instrText xml:space="preserve"> P</w:instrText>
    </w:r>
    <w:r w:rsidRPr="00130725">
      <w:instrText>A</w:instrText>
    </w:r>
    <w:r w:rsidRPr="00130725">
      <w:instrText xml:space="preserve">GE </w:instrText>
    </w:r>
    <w:r w:rsidRPr="00130725">
      <w:fldChar w:fldCharType="separate"/>
    </w:r>
    <w:r w:rsidRPr="00130725">
      <w:t>2</w:t>
    </w:r>
    <w:r w:rsidRPr="00130725">
      <w:fldChar w:fldCharType="end"/>
    </w:r>
  </w:p>
  <w:p w:rsidR="001D40B6" w:rsidRPr="00130725" w:rsidRDefault="001D40B6">
    <w:pPr>
      <w:pStyle w:val="SidfotH"/>
      <w:framePr w:w="8732" w:h="284" w:hRule="exact" w:hSpace="0" w:vSpace="0" w:wrap="around" w:xAlign="inside" w:y="13042" w:anchorLock="0"/>
    </w:pPr>
    <w:r w:rsidRPr="00130725">
      <w:fldChar w:fldCharType="end"/>
    </w:r>
  </w:p>
  <w:p w:rsidR="001D40B6" w:rsidRPr="00130725" w:rsidRDefault="001D40B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fotV"/>
      <w:framePr w:w="8732" w:h="284" w:hRule="exact" w:hSpace="0" w:vSpace="0" w:wrap="around" w:xAlign="inside" w:y="13042" w:anchorLock="0"/>
    </w:pPr>
    <w:r w:rsidRPr="00130725">
      <w:fldChar w:fldCharType="begin" w:fldLock="1"/>
    </w:r>
    <w:r w:rsidRPr="00130725">
      <w:instrText xml:space="preserve"> P</w:instrText>
    </w:r>
    <w:r w:rsidRPr="00130725">
      <w:instrText>A</w:instrText>
    </w:r>
    <w:r w:rsidRPr="00130725">
      <w:instrText xml:space="preserve">GE </w:instrText>
    </w:r>
    <w:r w:rsidRPr="00130725">
      <w:fldChar w:fldCharType="separate"/>
    </w:r>
    <w:r w:rsidRPr="00130725">
      <w:t>4</w:t>
    </w:r>
    <w:r w:rsidRPr="00130725">
      <w:fldChar w:fldCharType="end"/>
    </w:r>
  </w:p>
  <w:p w:rsidR="001D40B6" w:rsidRPr="00130725" w:rsidRDefault="001D40B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fotH"/>
      <w:framePr w:w="8732" w:h="284" w:hRule="exact" w:hSpace="0" w:vSpace="0" w:wrap="around" w:xAlign="inside" w:y="13042" w:anchorLock="0"/>
    </w:pPr>
    <w:r w:rsidRPr="00130725">
      <w:fldChar w:fldCharType="begin" w:fldLock="1"/>
    </w:r>
    <w:r w:rsidRPr="00130725">
      <w:instrText xml:space="preserve"> P</w:instrText>
    </w:r>
    <w:r w:rsidRPr="00130725">
      <w:instrText>A</w:instrText>
    </w:r>
    <w:r w:rsidRPr="00130725">
      <w:instrText xml:space="preserve">GE </w:instrText>
    </w:r>
    <w:r w:rsidRPr="00130725">
      <w:fldChar w:fldCharType="separate"/>
    </w:r>
    <w:r w:rsidRPr="00130725">
      <w:t>5</w:t>
    </w:r>
    <w:r w:rsidRPr="00130725">
      <w:fldChar w:fldCharType="end"/>
    </w:r>
  </w:p>
  <w:p w:rsidR="001D40B6" w:rsidRPr="00130725" w:rsidRDefault="001D40B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fotV"/>
      <w:framePr w:w="8732" w:h="284" w:hRule="exact" w:hSpace="0" w:vSpace="0" w:wrap="around" w:xAlign="inside" w:y="13042" w:anchorLock="0"/>
    </w:pPr>
    <w:r w:rsidRPr="00130725">
      <w:fldChar w:fldCharType="begin" w:fldLock="1"/>
    </w:r>
    <w:r w:rsidRPr="00130725">
      <w:instrText xml:space="preserve"> if </w:instrText>
    </w:r>
    <w:r w:rsidRPr="00130725">
      <w:fldChar w:fldCharType="begin" w:fldLock="1"/>
    </w:r>
    <w:r w:rsidRPr="00130725">
      <w:instrText xml:space="preserve"> = </w:instrText>
    </w:r>
    <w:r w:rsidRPr="00130725">
      <w:fldChar w:fldCharType="begin" w:fldLock="1"/>
    </w:r>
    <w:r w:rsidRPr="00130725">
      <w:instrText xml:space="preserve"> = </w:instrText>
    </w:r>
    <w:r w:rsidRPr="00130725">
      <w:fldChar w:fldCharType="begin" w:fldLock="1"/>
    </w:r>
    <w:r w:rsidRPr="00130725">
      <w:instrText xml:space="preserve"> page</w:instrText>
    </w:r>
    <w:r w:rsidRPr="00130725">
      <w:fldChar w:fldCharType="separate"/>
    </w:r>
    <w:r w:rsidRPr="00130725">
      <w:instrText>3</w:instrText>
    </w:r>
    <w:r w:rsidRPr="00130725">
      <w:fldChar w:fldCharType="end"/>
    </w:r>
    <w:r w:rsidRPr="00130725">
      <w:instrText xml:space="preserve">/2 </w:instrText>
    </w:r>
    <w:r w:rsidRPr="00130725">
      <w:fldChar w:fldCharType="separate"/>
    </w:r>
    <w:r w:rsidRPr="00130725">
      <w:instrText>1,5</w:instrText>
    </w:r>
    <w:r w:rsidRPr="00130725">
      <w:fldChar w:fldCharType="end"/>
    </w:r>
    <w:r w:rsidRPr="00130725">
      <w:instrText xml:space="preserve"> - </w:instrText>
    </w:r>
    <w:r w:rsidRPr="00130725">
      <w:fldChar w:fldCharType="begin" w:fldLock="1"/>
    </w:r>
    <w:r w:rsidRPr="00130725">
      <w:instrText xml:space="preserve"> = int(</w:instrText>
    </w:r>
    <w:r w:rsidRPr="00130725">
      <w:fldChar w:fldCharType="begin" w:fldLock="1"/>
    </w:r>
    <w:r w:rsidRPr="00130725">
      <w:instrText xml:space="preserve"> page</w:instrText>
    </w:r>
    <w:r w:rsidRPr="00130725">
      <w:fldChar w:fldCharType="separate"/>
    </w:r>
    <w:r w:rsidRPr="00130725">
      <w:instrText>3</w:instrText>
    </w:r>
    <w:r w:rsidRPr="00130725">
      <w:fldChar w:fldCharType="end"/>
    </w:r>
    <w:r w:rsidRPr="00130725">
      <w:instrText xml:space="preserve">/2) </w:instrText>
    </w:r>
    <w:r w:rsidRPr="00130725">
      <w:fldChar w:fldCharType="separate"/>
    </w:r>
    <w:r w:rsidRPr="00130725">
      <w:instrText>1</w:instrText>
    </w:r>
    <w:r w:rsidRPr="00130725">
      <w:fldChar w:fldCharType="end"/>
    </w:r>
    <w:r w:rsidRPr="00130725">
      <w:fldChar w:fldCharType="separate"/>
    </w:r>
    <w:r w:rsidRPr="00130725">
      <w:instrText>0,5</w:instrText>
    </w:r>
    <w:r w:rsidRPr="00130725">
      <w:fldChar w:fldCharType="end"/>
    </w:r>
    <w:r w:rsidRPr="00130725">
      <w:instrText xml:space="preserve"> = 0 "</w:instrText>
    </w:r>
    <w:r w:rsidRPr="00130725">
      <w:fldChar w:fldCharType="begin" w:fldLock="1"/>
    </w:r>
    <w:r w:rsidRPr="00130725">
      <w:instrText xml:space="preserve"> P</w:instrText>
    </w:r>
    <w:r w:rsidRPr="00130725">
      <w:instrText>A</w:instrText>
    </w:r>
    <w:r w:rsidRPr="00130725">
      <w:instrText xml:space="preserve">GE </w:instrText>
    </w:r>
    <w:r w:rsidRPr="00130725">
      <w:fldChar w:fldCharType="separate"/>
    </w:r>
    <w:r w:rsidRPr="00130725">
      <w:instrText>4</w:instrText>
    </w:r>
    <w:r w:rsidRPr="00130725">
      <w:fldChar w:fldCharType="end"/>
    </w:r>
  </w:p>
  <w:p w:rsidR="001D40B6" w:rsidRPr="00130725" w:rsidRDefault="001D40B6">
    <w:pPr>
      <w:pStyle w:val="SidfotH"/>
      <w:framePr w:w="8732" w:h="284" w:hRule="exact" w:hSpace="0" w:vSpace="0" w:wrap="around" w:xAlign="inside" w:y="13042" w:anchorLock="0"/>
    </w:pPr>
    <w:r w:rsidRPr="00130725">
      <w:instrText>""</w:instrText>
    </w:r>
    <w:r w:rsidRPr="00130725">
      <w:fldChar w:fldCharType="begin" w:fldLock="1"/>
    </w:r>
    <w:r w:rsidRPr="00130725">
      <w:instrText xml:space="preserve"> P</w:instrText>
    </w:r>
    <w:r w:rsidRPr="00130725">
      <w:instrText>A</w:instrText>
    </w:r>
    <w:r w:rsidRPr="00130725">
      <w:instrText xml:space="preserve">GE </w:instrText>
    </w:r>
    <w:r w:rsidRPr="00130725">
      <w:fldChar w:fldCharType="separate"/>
    </w:r>
    <w:r w:rsidRPr="00130725">
      <w:instrText>3</w:instrText>
    </w:r>
    <w:r w:rsidRPr="00130725">
      <w:fldChar w:fldCharType="end"/>
    </w:r>
    <w:r w:rsidRPr="00130725">
      <w:instrText>"</w:instrText>
    </w:r>
    <w:r w:rsidRPr="00130725">
      <w:fldChar w:fldCharType="separate"/>
    </w:r>
    <w:r w:rsidRPr="00130725">
      <w:t>3</w:t>
    </w:r>
    <w:r w:rsidRPr="00130725">
      <w:fldChar w:fldCharType="end"/>
    </w:r>
  </w:p>
  <w:p w:rsidR="001D40B6" w:rsidRPr="00130725" w:rsidRDefault="001D40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0B6" w:rsidRPr="00130725" w:rsidRDefault="001D40B6">
      <w:pPr>
        <w:pStyle w:val="Sidfot"/>
      </w:pPr>
    </w:p>
  </w:footnote>
  <w:footnote w:type="continuationSeparator" w:id="0">
    <w:p w:rsidR="001D40B6" w:rsidRPr="00130725" w:rsidRDefault="001D40B6">
      <w:pPr>
        <w:spacing w:line="240" w:lineRule="auto"/>
      </w:pPr>
      <w:r w:rsidRPr="001307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huvudKantJmn"/>
      <w:framePr w:w="8732" w:h="567" w:hRule="exact" w:vSpace="0" w:wrap="around" w:vAnchor="page" w:y="341" w:anchorLock="0"/>
    </w:pPr>
    <w:r w:rsidRPr="00130725">
      <w:rPr>
        <w:rStyle w:val="SidhuvudUtskott"/>
      </w:rPr>
      <w:fldChar w:fldCharType="begin" w:fldLock="1"/>
    </w:r>
    <w:r w:rsidRPr="00130725">
      <w:rPr>
        <w:rStyle w:val="SidhuvudUtskott"/>
      </w:rPr>
      <w:instrText xml:space="preserve"> DOCPROPERTY BetänkandeÅr</w:instrText>
    </w:r>
    <w:r w:rsidRPr="00130725">
      <w:rPr>
        <w:rStyle w:val="SidhuvudUtskott"/>
      </w:rPr>
      <w:fldChar w:fldCharType="separate"/>
    </w:r>
    <w:r w:rsidRPr="00130725">
      <w:rPr>
        <w:rStyle w:val="SidhuvudUtskott"/>
      </w:rPr>
      <w:t>2000/01</w:t>
    </w:r>
    <w:r w:rsidRPr="00130725">
      <w:rPr>
        <w:rStyle w:val="SidhuvudUtskott"/>
      </w:rPr>
      <w:fldChar w:fldCharType="end"/>
    </w:r>
    <w:r w:rsidRPr="00130725">
      <w:rPr>
        <w:rStyle w:val="SidhuvudUtskott"/>
      </w:rPr>
      <w:t>:</w:t>
    </w:r>
    <w:r w:rsidRPr="00130725">
      <w:rPr>
        <w:rStyle w:val="SidhuvudUtskott"/>
      </w:rPr>
      <w:fldChar w:fldCharType="begin" w:fldLock="1"/>
    </w:r>
    <w:r w:rsidRPr="00130725">
      <w:rPr>
        <w:rStyle w:val="SidhuvudUtskott"/>
      </w:rPr>
      <w:instrText xml:space="preserve"> DOCPROPERTY Utskott</w:instrText>
    </w:r>
    <w:r w:rsidRPr="00130725">
      <w:rPr>
        <w:rStyle w:val="SidhuvudUtskott"/>
      </w:rPr>
      <w:fldChar w:fldCharType="separate"/>
    </w:r>
    <w:r w:rsidRPr="00130725">
      <w:rPr>
        <w:rStyle w:val="SidhuvudUtskott"/>
      </w:rPr>
      <w:t>FiU</w:t>
    </w:r>
    <w:r w:rsidRPr="00130725">
      <w:rPr>
        <w:rStyle w:val="SidhuvudUtskott"/>
      </w:rPr>
      <w:fldChar w:fldCharType="end"/>
    </w:r>
    <w:r w:rsidRPr="00130725">
      <w:rPr>
        <w:rStyle w:val="SidhuvudUtskott"/>
      </w:rPr>
      <w:fldChar w:fldCharType="begin" w:fldLock="1"/>
    </w:r>
    <w:r w:rsidRPr="00130725">
      <w:rPr>
        <w:rStyle w:val="SidhuvudUtskott"/>
      </w:rPr>
      <w:instrText xml:space="preserve"> DOCPROPERTY BetänkandeNr</w:instrText>
    </w:r>
    <w:r w:rsidRPr="00130725">
      <w:rPr>
        <w:rStyle w:val="SidhuvudUtskott"/>
      </w:rPr>
      <w:fldChar w:fldCharType="separate"/>
    </w:r>
    <w:r w:rsidRPr="00130725">
      <w:rPr>
        <w:rStyle w:val="SidhuvudUtskott"/>
      </w:rPr>
      <w:t>12</w:t>
    </w:r>
    <w:r w:rsidRPr="00130725">
      <w:rPr>
        <w:rStyle w:val="SidhuvudUtskott"/>
      </w:rPr>
      <w:fldChar w:fldCharType="end"/>
    </w:r>
    <w:r w:rsidRPr="00130725">
      <w:t xml:space="preserve">     </w:t>
    </w:r>
    <w:r w:rsidRPr="00130725">
      <w:rPr>
        <w:rStyle w:val="SidhuvudBilaga"/>
      </w:rPr>
      <w:t xml:space="preserve"> </w:t>
    </w:r>
    <w:r w:rsidRPr="00130725">
      <w:rPr>
        <w:rStyle w:val="SidhuvudRubrikReferens"/>
      </w:rPr>
      <w:fldChar w:fldCharType="begin" w:fldLock="1"/>
    </w:r>
    <w:r w:rsidRPr="00130725">
      <w:rPr>
        <w:rStyle w:val="SidhuvudRubrikReferens"/>
      </w:rPr>
      <w:instrText xml:space="preserve"> StyleREF "Rubrik 1" </w:instrText>
    </w:r>
    <w:r w:rsidRPr="00130725">
      <w:rPr>
        <w:rStyle w:val="SidhuvudRubrikReferens"/>
      </w:rPr>
      <w:fldChar w:fldCharType="separate"/>
    </w:r>
    <w:r w:rsidRPr="00130725">
      <w:rPr>
        <w:rStyle w:val="SidhuvudRubrikReferens"/>
      </w:rPr>
      <w:t>Sammanfattning</w:t>
    </w:r>
    <w:r w:rsidRPr="00130725">
      <w:rPr>
        <w:rStyle w:val="SidhuvudRubrikReferens"/>
      </w:rPr>
      <w:fldChar w:fldCharType="end"/>
    </w:r>
  </w:p>
  <w:p w:rsidR="001D40B6" w:rsidRPr="00130725" w:rsidRDefault="001D40B6">
    <w:pPr>
      <w:pStyle w:val="SidhuvudKantJmn"/>
      <w:framePr w:w="8732" w:h="567" w:hRule="exact" w:vSpace="0" w:wrap="around" w:vAnchor="page" w:y="341" w:anchorLock="0"/>
    </w:pPr>
    <w:r w:rsidRPr="00130725">
      <w:rPr>
        <w:rStyle w:val="SidhuvudUtskott"/>
      </w:rPr>
      <w:fldChar w:fldCharType="begin" w:fldLock="1"/>
    </w:r>
    <w:r w:rsidRPr="00130725">
      <w:rPr>
        <w:rStyle w:val="SidhuvudUtskott"/>
      </w:rPr>
      <w:instrText xml:space="preserve"> DOCPROPERTY Status</w:instrText>
    </w:r>
    <w:r w:rsidRPr="00130725">
      <w:rPr>
        <w:rStyle w:val="SidhuvudUtskott"/>
      </w:rPr>
      <w:fldChar w:fldCharType="end"/>
    </w:r>
    <w:r w:rsidRPr="00130725">
      <w:rPr>
        <w:rStyle w:val="SidhuvudUtskott"/>
      </w:rPr>
      <w:fldChar w:fldCharType="begin" w:fldLock="1"/>
    </w:r>
    <w:r w:rsidRPr="00130725">
      <w:rPr>
        <w:rStyle w:val="SidhuvudUtskott"/>
      </w:rPr>
      <w:instrText xml:space="preserve"> if </w:instrText>
    </w:r>
    <w:r w:rsidRPr="00130725">
      <w:rPr>
        <w:rStyle w:val="SidhuvudUtskott"/>
      </w:rPr>
      <w:fldChar w:fldCharType="begin" w:fldLock="1"/>
    </w:r>
    <w:r w:rsidRPr="00130725">
      <w:rPr>
        <w:rStyle w:val="SidhuvudUtskott"/>
      </w:rPr>
      <w:instrText xml:space="preserve"> DOCPROPERTY "UtkastDatum"</w:instrText>
    </w:r>
    <w:r w:rsidRPr="00130725">
      <w:rPr>
        <w:rStyle w:val="SidhuvudUtskott"/>
      </w:rPr>
      <w:fldChar w:fldCharType="separate"/>
    </w:r>
    <w:r w:rsidRPr="00130725">
      <w:rPr>
        <w:rStyle w:val="SidhuvudUtskott"/>
      </w:rPr>
      <w:instrText>Nej</w:instrText>
    </w:r>
    <w:r w:rsidRPr="00130725">
      <w:rPr>
        <w:rStyle w:val="SidhuvudUtskott"/>
      </w:rPr>
      <w:fldChar w:fldCharType="end"/>
    </w:r>
    <w:r w:rsidRPr="00130725">
      <w:rPr>
        <w:rStyle w:val="SidhuvudUtskott"/>
      </w:rPr>
      <w:instrText xml:space="preserve"> = "Ja" "    </w:instrText>
    </w:r>
    <w:r w:rsidRPr="00130725">
      <w:rPr>
        <w:rStyle w:val="SidhuvudUtskott"/>
      </w:rPr>
      <w:fldChar w:fldCharType="begin" w:fldLock="1"/>
    </w:r>
    <w:r w:rsidRPr="00130725">
      <w:rPr>
        <w:rStyle w:val="SidhuvudUtskott"/>
      </w:rPr>
      <w:instrText xml:space="preserve"> PRINTDATE \@ "yyyy-MM-dd HH.mm" </w:instrText>
    </w:r>
    <w:r w:rsidRPr="00130725">
      <w:rPr>
        <w:rStyle w:val="SidhuvudUtskott"/>
      </w:rPr>
      <w:fldChar w:fldCharType="separate"/>
    </w:r>
    <w:r w:rsidRPr="00130725">
      <w:rPr>
        <w:rStyle w:val="SidhuvudUtskott"/>
      </w:rPr>
      <w:instrText>2000-08-11 16.42</w:instrText>
    </w:r>
    <w:r w:rsidRPr="00130725">
      <w:rPr>
        <w:rStyle w:val="SidhuvudUtskott"/>
      </w:rPr>
      <w:fldChar w:fldCharType="end"/>
    </w:r>
    <w:r w:rsidRPr="00130725">
      <w:rPr>
        <w:rStyle w:val="SidhuvudUtskott"/>
      </w:rPr>
      <w:instrText xml:space="preserve">" </w:instrText>
    </w:r>
    <w:r w:rsidRPr="00130725">
      <w:rPr>
        <w:rStyle w:val="SidhuvudUtskott"/>
      </w:rPr>
      <w:fldChar w:fldCharType="end"/>
    </w:r>
  </w:p>
  <w:p w:rsidR="001D40B6" w:rsidRPr="00130725" w:rsidRDefault="001D40B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huvudKantUdda"/>
      <w:framePr w:w="8732" w:h="567" w:hRule="exact" w:vSpace="0" w:wrap="around" w:vAnchor="page" w:y="341" w:anchorLock="0"/>
    </w:pPr>
    <w:r w:rsidRPr="00130725">
      <w:rPr>
        <w:rStyle w:val="SidhuvudRubrikReferens"/>
      </w:rPr>
      <w:fldChar w:fldCharType="begin" w:fldLock="1"/>
    </w:r>
    <w:r w:rsidRPr="00130725">
      <w:rPr>
        <w:rStyle w:val="SidhuvudRubrikReferens"/>
      </w:rPr>
      <w:instrText xml:space="preserve"> StyleREF "Rubrik 1" </w:instrText>
    </w:r>
    <w:r w:rsidRPr="00130725">
      <w:rPr>
        <w:rStyle w:val="SidhuvudRubrikReferens"/>
      </w:rPr>
      <w:fldChar w:fldCharType="separate"/>
    </w:r>
    <w:r w:rsidRPr="00130725">
      <w:rPr>
        <w:rStyle w:val="SidhuvudRubrikReferens"/>
      </w:rPr>
      <w:t>Sammanfattning</w:t>
    </w:r>
    <w:r w:rsidRPr="00130725">
      <w:rPr>
        <w:rStyle w:val="SidhuvudRubrikReferens"/>
      </w:rPr>
      <w:fldChar w:fldCharType="end"/>
    </w:r>
    <w:r w:rsidRPr="00130725">
      <w:rPr>
        <w:rStyle w:val="SidhuvudBilaga"/>
      </w:rPr>
      <w:t xml:space="preserve"> </w:t>
    </w:r>
    <w:r w:rsidRPr="00130725">
      <w:t xml:space="preserve">     </w:t>
    </w:r>
    <w:r w:rsidRPr="00130725">
      <w:rPr>
        <w:rStyle w:val="SidhuvudUtskott"/>
      </w:rPr>
      <w:fldChar w:fldCharType="begin" w:fldLock="1"/>
    </w:r>
    <w:r w:rsidRPr="00130725">
      <w:rPr>
        <w:rStyle w:val="SidhuvudUtskott"/>
      </w:rPr>
      <w:instrText xml:space="preserve"> DOCPROPERTY BetänkandeÅr</w:instrText>
    </w:r>
    <w:r w:rsidRPr="00130725">
      <w:rPr>
        <w:rStyle w:val="SidhuvudUtskott"/>
      </w:rPr>
      <w:fldChar w:fldCharType="separate"/>
    </w:r>
    <w:r w:rsidRPr="00130725">
      <w:rPr>
        <w:rStyle w:val="SidhuvudUtskott"/>
      </w:rPr>
      <w:t>2000/01</w:t>
    </w:r>
    <w:r w:rsidRPr="00130725">
      <w:rPr>
        <w:rStyle w:val="SidhuvudUtskott"/>
      </w:rPr>
      <w:fldChar w:fldCharType="end"/>
    </w:r>
    <w:r w:rsidRPr="00130725">
      <w:rPr>
        <w:rStyle w:val="SidhuvudUtskott"/>
      </w:rPr>
      <w:t>:</w:t>
    </w:r>
    <w:r w:rsidRPr="00130725">
      <w:rPr>
        <w:rStyle w:val="SidhuvudUtskott"/>
      </w:rPr>
      <w:fldChar w:fldCharType="begin" w:fldLock="1"/>
    </w:r>
    <w:r w:rsidRPr="00130725">
      <w:rPr>
        <w:rStyle w:val="SidhuvudUtskott"/>
      </w:rPr>
      <w:instrText xml:space="preserve"> DOCPROPERTY</w:instrText>
    </w:r>
    <w:r w:rsidRPr="00130725">
      <w:instrText xml:space="preserve"> </w:instrText>
    </w:r>
    <w:r w:rsidRPr="00130725">
      <w:rPr>
        <w:rStyle w:val="SidhuvudUtskott"/>
      </w:rPr>
      <w:instrText>Utskott</w:instrText>
    </w:r>
    <w:r w:rsidRPr="00130725">
      <w:rPr>
        <w:rStyle w:val="SidhuvudUtskott"/>
      </w:rPr>
      <w:fldChar w:fldCharType="separate"/>
    </w:r>
    <w:r w:rsidRPr="00130725">
      <w:rPr>
        <w:rStyle w:val="SidhuvudUtskott"/>
      </w:rPr>
      <w:t>FiU</w:t>
    </w:r>
    <w:r w:rsidRPr="00130725">
      <w:rPr>
        <w:rStyle w:val="SidhuvudUtskott"/>
      </w:rPr>
      <w:fldChar w:fldCharType="end"/>
    </w:r>
    <w:r w:rsidRPr="00130725">
      <w:rPr>
        <w:rStyle w:val="SidhuvudUtskott"/>
      </w:rPr>
      <w:fldChar w:fldCharType="begin" w:fldLock="1"/>
    </w:r>
    <w:r w:rsidRPr="00130725">
      <w:rPr>
        <w:rStyle w:val="SidhuvudUtskott"/>
      </w:rPr>
      <w:instrText xml:space="preserve"> DOCPROPERTY Betä</w:instrText>
    </w:r>
    <w:r w:rsidRPr="00130725">
      <w:rPr>
        <w:rStyle w:val="SidhuvudUtskott"/>
      </w:rPr>
      <w:instrText>n</w:instrText>
    </w:r>
    <w:r w:rsidRPr="00130725">
      <w:rPr>
        <w:rStyle w:val="SidhuvudUtskott"/>
      </w:rPr>
      <w:instrText>kandeNr</w:instrText>
    </w:r>
    <w:r w:rsidRPr="00130725">
      <w:rPr>
        <w:rStyle w:val="SidhuvudUtskott"/>
      </w:rPr>
      <w:fldChar w:fldCharType="separate"/>
    </w:r>
    <w:r w:rsidRPr="00130725">
      <w:rPr>
        <w:rStyle w:val="SidhuvudUtskott"/>
      </w:rPr>
      <w:t>12</w:t>
    </w:r>
    <w:r w:rsidRPr="00130725">
      <w:rPr>
        <w:rStyle w:val="SidhuvudUtskott"/>
      </w:rPr>
      <w:fldChar w:fldCharType="end"/>
    </w:r>
  </w:p>
  <w:p w:rsidR="001D40B6" w:rsidRPr="00130725" w:rsidRDefault="001D40B6">
    <w:pPr>
      <w:pStyle w:val="SidhuvudKantUdda"/>
      <w:framePr w:w="8732" w:h="567" w:hRule="exact" w:vSpace="0" w:wrap="around" w:vAnchor="page" w:y="341" w:anchorLock="0"/>
    </w:pPr>
    <w:r w:rsidRPr="00130725">
      <w:rPr>
        <w:rStyle w:val="SidhuvudUtskott"/>
      </w:rPr>
      <w:fldChar w:fldCharType="begin" w:fldLock="1"/>
    </w:r>
    <w:r w:rsidRPr="00130725">
      <w:rPr>
        <w:rStyle w:val="SidhuvudUtskott"/>
      </w:rPr>
      <w:instrText xml:space="preserve"> if </w:instrText>
    </w:r>
    <w:r w:rsidRPr="00130725">
      <w:rPr>
        <w:rStyle w:val="SidhuvudUtskott"/>
      </w:rPr>
      <w:fldChar w:fldCharType="begin" w:fldLock="1"/>
    </w:r>
    <w:r w:rsidRPr="00130725">
      <w:rPr>
        <w:rStyle w:val="SidhuvudUtskott"/>
      </w:rPr>
      <w:instrText xml:space="preserve"> DOCPROPERTY "UtkastDatum"</w:instrText>
    </w:r>
    <w:r w:rsidRPr="00130725">
      <w:rPr>
        <w:rStyle w:val="SidhuvudUtskott"/>
      </w:rPr>
      <w:fldChar w:fldCharType="separate"/>
    </w:r>
    <w:r w:rsidRPr="00130725">
      <w:rPr>
        <w:rStyle w:val="SidhuvudUtskott"/>
      </w:rPr>
      <w:instrText>Nej</w:instrText>
    </w:r>
    <w:r w:rsidRPr="00130725">
      <w:rPr>
        <w:rStyle w:val="SidhuvudUtskott"/>
      </w:rPr>
      <w:fldChar w:fldCharType="end"/>
    </w:r>
    <w:r w:rsidRPr="00130725">
      <w:rPr>
        <w:rStyle w:val="SidhuvudUtskott"/>
      </w:rPr>
      <w:instrText xml:space="preserve"> = "Ja" "</w:instrText>
    </w:r>
    <w:r w:rsidRPr="00130725">
      <w:rPr>
        <w:rStyle w:val="SidhuvudUtskott"/>
      </w:rPr>
      <w:fldChar w:fldCharType="begin" w:fldLock="1"/>
    </w:r>
    <w:r w:rsidRPr="00130725">
      <w:rPr>
        <w:rStyle w:val="SidhuvudUtskott"/>
      </w:rPr>
      <w:instrText xml:space="preserve"> PRINTDATE \@ "yyyy-MM-dd HH.mm    " </w:instrText>
    </w:r>
    <w:r w:rsidRPr="00130725">
      <w:rPr>
        <w:rStyle w:val="SidhuvudUtskott"/>
      </w:rPr>
      <w:fldChar w:fldCharType="separate"/>
    </w:r>
    <w:r w:rsidRPr="00130725">
      <w:rPr>
        <w:rStyle w:val="SidhuvudUtskott"/>
      </w:rPr>
      <w:instrText>2000-08-11 16.42</w:instrText>
    </w:r>
    <w:r w:rsidRPr="00130725">
      <w:rPr>
        <w:rStyle w:val="SidhuvudUtskott"/>
      </w:rPr>
      <w:fldChar w:fldCharType="end"/>
    </w:r>
    <w:r w:rsidRPr="00130725">
      <w:rPr>
        <w:rStyle w:val="SidhuvudUtskott"/>
      </w:rPr>
      <w:instrText xml:space="preserve">" </w:instrText>
    </w:r>
    <w:r w:rsidRPr="00130725">
      <w:rPr>
        <w:rStyle w:val="SidhuvudUtskott"/>
      </w:rPr>
      <w:fldChar w:fldCharType="end"/>
    </w:r>
    <w:r w:rsidRPr="00130725">
      <w:rPr>
        <w:rStyle w:val="SidhuvudUtskott"/>
      </w:rPr>
      <w:fldChar w:fldCharType="begin" w:fldLock="1"/>
    </w:r>
    <w:r w:rsidRPr="00130725">
      <w:rPr>
        <w:rStyle w:val="SidhuvudUtskott"/>
      </w:rPr>
      <w:instrText xml:space="preserve"> DOCPR</w:instrText>
    </w:r>
    <w:r w:rsidRPr="00130725">
      <w:rPr>
        <w:rStyle w:val="SidhuvudUtskott"/>
      </w:rPr>
      <w:instrText>O</w:instrText>
    </w:r>
    <w:r w:rsidRPr="00130725">
      <w:rPr>
        <w:rStyle w:val="SidhuvudUtskott"/>
      </w:rPr>
      <w:instrText>PERTY Status</w:instrText>
    </w:r>
    <w:r w:rsidRPr="00130725">
      <w:rPr>
        <w:rStyle w:val="SidhuvudUtskott"/>
      </w:rPr>
      <w:fldChar w:fldCharType="end"/>
    </w:r>
  </w:p>
  <w:p w:rsidR="001D40B6" w:rsidRPr="00130725" w:rsidRDefault="001D40B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huvudKantUdda"/>
      <w:framePr w:w="8732" w:h="567" w:hRule="exact" w:vSpace="0" w:wrap="around" w:vAnchor="page" w:y="341" w:anchorLock="0"/>
    </w:pPr>
    <w:r w:rsidRPr="00130725">
      <w:t xml:space="preserve"> </w:t>
    </w:r>
  </w:p>
  <w:p w:rsidR="001D40B6" w:rsidRPr="00130725" w:rsidRDefault="001D40B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huvudKantJmn"/>
      <w:framePr w:w="8732" w:h="567" w:hRule="exact" w:vSpace="0" w:wrap="around" w:vAnchor="page" w:y="341" w:anchorLock="0"/>
    </w:pPr>
    <w:r w:rsidRPr="00130725">
      <w:rPr>
        <w:rStyle w:val="SidhuvudUtskott"/>
      </w:rPr>
      <w:fldChar w:fldCharType="begin" w:fldLock="1"/>
    </w:r>
    <w:r w:rsidRPr="00130725">
      <w:rPr>
        <w:rStyle w:val="SidhuvudUtskott"/>
      </w:rPr>
      <w:instrText xml:space="preserve"> DOCPROPERTY BetänkandeÅr</w:instrText>
    </w:r>
    <w:r w:rsidRPr="00130725">
      <w:rPr>
        <w:rStyle w:val="SidhuvudUtskott"/>
      </w:rPr>
      <w:fldChar w:fldCharType="separate"/>
    </w:r>
    <w:r w:rsidRPr="00130725">
      <w:rPr>
        <w:rStyle w:val="SidhuvudUtskott"/>
      </w:rPr>
      <w:t>2000/01</w:t>
    </w:r>
    <w:r w:rsidRPr="00130725">
      <w:rPr>
        <w:rStyle w:val="SidhuvudUtskott"/>
      </w:rPr>
      <w:fldChar w:fldCharType="end"/>
    </w:r>
    <w:r w:rsidRPr="00130725">
      <w:rPr>
        <w:rStyle w:val="SidhuvudUtskott"/>
      </w:rPr>
      <w:t>:</w:t>
    </w:r>
    <w:r w:rsidRPr="00130725">
      <w:rPr>
        <w:rStyle w:val="SidhuvudUtskott"/>
      </w:rPr>
      <w:fldChar w:fldCharType="begin" w:fldLock="1"/>
    </w:r>
    <w:r w:rsidRPr="00130725">
      <w:rPr>
        <w:rStyle w:val="SidhuvudUtskott"/>
      </w:rPr>
      <w:instrText xml:space="preserve"> DOCPROPERTY Utskott</w:instrText>
    </w:r>
    <w:r w:rsidRPr="00130725">
      <w:rPr>
        <w:rStyle w:val="SidhuvudUtskott"/>
      </w:rPr>
      <w:fldChar w:fldCharType="separate"/>
    </w:r>
    <w:r w:rsidRPr="00130725">
      <w:rPr>
        <w:rStyle w:val="SidhuvudUtskott"/>
      </w:rPr>
      <w:t>FiU</w:t>
    </w:r>
    <w:r w:rsidRPr="00130725">
      <w:rPr>
        <w:rStyle w:val="SidhuvudUtskott"/>
      </w:rPr>
      <w:fldChar w:fldCharType="end"/>
    </w:r>
    <w:r w:rsidRPr="00130725">
      <w:rPr>
        <w:rStyle w:val="SidhuvudUtskott"/>
      </w:rPr>
      <w:fldChar w:fldCharType="begin" w:fldLock="1"/>
    </w:r>
    <w:r w:rsidRPr="00130725">
      <w:rPr>
        <w:rStyle w:val="SidhuvudUtskott"/>
      </w:rPr>
      <w:instrText xml:space="preserve"> DOCPROPERTY BetänkandeNr</w:instrText>
    </w:r>
    <w:r w:rsidRPr="00130725">
      <w:rPr>
        <w:rStyle w:val="SidhuvudUtskott"/>
      </w:rPr>
      <w:fldChar w:fldCharType="separate"/>
    </w:r>
    <w:r w:rsidRPr="00130725">
      <w:rPr>
        <w:rStyle w:val="SidhuvudUtskott"/>
      </w:rPr>
      <w:t>12</w:t>
    </w:r>
    <w:r w:rsidRPr="00130725">
      <w:rPr>
        <w:rStyle w:val="SidhuvudUtskott"/>
      </w:rPr>
      <w:fldChar w:fldCharType="end"/>
    </w:r>
    <w:r w:rsidRPr="00130725">
      <w:t xml:space="preserve">     </w:t>
    </w:r>
    <w:r w:rsidRPr="00130725">
      <w:rPr>
        <w:rStyle w:val="SidhuvudBilaga"/>
      </w:rPr>
      <w:t xml:space="preserve"> </w:t>
    </w:r>
    <w:r w:rsidRPr="00130725">
      <w:rPr>
        <w:rStyle w:val="SidhuvudRubrikReferens"/>
      </w:rPr>
      <w:fldChar w:fldCharType="begin" w:fldLock="1"/>
    </w:r>
    <w:r w:rsidRPr="00130725">
      <w:rPr>
        <w:rStyle w:val="SidhuvudRubrikReferens"/>
      </w:rPr>
      <w:instrText xml:space="preserve"> StyleREF "Rubrik 1" </w:instrText>
    </w:r>
    <w:r w:rsidRPr="00130725">
      <w:rPr>
        <w:rStyle w:val="SidhuvudRubrikReferens"/>
      </w:rPr>
      <w:fldChar w:fldCharType="separate"/>
    </w:r>
    <w:r w:rsidRPr="00130725">
      <w:rPr>
        <w:rStyle w:val="SidhuvudRubrikReferens"/>
      </w:rPr>
      <w:t>Sammanfattning</w:t>
    </w:r>
    <w:r w:rsidRPr="00130725">
      <w:rPr>
        <w:rStyle w:val="SidhuvudRubrikReferens"/>
      </w:rPr>
      <w:fldChar w:fldCharType="end"/>
    </w:r>
  </w:p>
  <w:p w:rsidR="001D40B6" w:rsidRPr="00130725" w:rsidRDefault="001D40B6">
    <w:pPr>
      <w:pStyle w:val="SidhuvudKantJmn"/>
      <w:framePr w:w="8732" w:h="567" w:hRule="exact" w:vSpace="0" w:wrap="around" w:vAnchor="page" w:y="341" w:anchorLock="0"/>
    </w:pPr>
    <w:r w:rsidRPr="00130725">
      <w:rPr>
        <w:rStyle w:val="SidhuvudUtskott"/>
      </w:rPr>
      <w:fldChar w:fldCharType="begin" w:fldLock="1"/>
    </w:r>
    <w:r w:rsidRPr="00130725">
      <w:rPr>
        <w:rStyle w:val="SidhuvudUtskott"/>
      </w:rPr>
      <w:instrText xml:space="preserve"> DOCPROPERTY Status</w:instrText>
    </w:r>
    <w:r w:rsidRPr="00130725">
      <w:rPr>
        <w:rStyle w:val="SidhuvudUtskott"/>
      </w:rPr>
      <w:fldChar w:fldCharType="end"/>
    </w:r>
    <w:r w:rsidRPr="00130725">
      <w:rPr>
        <w:rStyle w:val="SidhuvudUtskott"/>
      </w:rPr>
      <w:fldChar w:fldCharType="begin" w:fldLock="1"/>
    </w:r>
    <w:r w:rsidRPr="00130725">
      <w:rPr>
        <w:rStyle w:val="SidhuvudUtskott"/>
      </w:rPr>
      <w:instrText xml:space="preserve"> if </w:instrText>
    </w:r>
    <w:r w:rsidRPr="00130725">
      <w:rPr>
        <w:rStyle w:val="SidhuvudUtskott"/>
      </w:rPr>
      <w:fldChar w:fldCharType="begin" w:fldLock="1"/>
    </w:r>
    <w:r w:rsidRPr="00130725">
      <w:rPr>
        <w:rStyle w:val="SidhuvudUtskott"/>
      </w:rPr>
      <w:instrText xml:space="preserve"> DOCPROPERTY "UtkastDatum"</w:instrText>
    </w:r>
    <w:r w:rsidRPr="00130725">
      <w:rPr>
        <w:rStyle w:val="SidhuvudUtskott"/>
      </w:rPr>
      <w:fldChar w:fldCharType="separate"/>
    </w:r>
    <w:r w:rsidRPr="00130725">
      <w:rPr>
        <w:rStyle w:val="SidhuvudUtskott"/>
      </w:rPr>
      <w:instrText>Nej</w:instrText>
    </w:r>
    <w:r w:rsidRPr="00130725">
      <w:rPr>
        <w:rStyle w:val="SidhuvudUtskott"/>
      </w:rPr>
      <w:fldChar w:fldCharType="end"/>
    </w:r>
    <w:r w:rsidRPr="00130725">
      <w:rPr>
        <w:rStyle w:val="SidhuvudUtskott"/>
      </w:rPr>
      <w:instrText xml:space="preserve"> = "Ja" "    </w:instrText>
    </w:r>
    <w:r w:rsidRPr="00130725">
      <w:rPr>
        <w:rStyle w:val="SidhuvudUtskott"/>
      </w:rPr>
      <w:fldChar w:fldCharType="begin" w:fldLock="1"/>
    </w:r>
    <w:r w:rsidRPr="00130725">
      <w:rPr>
        <w:rStyle w:val="SidhuvudUtskott"/>
      </w:rPr>
      <w:instrText xml:space="preserve"> PRINTDATE \@ "yyyy-MM-dd HH.mm" </w:instrText>
    </w:r>
    <w:r w:rsidRPr="00130725">
      <w:rPr>
        <w:rStyle w:val="SidhuvudUtskott"/>
      </w:rPr>
      <w:fldChar w:fldCharType="separate"/>
    </w:r>
    <w:r w:rsidRPr="00130725">
      <w:rPr>
        <w:rStyle w:val="SidhuvudUtskott"/>
      </w:rPr>
      <w:instrText>2000-08-11 16.42</w:instrText>
    </w:r>
    <w:r w:rsidRPr="00130725">
      <w:rPr>
        <w:rStyle w:val="SidhuvudUtskott"/>
      </w:rPr>
      <w:fldChar w:fldCharType="end"/>
    </w:r>
    <w:r w:rsidRPr="00130725">
      <w:rPr>
        <w:rStyle w:val="SidhuvudUtskott"/>
      </w:rPr>
      <w:instrText xml:space="preserve">" </w:instrText>
    </w:r>
    <w:r w:rsidRPr="00130725">
      <w:rPr>
        <w:rStyle w:val="SidhuvudUtskott"/>
      </w:rPr>
      <w:fldChar w:fldCharType="end"/>
    </w:r>
  </w:p>
  <w:p w:rsidR="001D40B6" w:rsidRPr="00130725" w:rsidRDefault="001D40B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huvudKantUdda"/>
      <w:framePr w:w="8732" w:h="567" w:hRule="exact" w:vSpace="0" w:wrap="around" w:vAnchor="page" w:y="341" w:anchorLock="0"/>
    </w:pPr>
    <w:r w:rsidRPr="00130725">
      <w:rPr>
        <w:rStyle w:val="SidhuvudRubrikReferens"/>
      </w:rPr>
      <w:fldChar w:fldCharType="begin" w:fldLock="1"/>
    </w:r>
    <w:r w:rsidRPr="00130725">
      <w:rPr>
        <w:rStyle w:val="SidhuvudRubrikReferens"/>
      </w:rPr>
      <w:instrText xml:space="preserve"> StyleREF "Rubrik 1" </w:instrText>
    </w:r>
    <w:r w:rsidRPr="00130725">
      <w:rPr>
        <w:rStyle w:val="SidhuvudRubrikReferens"/>
      </w:rPr>
      <w:fldChar w:fldCharType="separate"/>
    </w:r>
    <w:r w:rsidRPr="00130725">
      <w:rPr>
        <w:rStyle w:val="SidhuvudRubrikReferens"/>
      </w:rPr>
      <w:t>Sammanfattning</w:t>
    </w:r>
    <w:r w:rsidRPr="00130725">
      <w:rPr>
        <w:rStyle w:val="SidhuvudRubrikReferens"/>
      </w:rPr>
      <w:fldChar w:fldCharType="end"/>
    </w:r>
    <w:r w:rsidRPr="00130725">
      <w:rPr>
        <w:rStyle w:val="SidhuvudBilaga"/>
      </w:rPr>
      <w:t xml:space="preserve"> </w:t>
    </w:r>
    <w:r w:rsidRPr="00130725">
      <w:t xml:space="preserve">     </w:t>
    </w:r>
    <w:r w:rsidRPr="00130725">
      <w:rPr>
        <w:rStyle w:val="SidhuvudUtskott"/>
      </w:rPr>
      <w:fldChar w:fldCharType="begin" w:fldLock="1"/>
    </w:r>
    <w:r w:rsidRPr="00130725">
      <w:rPr>
        <w:rStyle w:val="SidhuvudUtskott"/>
      </w:rPr>
      <w:instrText xml:space="preserve"> DOCPROPERTY BetänkandeÅr</w:instrText>
    </w:r>
    <w:r w:rsidRPr="00130725">
      <w:rPr>
        <w:rStyle w:val="SidhuvudUtskott"/>
      </w:rPr>
      <w:fldChar w:fldCharType="separate"/>
    </w:r>
    <w:r w:rsidRPr="00130725">
      <w:rPr>
        <w:rStyle w:val="SidhuvudUtskott"/>
      </w:rPr>
      <w:t>2000/01</w:t>
    </w:r>
    <w:r w:rsidRPr="00130725">
      <w:rPr>
        <w:rStyle w:val="SidhuvudUtskott"/>
      </w:rPr>
      <w:fldChar w:fldCharType="end"/>
    </w:r>
    <w:r w:rsidRPr="00130725">
      <w:rPr>
        <w:rStyle w:val="SidhuvudUtskott"/>
      </w:rPr>
      <w:t>:</w:t>
    </w:r>
    <w:r w:rsidRPr="00130725">
      <w:rPr>
        <w:rStyle w:val="SidhuvudUtskott"/>
      </w:rPr>
      <w:fldChar w:fldCharType="begin" w:fldLock="1"/>
    </w:r>
    <w:r w:rsidRPr="00130725">
      <w:rPr>
        <w:rStyle w:val="SidhuvudUtskott"/>
      </w:rPr>
      <w:instrText xml:space="preserve"> DOCPROPERTY</w:instrText>
    </w:r>
    <w:r w:rsidRPr="00130725">
      <w:instrText xml:space="preserve"> </w:instrText>
    </w:r>
    <w:r w:rsidRPr="00130725">
      <w:rPr>
        <w:rStyle w:val="SidhuvudUtskott"/>
      </w:rPr>
      <w:instrText>Utskott</w:instrText>
    </w:r>
    <w:r w:rsidRPr="00130725">
      <w:rPr>
        <w:rStyle w:val="SidhuvudUtskott"/>
      </w:rPr>
      <w:fldChar w:fldCharType="separate"/>
    </w:r>
    <w:r w:rsidRPr="00130725">
      <w:rPr>
        <w:rStyle w:val="SidhuvudUtskott"/>
      </w:rPr>
      <w:t>FiU</w:t>
    </w:r>
    <w:r w:rsidRPr="00130725">
      <w:rPr>
        <w:rStyle w:val="SidhuvudUtskott"/>
      </w:rPr>
      <w:fldChar w:fldCharType="end"/>
    </w:r>
    <w:r w:rsidRPr="00130725">
      <w:rPr>
        <w:rStyle w:val="SidhuvudUtskott"/>
      </w:rPr>
      <w:fldChar w:fldCharType="begin" w:fldLock="1"/>
    </w:r>
    <w:r w:rsidRPr="00130725">
      <w:rPr>
        <w:rStyle w:val="SidhuvudUtskott"/>
      </w:rPr>
      <w:instrText xml:space="preserve"> DOCPROPERTY Betä</w:instrText>
    </w:r>
    <w:r w:rsidRPr="00130725">
      <w:rPr>
        <w:rStyle w:val="SidhuvudUtskott"/>
      </w:rPr>
      <w:instrText>n</w:instrText>
    </w:r>
    <w:r w:rsidRPr="00130725">
      <w:rPr>
        <w:rStyle w:val="SidhuvudUtskott"/>
      </w:rPr>
      <w:instrText>kandeNr</w:instrText>
    </w:r>
    <w:r w:rsidRPr="00130725">
      <w:rPr>
        <w:rStyle w:val="SidhuvudUtskott"/>
      </w:rPr>
      <w:fldChar w:fldCharType="separate"/>
    </w:r>
    <w:r w:rsidRPr="00130725">
      <w:rPr>
        <w:rStyle w:val="SidhuvudUtskott"/>
      </w:rPr>
      <w:t>12</w:t>
    </w:r>
    <w:r w:rsidRPr="00130725">
      <w:rPr>
        <w:rStyle w:val="SidhuvudUtskott"/>
      </w:rPr>
      <w:fldChar w:fldCharType="end"/>
    </w:r>
  </w:p>
  <w:p w:rsidR="001D40B6" w:rsidRPr="00130725" w:rsidRDefault="001D40B6">
    <w:pPr>
      <w:pStyle w:val="SidhuvudKantUdda"/>
      <w:framePr w:w="8732" w:h="567" w:hRule="exact" w:vSpace="0" w:wrap="around" w:vAnchor="page" w:y="341" w:anchorLock="0"/>
    </w:pPr>
    <w:r w:rsidRPr="00130725">
      <w:rPr>
        <w:rStyle w:val="SidhuvudUtskott"/>
      </w:rPr>
      <w:fldChar w:fldCharType="begin" w:fldLock="1"/>
    </w:r>
    <w:r w:rsidRPr="00130725">
      <w:rPr>
        <w:rStyle w:val="SidhuvudUtskott"/>
      </w:rPr>
      <w:instrText xml:space="preserve"> if </w:instrText>
    </w:r>
    <w:r w:rsidRPr="00130725">
      <w:rPr>
        <w:rStyle w:val="SidhuvudUtskott"/>
      </w:rPr>
      <w:fldChar w:fldCharType="begin" w:fldLock="1"/>
    </w:r>
    <w:r w:rsidRPr="00130725">
      <w:rPr>
        <w:rStyle w:val="SidhuvudUtskott"/>
      </w:rPr>
      <w:instrText xml:space="preserve"> DOCPROPERTY "UtkastDatum"</w:instrText>
    </w:r>
    <w:r w:rsidRPr="00130725">
      <w:rPr>
        <w:rStyle w:val="SidhuvudUtskott"/>
      </w:rPr>
      <w:fldChar w:fldCharType="separate"/>
    </w:r>
    <w:r w:rsidRPr="00130725">
      <w:rPr>
        <w:rStyle w:val="SidhuvudUtskott"/>
      </w:rPr>
      <w:instrText>Nej</w:instrText>
    </w:r>
    <w:r w:rsidRPr="00130725">
      <w:rPr>
        <w:rStyle w:val="SidhuvudUtskott"/>
      </w:rPr>
      <w:fldChar w:fldCharType="end"/>
    </w:r>
    <w:r w:rsidRPr="00130725">
      <w:rPr>
        <w:rStyle w:val="SidhuvudUtskott"/>
      </w:rPr>
      <w:instrText xml:space="preserve"> = "Ja" "</w:instrText>
    </w:r>
    <w:r w:rsidRPr="00130725">
      <w:rPr>
        <w:rStyle w:val="SidhuvudUtskott"/>
      </w:rPr>
      <w:fldChar w:fldCharType="begin" w:fldLock="1"/>
    </w:r>
    <w:r w:rsidRPr="00130725">
      <w:rPr>
        <w:rStyle w:val="SidhuvudUtskott"/>
      </w:rPr>
      <w:instrText xml:space="preserve"> PRINTDATE \@ "yyyy-MM-dd HH.mm    " </w:instrText>
    </w:r>
    <w:r w:rsidRPr="00130725">
      <w:rPr>
        <w:rStyle w:val="SidhuvudUtskott"/>
      </w:rPr>
      <w:fldChar w:fldCharType="separate"/>
    </w:r>
    <w:r w:rsidRPr="00130725">
      <w:rPr>
        <w:rStyle w:val="SidhuvudUtskott"/>
      </w:rPr>
      <w:instrText>2000-08-11 16.42</w:instrText>
    </w:r>
    <w:r w:rsidRPr="00130725">
      <w:rPr>
        <w:rStyle w:val="SidhuvudUtskott"/>
      </w:rPr>
      <w:fldChar w:fldCharType="end"/>
    </w:r>
    <w:r w:rsidRPr="00130725">
      <w:rPr>
        <w:rStyle w:val="SidhuvudUtskott"/>
      </w:rPr>
      <w:instrText xml:space="preserve">" </w:instrText>
    </w:r>
    <w:r w:rsidRPr="00130725">
      <w:rPr>
        <w:rStyle w:val="SidhuvudUtskott"/>
      </w:rPr>
      <w:fldChar w:fldCharType="end"/>
    </w:r>
    <w:r w:rsidRPr="00130725">
      <w:rPr>
        <w:rStyle w:val="SidhuvudUtskott"/>
      </w:rPr>
      <w:fldChar w:fldCharType="begin" w:fldLock="1"/>
    </w:r>
    <w:r w:rsidRPr="00130725">
      <w:rPr>
        <w:rStyle w:val="SidhuvudUtskott"/>
      </w:rPr>
      <w:instrText xml:space="preserve"> DOCPR</w:instrText>
    </w:r>
    <w:r w:rsidRPr="00130725">
      <w:rPr>
        <w:rStyle w:val="SidhuvudUtskott"/>
      </w:rPr>
      <w:instrText>O</w:instrText>
    </w:r>
    <w:r w:rsidRPr="00130725">
      <w:rPr>
        <w:rStyle w:val="SidhuvudUtskott"/>
      </w:rPr>
      <w:instrText>PERTY Status</w:instrText>
    </w:r>
    <w:r w:rsidRPr="00130725">
      <w:rPr>
        <w:rStyle w:val="SidhuvudUtskott"/>
      </w:rPr>
      <w:fldChar w:fldCharType="end"/>
    </w:r>
  </w:p>
  <w:p w:rsidR="001D40B6" w:rsidRPr="00130725" w:rsidRDefault="001D40B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huvudKantJmn"/>
      <w:framePr w:w="8732" w:h="567" w:hRule="exact" w:vSpace="0" w:wrap="around" w:vAnchor="page" w:y="341" w:anchorLock="0"/>
    </w:pPr>
    <w:r w:rsidRPr="00130725">
      <w:rPr>
        <w:rStyle w:val="SidhuvudUtskott"/>
      </w:rPr>
      <w:t>2000/01:FiU12</w:t>
    </w:r>
    <w:r w:rsidRPr="00130725">
      <w:t xml:space="preserve">    </w:t>
    </w:r>
  </w:p>
  <w:p w:rsidR="001D40B6" w:rsidRPr="00130725" w:rsidRDefault="001D40B6">
    <w:pPr>
      <w:pStyle w:val="SidhuvudKantJmn"/>
      <w:framePr w:w="8732" w:h="567" w:hRule="exact" w:vSpace="0" w:wrap="around" w:vAnchor="page" w:y="341" w:anchorLock="0"/>
    </w:pPr>
  </w:p>
  <w:p w:rsidR="001D40B6" w:rsidRPr="00130725" w:rsidRDefault="001D40B6">
    <w:pPr>
      <w:pStyle w:val="SidhuvudKantUdda"/>
      <w:framePr w:w="8732" w:h="567" w:hRule="exact" w:vSpace="0" w:wrap="around" w:vAnchor="page" w:y="341" w:anchorLock="0"/>
    </w:pPr>
    <w:r w:rsidRPr="00130725">
      <w:rPr>
        <w:rStyle w:val="SidhuvudRubrikReferens"/>
        <w:smallCaps w:val="0"/>
        <w:spacing w:val="0"/>
        <w:sz w:val="19"/>
      </w:rPr>
      <w:t xml:space="preserve"> </w:t>
    </w:r>
  </w:p>
  <w:p w:rsidR="001D40B6" w:rsidRPr="00130725" w:rsidRDefault="001D40B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huvudKantJmn"/>
      <w:framePr w:w="8732" w:h="567" w:hRule="exact" w:vSpace="0" w:wrap="around" w:vAnchor="page" w:y="341" w:anchorLock="0"/>
    </w:pPr>
    <w:r w:rsidRPr="00130725">
      <w:rPr>
        <w:rStyle w:val="SidhuvudUtskott"/>
      </w:rPr>
      <w:t>2000/01:FiU12</w:t>
    </w:r>
    <w:r w:rsidRPr="00130725">
      <w:t xml:space="preserve">     </w:t>
    </w:r>
    <w:r w:rsidRPr="00130725">
      <w:rPr>
        <w:rStyle w:val="SidhuvudBilaga"/>
      </w:rPr>
      <w:t xml:space="preserve"> </w:t>
    </w:r>
    <w:r w:rsidRPr="00130725">
      <w:rPr>
        <w:rStyle w:val="SidhuvudRubrikReferens"/>
      </w:rPr>
      <w:t>Utskottets överväganden</w:t>
    </w:r>
  </w:p>
  <w:p w:rsidR="001D40B6" w:rsidRPr="00130725" w:rsidRDefault="001D40B6">
    <w:pPr>
      <w:pStyle w:val="SidhuvudKantJmn"/>
      <w:framePr w:w="8732" w:h="567" w:hRule="exact" w:vSpace="0" w:wrap="around" w:vAnchor="page" w:y="341" w:anchorLock="0"/>
    </w:pPr>
  </w:p>
  <w:p w:rsidR="001D40B6" w:rsidRPr="00130725" w:rsidRDefault="001D40B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huvudKantUdda"/>
      <w:framePr w:w="8732" w:h="567" w:hRule="exact" w:vSpace="0" w:wrap="around" w:vAnchor="page" w:y="341" w:anchorLock="0"/>
    </w:pPr>
    <w:r w:rsidRPr="00130725">
      <w:rPr>
        <w:rStyle w:val="SidhuvudRubrikReferens"/>
      </w:rPr>
      <w:t>Utskottets överväganden</w:t>
    </w:r>
    <w:r w:rsidRPr="00130725">
      <w:rPr>
        <w:rStyle w:val="SidhuvudBilaga"/>
      </w:rPr>
      <w:t xml:space="preserve"> </w:t>
    </w:r>
    <w:r w:rsidRPr="00130725">
      <w:t xml:space="preserve">     </w:t>
    </w:r>
    <w:r w:rsidRPr="00130725">
      <w:rPr>
        <w:rStyle w:val="SidhuvudUtskott"/>
      </w:rPr>
      <w:t>2000/01:FiU12</w:t>
    </w:r>
  </w:p>
  <w:p w:rsidR="001D40B6" w:rsidRPr="00130725" w:rsidRDefault="001D40B6">
    <w:pPr>
      <w:pStyle w:val="SidhuvudKantUdda"/>
      <w:framePr w:w="8732" w:h="567" w:hRule="exact" w:vSpace="0" w:wrap="around" w:vAnchor="page" w:y="341" w:anchorLock="0"/>
    </w:pPr>
  </w:p>
  <w:p w:rsidR="001D40B6" w:rsidRPr="00130725" w:rsidRDefault="001D40B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0B6" w:rsidRPr="00130725" w:rsidRDefault="001D40B6">
    <w:pPr>
      <w:pStyle w:val="SidhuvudKantUdda"/>
      <w:framePr w:w="8732" w:h="567" w:hRule="exact" w:vSpace="0" w:wrap="around" w:vAnchor="page" w:y="341" w:anchorLock="0"/>
    </w:pPr>
    <w:r w:rsidRPr="00130725">
      <w:t xml:space="preserve">  </w:t>
    </w:r>
    <w:r w:rsidRPr="00130725">
      <w:rPr>
        <w:rStyle w:val="SidhuvudUtskott"/>
      </w:rPr>
      <w:t>2000/01:FiU12</w:t>
    </w:r>
  </w:p>
  <w:p w:rsidR="001D40B6" w:rsidRPr="00130725" w:rsidRDefault="001D40B6">
    <w:pPr>
      <w:pStyle w:val="SidhuvudKantUdda"/>
      <w:framePr w:w="8732" w:h="567" w:hRule="exact" w:vSpace="0" w:wrap="around" w:vAnchor="page" w:y="341" w:anchorLock="0"/>
    </w:pPr>
  </w:p>
  <w:p w:rsidR="001D40B6" w:rsidRPr="00130725" w:rsidRDefault="001D40B6">
    <w:pPr>
      <w:pStyle w:val="Sidhuvud"/>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D511FA"/>
    <w:rsid w:val="00130725"/>
    <w:rsid w:val="001D40B6"/>
    <w:rsid w:val="00D511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67723C-E66D-4888-969E-27513F00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line="250" w:lineRule="atLeast"/>
      <w:jc w:val="both"/>
    </w:pPr>
    <w:rPr>
      <w:sz w:val="19"/>
      <w:lang w:val="sv-SE"/>
    </w:rPr>
  </w:style>
  <w:style w:type="paragraph" w:styleId="Rubrik1">
    <w:name w:val="heading 1"/>
    <w:basedOn w:val="Normal"/>
    <w:next w:val="Normal"/>
    <w:qFormat/>
    <w:pPr>
      <w:keepNext/>
      <w:keepLines/>
      <w:suppressAutoHyphens/>
      <w:spacing w:after="680" w:line="320" w:lineRule="exact"/>
      <w:jc w:val="left"/>
      <w:outlineLvl w:val="0"/>
    </w:pPr>
    <w:rPr>
      <w:noProof/>
      <w:sz w:val="32"/>
    </w:rPr>
  </w:style>
  <w:style w:type="paragraph" w:styleId="Rubrik2">
    <w:name w:val="heading 2"/>
    <w:basedOn w:val="Rubrik1"/>
    <w:next w:val="Normal"/>
    <w:qFormat/>
    <w:pPr>
      <w:spacing w:before="250" w:after="250" w:line="250" w:lineRule="exact"/>
      <w:outlineLvl w:val="1"/>
    </w:pPr>
    <w:rPr>
      <w:sz w:val="27"/>
    </w:rPr>
  </w:style>
  <w:style w:type="paragraph" w:styleId="Rubrik3">
    <w:name w:val="heading 3"/>
    <w:basedOn w:val="Rubrik1"/>
    <w:next w:val="Normal"/>
    <w:qFormat/>
    <w:pPr>
      <w:spacing w:before="125" w:after="125" w:line="250" w:lineRule="exact"/>
      <w:outlineLvl w:val="2"/>
    </w:pPr>
    <w:rPr>
      <w:b/>
      <w:sz w:val="21"/>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50" w:line="200" w:lineRule="exact"/>
      <w:jc w:val="left"/>
      <w:outlineLvl w:val="5"/>
    </w:pPr>
    <w:rPr>
      <w:caps/>
      <w:sz w:val="1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ind w:firstLine="227"/>
    </w:pPr>
  </w:style>
  <w:style w:type="paragraph" w:customStyle="1" w:styleId="HuvudRubrik">
    <w:name w:val="HuvudRubrik"/>
    <w:basedOn w:val="Normal"/>
    <w:pPr>
      <w:keepNext/>
      <w:keepLines/>
      <w:suppressAutoHyphens/>
      <w:spacing w:line="320" w:lineRule="exact"/>
      <w:jc w:val="left"/>
    </w:pPr>
    <w:rPr>
      <w:sz w:val="32"/>
    </w:rPr>
  </w:style>
  <w:style w:type="paragraph" w:customStyle="1" w:styleId="StatusSida1">
    <w:name w:val="Status Sida1"/>
    <w:basedOn w:val="Normal"/>
    <w:pPr>
      <w:spacing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ind w:left="-851"/>
      <w:jc w:val="left"/>
    </w:pPr>
  </w:style>
  <w:style w:type="paragraph" w:customStyle="1" w:styleId="RubrikInnehll">
    <w:name w:val="RubrikInnehåll"/>
    <w:basedOn w:val="Rubrik1"/>
    <w:next w:val="Normal"/>
  </w:style>
  <w:style w:type="paragraph" w:customStyle="1" w:styleId="Tabellochbildrubrik">
    <w:name w:val="Tabell och bildrubrik"/>
    <w:basedOn w:val="Normal"/>
    <w:pPr>
      <w:spacing w:before="300" w:line="200" w:lineRule="exact"/>
      <w:jc w:val="left"/>
    </w:pPr>
    <w:rPr>
      <w:caps/>
      <w:sz w:val="14"/>
    </w:rPr>
  </w:style>
  <w:style w:type="paragraph" w:styleId="Citat">
    <w:name w:val="Quote"/>
    <w:basedOn w:val="Normal"/>
    <w:next w:val="CitatIndrag"/>
    <w:qFormat/>
    <w:pPr>
      <w:spacing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semiHidden/>
    <w:pPr>
      <w:spacing w:line="170" w:lineRule="exact"/>
    </w:pPr>
    <w:rPr>
      <w:sz w:val="17"/>
    </w:rPr>
  </w:style>
  <w:style w:type="paragraph" w:customStyle="1" w:styleId="Innehll">
    <w:name w:val="Innehåll"/>
    <w:basedOn w:val="Rubrik1"/>
    <w:next w:val="Normal"/>
  </w:style>
  <w:style w:type="paragraph" w:styleId="Innehll1">
    <w:name w:val="toc 1"/>
    <w:basedOn w:val="Normal"/>
    <w:autoRedefine/>
    <w:semiHidden/>
    <w:pPr>
      <w:tabs>
        <w:tab w:val="right" w:leader="dot" w:pos="5954"/>
      </w:tabs>
      <w:ind w:right="567"/>
    </w:pPr>
  </w:style>
  <w:style w:type="paragraph" w:styleId="Innehll2">
    <w:name w:val="toc 2"/>
    <w:basedOn w:val="Innehll1"/>
    <w:autoRedefine/>
    <w:semiHidden/>
    <w:pPr>
      <w:ind w:left="284"/>
    </w:pPr>
  </w:style>
  <w:style w:type="paragraph" w:styleId="Innehll3">
    <w:name w:val="toc 3"/>
    <w:basedOn w:val="Innehll1"/>
    <w:autoRedefine/>
    <w:semiHidden/>
    <w:pPr>
      <w:ind w:left="567"/>
    </w:pPr>
  </w:style>
  <w:style w:type="paragraph" w:styleId="Innehll4">
    <w:name w:val="toc 4"/>
    <w:basedOn w:val="Innehll1"/>
    <w:autoRedefine/>
    <w:semiHidden/>
    <w:pPr>
      <w:ind w:left="851"/>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Rubrik1"/>
    <w:next w:val="Normal"/>
    <w:pPr>
      <w:outlineLvl w:val="9"/>
    </w:pPr>
  </w:style>
  <w:style w:type="paragraph" w:customStyle="1" w:styleId="R2">
    <w:name w:val="R2"/>
    <w:basedOn w:val="Rubrik2"/>
    <w:next w:val="Normal"/>
  </w:style>
  <w:style w:type="paragraph" w:customStyle="1" w:styleId="R3">
    <w:name w:val="R3"/>
    <w:basedOn w:val="Rubrik3"/>
    <w:next w:val="Normal"/>
  </w:style>
  <w:style w:type="paragraph" w:customStyle="1" w:styleId="R4">
    <w:name w:val="R4"/>
    <w:basedOn w:val="Rubrik4"/>
    <w:next w:val="Normal"/>
  </w:style>
  <w:style w:type="paragraph" w:styleId="Sidfot">
    <w:name w:val="footer"/>
    <w:basedOn w:val="Normal"/>
    <w:semiHidden/>
    <w:pPr>
      <w:tabs>
        <w:tab w:val="center" w:pos="4703"/>
        <w:tab w:val="right" w:pos="9406"/>
      </w:tabs>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line="160" w:lineRule="exac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pPr>
  </w:style>
  <w:style w:type="paragraph" w:customStyle="1" w:styleId="Bilaga">
    <w:name w:val="Bilaga"/>
    <w:basedOn w:val="Rubrik2"/>
    <w:pPr>
      <w:spacing w:after="40" w:line="190" w:lineRule="exact"/>
      <w:outlineLvl w:val="9"/>
    </w:pPr>
    <w:rPr>
      <w:caps/>
      <w:sz w:val="19"/>
      <w:u w:val="single"/>
    </w:rPr>
  </w:style>
  <w:style w:type="paragraph" w:customStyle="1" w:styleId="DokumentRubrik">
    <w:name w:val="DokumentRubrik"/>
    <w:basedOn w:val="Normal"/>
    <w:pPr>
      <w:spacing w:after="20" w:line="240" w:lineRule="atLeast"/>
      <w:jc w:val="left"/>
    </w:pPr>
    <w:rPr>
      <w:noProof/>
      <w:sz w:val="40"/>
    </w:rPr>
  </w:style>
  <w:style w:type="paragraph" w:customStyle="1" w:styleId="Frslagspunkt">
    <w:name w:val="Förslagspunkt"/>
    <w:basedOn w:val="Rubrik3"/>
    <w:pPr>
      <w:spacing w:before="250" w:after="0"/>
      <w:ind w:left="340" w:hanging="340"/>
      <w:outlineLvl w:val="9"/>
    </w:pPr>
  </w:style>
  <w:style w:type="paragraph" w:customStyle="1" w:styleId="Frslagstext">
    <w:name w:val="Förslagstext"/>
    <w:basedOn w:val="Normal"/>
    <w:pPr>
      <w:ind w:left="340"/>
    </w:pPr>
  </w:style>
  <w:style w:type="paragraph" w:styleId="Kommentarer">
    <w:name w:val="annotation text"/>
    <w:basedOn w:val="Normal"/>
    <w:semiHidden/>
    <w:rPr>
      <w:sz w:val="20"/>
    </w:rPr>
  </w:style>
  <w:style w:type="paragraph" w:customStyle="1" w:styleId="Reservanter">
    <w:name w:val="Reservanter"/>
    <w:basedOn w:val="Normaltindrag"/>
    <w:pPr>
      <w:spacing w:after="60"/>
      <w:ind w:left="340" w:firstLine="0"/>
    </w:pPr>
  </w:style>
  <w:style w:type="paragraph" w:customStyle="1" w:styleId="Reservantfrslag">
    <w:name w:val="Reservantförslag"/>
    <w:basedOn w:val="Normal"/>
  </w:style>
  <w:style w:type="paragraph" w:customStyle="1" w:styleId="Reservationshnvisning">
    <w:name w:val="Reservationshänvisning"/>
    <w:basedOn w:val="Normal"/>
    <w:pPr>
      <w:jc w:val="right"/>
    </w:pPr>
    <w:rPr>
      <w:i/>
    </w:rPr>
  </w:style>
  <w:style w:type="paragraph" w:customStyle="1" w:styleId="Reservationspunkt">
    <w:name w:val="Reservationspunkt"/>
    <w:basedOn w:val="Frslagspunkt"/>
    <w:next w:val="Reservanter"/>
    <w:pPr>
      <w:outlineLvl w:val="1"/>
    </w:pPr>
  </w:style>
  <w:style w:type="paragraph" w:customStyle="1" w:styleId="Rubrik1b">
    <w:name w:val="Rubrik 1b"/>
    <w:basedOn w:val="Rubrik2"/>
    <w:rPr>
      <w:b/>
    </w:rPr>
  </w:style>
  <w:style w:type="paragraph" w:customStyle="1" w:styleId="Rubrik2b">
    <w:name w:val="Rubrik 2b"/>
    <w:basedOn w:val="Rubrik2"/>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after="0"/>
      <w:ind w:left="113" w:right="113"/>
    </w:pPr>
  </w:style>
  <w:style w:type="paragraph" w:customStyle="1" w:styleId="Utskottetsvervganden-kursivrubrik">
    <w:name w:val="Utskottets överväganden - kursiv rubrik"/>
    <w:basedOn w:val="Rubrik3"/>
    <w:next w:val="Normal"/>
    <w:pPr>
      <w:spacing w:before="190" w:after="60"/>
    </w:pPr>
    <w:rPr>
      <w:b w:val="0"/>
      <w:i/>
    </w:rPr>
  </w:style>
  <w:style w:type="paragraph" w:customStyle="1" w:styleId="Utskriftsdatum">
    <w:name w:val="Utskriftsdatum"/>
    <w:basedOn w:val="Normal"/>
    <w:next w:val="Normal"/>
    <w:pPr>
      <w:keepNext/>
      <w:spacing w:after="250"/>
    </w:pPr>
  </w:style>
  <w:style w:type="paragraph" w:customStyle="1" w:styleId="Utskottetsvervganden-RubrikFrslagspunkt">
    <w:name w:val="Utskottets överväganden - Rubrik Förslagspunkt"/>
    <w:basedOn w:val="Rubrik2"/>
    <w:next w:val="Utskottsfrslagikorthet-Rubrik"/>
    <w:pPr>
      <w:spacing w:before="500" w:after="0"/>
    </w:pPr>
  </w:style>
  <w:style w:type="paragraph" w:customStyle="1" w:styleId="Reservationer-underrubrik">
    <w:name w:val="Reservationer - underrubrik"/>
    <w:basedOn w:val="Utskottetsvervganden-kursivrubrik"/>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image" Target="media/image2.wmf"/><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1312</Words>
  <Characters>8123</Characters>
  <Application>Microsoft Office Word</Application>
  <DocSecurity>4</DocSecurity>
  <Lines>225</Lines>
  <Paragraphs>50</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Finansutskottets betänkande</vt:lpstr>
      <vt:lpstr>Sammanfattning</vt:lpstr>
      <vt:lpstr>Utskottets förslag till riksdagsbeslut</vt:lpstr>
      <vt:lpstr>Utskottets överväganden</vt:lpstr>
      <vt:lpstr>    Allmänna pensionsfondens verksamhet 1999</vt:lpstr>
      <vt:lpstr>        Utskottets förslag i korthet</vt:lpstr>
      <vt:lpstr>    </vt:lpstr>
    </vt:vector>
  </TitlesOfParts>
  <Company>Riksdagen</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2000-11-07T10:07:00Z</cp:lastPrinted>
  <dcterms:created xsi:type="dcterms:W3CDTF">2025-12-15T22:38:00Z</dcterms:created>
  <dcterms:modified xsi:type="dcterms:W3CDTF">2025-12-15T22:38:00Z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