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F14" w:rsidRPr="00385D01" w:rsidRDefault="00AB2F14">
      <w:pPr>
        <w:pStyle w:val="Frslagsrubrik"/>
      </w:pPr>
      <w:r w:rsidRPr="00385D01">
        <w:t>Förslag till riksdagsbeslut</w:t>
      </w:r>
    </w:p>
    <w:p w:rsidR="00AB2F14" w:rsidRPr="00385D01" w:rsidRDefault="00AB2F14">
      <w:pPr>
        <w:pStyle w:val="Hemstlatt"/>
      </w:pPr>
      <w:r w:rsidRPr="00385D01">
        <w:t>Riksdagen tillkännager för regeringen som sin mening vad som anförs i motionen om att utreda en förstärkt valfrihet när det gäller konsumentens möjlighet att välja tv-utbud som alternativ till ”kollektivanslu</w:t>
      </w:r>
      <w:r w:rsidRPr="00385D01">
        <w:t>t</w:t>
      </w:r>
      <w:r w:rsidRPr="00385D01">
        <w:t>ning” till kabelnät.</w:t>
      </w:r>
    </w:p>
    <w:p w:rsidR="00AB2F14" w:rsidRPr="00385D01" w:rsidRDefault="00AB2F14">
      <w:pPr>
        <w:pStyle w:val="Rubrik1"/>
      </w:pPr>
      <w:r w:rsidRPr="00385D01">
        <w:t>Motivering</w:t>
      </w:r>
    </w:p>
    <w:p w:rsidR="00AB2F14" w:rsidRPr="00385D01" w:rsidRDefault="00AB2F14">
      <w:r w:rsidRPr="00385D01">
        <w:t>Kabelnäten för distribution av tv-sändningar innebär genom avtal med fasti</w:t>
      </w:r>
      <w:r w:rsidRPr="00385D01">
        <w:t>g</w:t>
      </w:r>
      <w:r w:rsidRPr="00385D01">
        <w:t>hetsägare ofta ett faktiskt monopol i fastighet eller fastighetsbestånd för h</w:t>
      </w:r>
      <w:r w:rsidRPr="00385D01">
        <w:t>y</w:t>
      </w:r>
      <w:r w:rsidRPr="00385D01">
        <w:t>reslägenheter eller bostadsrätter. Visserligen har den enskilde konsumenten möjlighet att använda inomhusantenn eller antenn på balkong alternativt p</w:t>
      </w:r>
      <w:r w:rsidRPr="00385D01">
        <w:t>a</w:t>
      </w:r>
      <w:r w:rsidRPr="00385D01">
        <w:t>rabol inom balkongområde, men för många konsumenter är den valfriheten en chimär, dels på grund av husets läge i förhållande till satelliter, dels på grund av till exempel det digitala marknätets otillräckliga sändarstyrka.</w:t>
      </w:r>
    </w:p>
    <w:p w:rsidR="00AB2F14" w:rsidRPr="00385D01" w:rsidRDefault="00AB2F14">
      <w:pPr>
        <w:pStyle w:val="Normaltindrag"/>
      </w:pPr>
      <w:r w:rsidRPr="00385D01">
        <w:t>Dessutom ingår ofta kabelnätsavgiften som obligatorium i hy</w:t>
      </w:r>
      <w:r w:rsidRPr="00385D01">
        <w:t>ra, varför konsumenten dels inte har möjlighet att se den faktiska kostnaden, dels inte har någon möjlighet att avstå kostnaden. Inte heller finns det stora möjligheter att välja kanaler inom kabelnäten; ofta är de paketerade. Valfriheten att välja tv-distributör, tv-operatör eller programtjänst är därmed starkt begränsad. Sam</w:t>
      </w:r>
      <w:r w:rsidRPr="00385D01">
        <w:rPr>
          <w:spacing w:val="-4"/>
        </w:rPr>
        <w:t>t</w:t>
      </w:r>
      <w:r w:rsidRPr="00385D01">
        <w:rPr>
          <w:spacing w:val="-4"/>
        </w:rPr>
        <w:t>i</w:t>
      </w:r>
      <w:r w:rsidRPr="00385D01">
        <w:rPr>
          <w:spacing w:val="-4"/>
        </w:rPr>
        <w:t xml:space="preserve">digt har grundlagen starka skrivningar om informationsfriheten (2 kap. 1 § </w:t>
      </w:r>
      <w:r w:rsidRPr="00385D01">
        <w:t>RF). I betänkande 2010/11 KU22 diskuteras frågan och bland annat anförs det fa</w:t>
      </w:r>
      <w:r w:rsidRPr="00385D01">
        <w:t>k</w:t>
      </w:r>
      <w:r w:rsidRPr="00385D01">
        <w:t>tum att regeringen inför 200</w:t>
      </w:r>
      <w:r w:rsidRPr="00385D01">
        <w:t>2 års grundlagsändringar anförde att kabel-tv-abonnenternas ställning är svag i förhållande till kabel-tv-företagen. Rege</w:t>
      </w:r>
      <w:r w:rsidRPr="00385D01">
        <w:t>r</w:t>
      </w:r>
      <w:r w:rsidRPr="00385D01">
        <w:t>ingen bedömde då att konsumenternas möjligheter skulle förstärkas på grund av den förmodade tekniska utvecklingen. Det gjordes dock förändringar på så vis att grundlagen ändrades och öppnades för inskränkningar i etableringsfr</w:t>
      </w:r>
      <w:r w:rsidRPr="00385D01">
        <w:t>i</w:t>
      </w:r>
      <w:r w:rsidRPr="00385D01">
        <w:t>heten i syfte att se till att mottagarkretsen skulle tillförsäkras inflytande. Det har dock inte skett någon sådan lagstiftning.</w:t>
      </w:r>
    </w:p>
    <w:p w:rsidR="00AB2F14" w:rsidRPr="00385D01" w:rsidRDefault="00AB2F14">
      <w:pPr>
        <w:pStyle w:val="Normaltindrag"/>
        <w:rPr>
          <w:color w:val="000000"/>
          <w:szCs w:val="24"/>
        </w:rPr>
      </w:pPr>
      <w:r w:rsidRPr="00385D01">
        <w:lastRenderedPageBreak/>
        <w:t>Frågan har även behandlats senare.</w:t>
      </w:r>
      <w:r w:rsidRPr="00385D01">
        <w:t xml:space="preserve"> 2007 fick den så kallade AV-utredningen i uppdrag att bland annat analysera förslagen som Radio- och tv-lagsutredningen lagt fram i ett betänkande (SOU 2005:62). Den utredningen bedömde att det varken var möjligt eller lämpligt att med en lagstiftning sk</w:t>
      </w:r>
      <w:r w:rsidRPr="00385D01">
        <w:t>a</w:t>
      </w:r>
      <w:r w:rsidRPr="00385D01">
        <w:t>pa förutsättningar för konkurrens mellan oli</w:t>
      </w:r>
      <w:bookmarkStart w:id="0" w:name="IDAROLWK"/>
      <w:r w:rsidRPr="00385D01">
        <w:t xml:space="preserve">ka leverantörer i kabel-tv-näten. AV-utredningen delade denna slutsats och menade att </w:t>
      </w:r>
      <w:r w:rsidRPr="00385D01">
        <w:rPr>
          <w:szCs w:val="24"/>
        </w:rPr>
        <w:t xml:space="preserve">förutsättningarna för konkurrens hade förbättrats </w:t>
      </w:r>
      <w:r w:rsidRPr="00385D01">
        <w:rPr>
          <w:color w:val="000000"/>
          <w:szCs w:val="24"/>
        </w:rPr>
        <w:t>genom att hushållen hade fått ökade möjligheter att välja mellan olika distr</w:t>
      </w:r>
      <w:r w:rsidRPr="00385D01">
        <w:rPr>
          <w:color w:val="000000"/>
          <w:szCs w:val="24"/>
        </w:rPr>
        <w:t>ibutionssätt för tv-sändningar och mellan olika leverantörer av programtjänster. Regeringen delade den bedömningen i pr</w:t>
      </w:r>
      <w:r w:rsidRPr="00385D01">
        <w:rPr>
          <w:color w:val="000000"/>
          <w:szCs w:val="24"/>
        </w:rPr>
        <w:t>o</w:t>
      </w:r>
      <w:r w:rsidRPr="00385D01">
        <w:rPr>
          <w:color w:val="000000"/>
          <w:szCs w:val="24"/>
        </w:rPr>
        <w:t xml:space="preserve">position 2009/10:115 En ny radio- och tv-lag. Regeringen ansåg att det fanns anledning att fortsatt följa hur den snabba utvecklingen inom olika tv-plattformar påverkar hushållens valfrihet. </w:t>
      </w:r>
      <w:bookmarkEnd w:id="0"/>
    </w:p>
    <w:p w:rsidR="00AB2F14" w:rsidRPr="00385D01" w:rsidRDefault="00AB2F14">
      <w:pPr>
        <w:pStyle w:val="Normaltindrag"/>
      </w:pPr>
      <w:r w:rsidRPr="00385D01">
        <w:t>Utskottet noterade i sitt betänkande också det faktum att regeringen i pr</w:t>
      </w:r>
      <w:r w:rsidRPr="00385D01">
        <w:t>o</w:t>
      </w:r>
      <w:r w:rsidRPr="00385D01">
        <w:t>positionen Bättre elektroniska kommunikationer föreslog att det ska bli mö</w:t>
      </w:r>
      <w:r w:rsidRPr="00385D01">
        <w:t>j</w:t>
      </w:r>
      <w:r w:rsidRPr="00385D01">
        <w:t>ligt att besluta om att en operatör ska kunna förpliktas att mot marknadsmä</w:t>
      </w:r>
      <w:r w:rsidRPr="00385D01">
        <w:t>s</w:t>
      </w:r>
      <w:r w:rsidRPr="00385D01">
        <w:t>sig e</w:t>
      </w:r>
      <w:r w:rsidRPr="00385D01">
        <w:t>r</w:t>
      </w:r>
      <w:r w:rsidRPr="00385D01">
        <w:t>sättning tillhandahålla en annan operatör gemensamt utnyttjande av ledningar i ett allmänt kommunikationsnät. Regeringen menade att det är svårt att öve</w:t>
      </w:r>
      <w:r w:rsidRPr="00385D01">
        <w:t>r</w:t>
      </w:r>
      <w:r w:rsidRPr="00385D01">
        <w:t>blicka konsekvenserna för konsumenterna men att det skulle kunna innebära en ökad valfrihet. Förändringarna började gälla 1 juli 2011. Regeringen a</w:t>
      </w:r>
      <w:r w:rsidRPr="00385D01">
        <w:t>n</w:t>
      </w:r>
      <w:r w:rsidRPr="00385D01">
        <w:t>förde i samband med propositionen 2009/10:115 att den</w:t>
      </w:r>
      <w:r w:rsidRPr="00385D01">
        <w:t xml:space="preserve"> avsåg att ge Myndi</w:t>
      </w:r>
      <w:r w:rsidRPr="00385D01">
        <w:t>g</w:t>
      </w:r>
      <w:r w:rsidRPr="00385D01">
        <w:t>heten för radio och tv</w:t>
      </w:r>
      <w:r w:rsidRPr="00385D01">
        <w:rPr>
          <w:szCs w:val="19"/>
        </w:rPr>
        <w:t xml:space="preserve"> </w:t>
      </w:r>
      <w:r w:rsidRPr="00385D01">
        <w:t>i uppdrag att, i samråd med andra berörda myndigheter, följa den utvecklingen och vid behov lämna förslag till åtgärder. Jag anser att detta krav behöver förnyas.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5D01">
        <w:trPr>
          <w:cantSplit/>
        </w:trPr>
        <w:tc>
          <w:tcPr>
            <w:tcW w:w="3046" w:type="dxa"/>
          </w:tcPr>
          <w:p w:rsidR="00AB2F14" w:rsidRPr="00385D01" w:rsidRDefault="00AB2F14">
            <w:pPr>
              <w:pStyle w:val="UnderskriftDatum"/>
              <w:spacing w:before="240"/>
            </w:pPr>
            <w:r w:rsidRPr="00385D01">
              <w:t>Stockholm den 12 september 2011</w:t>
            </w:r>
          </w:p>
        </w:tc>
        <w:tc>
          <w:tcPr>
            <w:tcW w:w="3047" w:type="dxa"/>
          </w:tcPr>
          <w:p w:rsidR="00AB2F14" w:rsidRPr="00385D01" w:rsidRDefault="00AB2F14">
            <w:pPr>
              <w:pStyle w:val="Underskrifter"/>
              <w:spacing w:before="240"/>
            </w:pPr>
          </w:p>
        </w:tc>
      </w:tr>
      <w:tr w:rsidR="00000000" w:rsidRPr="00385D01">
        <w:trPr>
          <w:cantSplit/>
        </w:trPr>
        <w:tc>
          <w:tcPr>
            <w:tcW w:w="3046" w:type="dxa"/>
          </w:tcPr>
          <w:p w:rsidR="00AB2F14" w:rsidRPr="00385D01" w:rsidRDefault="00AB2F14">
            <w:pPr>
              <w:pStyle w:val="Underskrifter"/>
            </w:pPr>
            <w:r w:rsidRPr="00385D01">
              <w:t>Caroline Szyber (KD)</w:t>
            </w:r>
          </w:p>
        </w:tc>
        <w:tc>
          <w:tcPr>
            <w:tcW w:w="3046" w:type="dxa"/>
          </w:tcPr>
          <w:p w:rsidR="00AB2F14" w:rsidRPr="00385D01" w:rsidRDefault="00AB2F14">
            <w:pPr>
              <w:pStyle w:val="Underskrifter"/>
            </w:pPr>
          </w:p>
        </w:tc>
      </w:tr>
    </w:tbl>
    <w:p w:rsidR="00AB2F14" w:rsidRPr="00385D01" w:rsidRDefault="00AB2F14">
      <w:pPr>
        <w:pStyle w:val="Normaltindrag"/>
      </w:pPr>
    </w:p>
    <w:sectPr w:rsidR="00AB2F14" w:rsidRPr="00385D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F14" w:rsidRPr="00385D01" w:rsidRDefault="00AB2F14">
      <w:r w:rsidRPr="00385D01">
        <w:separator/>
      </w:r>
    </w:p>
  </w:endnote>
  <w:endnote w:type="continuationSeparator" w:id="0">
    <w:p w:rsidR="00AB2F14" w:rsidRPr="00385D01" w:rsidRDefault="00AB2F14">
      <w:r w:rsidRPr="00385D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Pr="00385D01" w:rsidRDefault="00385D01">
    <w:pPr>
      <w:pStyle w:val="Sidfot"/>
    </w:pPr>
    <w:r w:rsidRPr="00385D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55915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F14" w:rsidRDefault="00AB2F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2F14" w:rsidRDefault="00AB2F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Pr="00385D01" w:rsidRDefault="00385D01">
    <w:pPr>
      <w:pStyle w:val="Sidfot"/>
    </w:pPr>
    <w:r w:rsidRPr="00385D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48348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F14" w:rsidRDefault="00AB2F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2F14" w:rsidRDefault="00AB2F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Pr="00385D01" w:rsidRDefault="00385D01">
    <w:pPr>
      <w:pStyle w:val="Sidfot"/>
    </w:pPr>
    <w:r w:rsidRPr="00385D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78839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F14" w:rsidRDefault="00AB2F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2F14" w:rsidRDefault="00AB2F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F14" w:rsidRPr="00385D01" w:rsidRDefault="00AB2F14">
      <w:r w:rsidRPr="00385D01">
        <w:separator/>
      </w:r>
    </w:p>
  </w:footnote>
  <w:footnote w:type="continuationSeparator" w:id="0">
    <w:p w:rsidR="00AB2F14" w:rsidRPr="00385D01" w:rsidRDefault="00AB2F14">
      <w:r w:rsidRPr="00385D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Pr="00385D01" w:rsidRDefault="00385D01">
    <w:pPr>
      <w:pStyle w:val="Sidhuvud"/>
    </w:pPr>
    <w:r w:rsidRPr="00385D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46636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F14" w:rsidRDefault="00AB2F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2F14" w:rsidRDefault="00AB2F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Pr="00385D01" w:rsidRDefault="00385D01">
    <w:pPr>
      <w:pStyle w:val="Sidhuvud"/>
    </w:pPr>
    <w:r w:rsidRPr="00385D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36817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F14" w:rsidRDefault="00AB2F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2F14" w:rsidRDefault="00AB2F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Pr="00385D01" w:rsidRDefault="00AB2F14">
    <w:pPr>
      <w:pStyle w:val="FSHNormal"/>
      <w:tabs>
        <w:tab w:val="right" w:pos="5840"/>
      </w:tabs>
    </w:pPr>
    <w:r w:rsidRPr="00385D01">
      <w:br/>
    </w:r>
    <w:r w:rsidRPr="00385D01">
      <w:fldChar w:fldCharType="begin" w:fldLock="1"/>
    </w:r>
    <w:r w:rsidRPr="00385D01">
      <w:instrText xml:space="preserve"> DOCPROPERTY</w:instrText>
    </w:r>
    <w:r w:rsidRPr="00385D01">
      <w:rPr>
        <w:sz w:val="18"/>
      </w:rPr>
      <w:instrText xml:space="preserve"> "YearUser" *\charformat </w:instrText>
    </w:r>
    <w:r w:rsidRPr="00385D01">
      <w:fldChar w:fldCharType="separate"/>
    </w:r>
    <w:r w:rsidRPr="00385D01">
      <w:t>2011/12</w:t>
    </w:r>
    <w:r w:rsidRPr="00385D01">
      <w:fldChar w:fldCharType="end"/>
    </w:r>
    <w:r w:rsidRPr="00385D01">
      <w:t xml:space="preserve"> </w:t>
    </w:r>
    <w:r w:rsidRPr="00385D01">
      <w:tab/>
      <w:t xml:space="preserve">mnr: </w:t>
    </w:r>
    <w:r w:rsidRPr="00385D01">
      <w:fldChar w:fldCharType="begin" w:fldLock="1"/>
    </w:r>
    <w:r w:rsidRPr="00385D01">
      <w:instrText xml:space="preserve"> DOCPROPERTY</w:instrText>
    </w:r>
    <w:r w:rsidRPr="00385D01">
      <w:rPr>
        <w:sz w:val="18"/>
      </w:rPr>
      <w:instrText xml:space="preserve"> "Motionsnummer" *\charformat </w:instrText>
    </w:r>
    <w:r w:rsidRPr="00385D01">
      <w:fldChar w:fldCharType="separate"/>
    </w:r>
    <w:r w:rsidRPr="00385D01">
      <w:t>K202</w:t>
    </w:r>
    <w:r w:rsidRPr="00385D01">
      <w:fldChar w:fldCharType="end"/>
    </w:r>
    <w:r w:rsidRPr="00385D01">
      <w:br/>
    </w:r>
    <w:r w:rsidRPr="00385D01">
      <w:fldChar w:fldCharType="begin" w:fldLock="1"/>
    </w:r>
    <w:r w:rsidRPr="00385D01">
      <w:instrText xml:space="preserve"> DOCPROPERTY</w:instrText>
    </w:r>
    <w:r w:rsidRPr="00385D01">
      <w:rPr>
        <w:sz w:val="18"/>
      </w:rPr>
      <w:instrText xml:space="preserve"> "Samling" *\charformat </w:instrText>
    </w:r>
    <w:r w:rsidRPr="00385D01">
      <w:fldChar w:fldCharType="end"/>
    </w:r>
    <w:r w:rsidRPr="00385D01">
      <w:tab/>
      <w:t xml:space="preserve">pnr: </w:t>
    </w:r>
    <w:r w:rsidRPr="00385D01">
      <w:fldChar w:fldCharType="begin" w:fldLock="1"/>
    </w:r>
    <w:r w:rsidRPr="00385D01">
      <w:instrText xml:space="preserve"> DOCPROPERTY</w:instrText>
    </w:r>
    <w:r w:rsidRPr="00385D01">
      <w:rPr>
        <w:sz w:val="18"/>
      </w:rPr>
      <w:instrText xml:space="preserve"> "Partinummer" *\charformat </w:instrText>
    </w:r>
    <w:r w:rsidRPr="00385D01">
      <w:fldChar w:fldCharType="separate"/>
    </w:r>
    <w:r w:rsidRPr="00385D01">
      <w:t>KD501</w:t>
    </w:r>
    <w:r w:rsidRPr="00385D01">
      <w:fldChar w:fldCharType="end"/>
    </w:r>
  </w:p>
  <w:p w:rsidR="00AB2F14" w:rsidRPr="00385D01" w:rsidRDefault="00AB2F14">
    <w:pPr>
      <w:pStyle w:val="FSHRub1"/>
    </w:pPr>
    <w:r w:rsidRPr="00385D01">
      <w:t>Motion till riksdagen</w:t>
    </w:r>
    <w:r w:rsidRPr="00385D01">
      <w:br/>
    </w:r>
    <w:r w:rsidRPr="00385D01">
      <w:fldChar w:fldCharType="begin" w:fldLock="1"/>
    </w:r>
    <w:r w:rsidRPr="00385D01">
      <w:instrText xml:space="preserve"> DOCPROPERTY "YearUser" *\charformat </w:instrText>
    </w:r>
    <w:r w:rsidRPr="00385D01">
      <w:fldChar w:fldCharType="separate"/>
    </w:r>
    <w:r w:rsidRPr="00385D01">
      <w:t>2011/12</w:t>
    </w:r>
    <w:r w:rsidRPr="00385D01">
      <w:fldChar w:fldCharType="end"/>
    </w:r>
    <w:r w:rsidRPr="00385D01">
      <w:t>:</w:t>
    </w:r>
    <w:r w:rsidRPr="00385D01">
      <w:fldChar w:fldCharType="begin" w:fldLock="1"/>
    </w:r>
    <w:r w:rsidRPr="00385D01">
      <w:instrText xml:space="preserve"> DOCPROPERTY "Motionsnummer" *\charformat </w:instrText>
    </w:r>
    <w:r w:rsidRPr="00385D01">
      <w:fldChar w:fldCharType="separate"/>
    </w:r>
    <w:r w:rsidRPr="00385D01">
      <w:t>K202</w:t>
    </w:r>
    <w:r w:rsidRPr="00385D01">
      <w:fldChar w:fldCharType="end"/>
    </w:r>
  </w:p>
  <w:p w:rsidR="00AB2F14" w:rsidRPr="00385D01" w:rsidRDefault="00AB2F14">
    <w:pPr>
      <w:pStyle w:val="FSHNormalS5"/>
    </w:pPr>
    <w:r w:rsidRPr="00385D01">
      <w:fldChar w:fldCharType="begin" w:fldLock="1"/>
    </w:r>
    <w:r w:rsidRPr="00385D01">
      <w:instrText xml:space="preserve"> DOCPROPERTY "MotionarText" *\charformat </w:instrText>
    </w:r>
    <w:r w:rsidRPr="00385D01">
      <w:fldChar w:fldCharType="separate"/>
    </w:r>
    <w:r w:rsidRPr="00385D01">
      <w:t>av Caroline Szyber (KD)</w:t>
    </w:r>
    <w:r w:rsidRPr="00385D01">
      <w:fldChar w:fldCharType="end"/>
    </w:r>
    <w:r w:rsidRPr="00385D01">
      <w:br/>
    </w:r>
    <w:r w:rsidRPr="00385D01">
      <w:fldChar w:fldCharType="begin" w:fldLock="1"/>
    </w:r>
    <w:r w:rsidRPr="00385D01">
      <w:instrText xml:space="preserve"> DOCPROPERTY "SvarFrasKort" *\charformat </w:instrText>
    </w:r>
    <w:r w:rsidRPr="00385D01">
      <w:fldChar w:fldCharType="end"/>
    </w:r>
  </w:p>
  <w:p w:rsidR="00AB2F14" w:rsidRPr="00385D01" w:rsidRDefault="00AB2F14">
    <w:pPr>
      <w:pStyle w:val="FSHTitel"/>
    </w:pPr>
    <w:r w:rsidRPr="00385D01">
      <w:fldChar w:fldCharType="begin" w:fldLock="1"/>
    </w:r>
    <w:r w:rsidRPr="00385D01">
      <w:instrText xml:space="preserve"> DOCPROPERTY</w:instrText>
    </w:r>
    <w:r w:rsidRPr="00385D01">
      <w:rPr>
        <w:sz w:val="18"/>
      </w:rPr>
      <w:instrText xml:space="preserve"> "RubrikSvar" *\charformat </w:instrText>
    </w:r>
    <w:r w:rsidRPr="00385D01">
      <w:fldChar w:fldCharType="separate"/>
    </w:r>
    <w:r w:rsidRPr="00385D01">
      <w:t>Konsumentens möjlighet att välja tv-utbud</w:t>
    </w:r>
    <w:r w:rsidRPr="00385D01">
      <w:fldChar w:fldCharType="end"/>
    </w:r>
  </w:p>
  <w:p w:rsidR="00AB2F14" w:rsidRPr="00385D01" w:rsidRDefault="00AB2F14">
    <w:pPr>
      <w:pStyle w:val="Normal00"/>
    </w:pPr>
  </w:p>
  <w:p w:rsidR="00AB2F14" w:rsidRPr="00385D01" w:rsidRDefault="00AB2F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81940519">
    <w:abstractNumId w:val="3"/>
  </w:num>
  <w:num w:numId="2" w16cid:durableId="1403915780">
    <w:abstractNumId w:val="2"/>
  </w:num>
  <w:num w:numId="3" w16cid:durableId="1893075198">
    <w:abstractNumId w:val="1"/>
  </w:num>
  <w:num w:numId="4" w16cid:durableId="521937235">
    <w:abstractNumId w:val="0"/>
  </w:num>
  <w:num w:numId="5" w16cid:durableId="791167678">
    <w:abstractNumId w:val="7"/>
  </w:num>
  <w:num w:numId="6" w16cid:durableId="1034424021">
    <w:abstractNumId w:val="6"/>
  </w:num>
  <w:num w:numId="7" w16cid:durableId="1072436176">
    <w:abstractNumId w:val="5"/>
  </w:num>
  <w:num w:numId="8" w16cid:durableId="1053968839">
    <w:abstractNumId w:val="4"/>
  </w:num>
  <w:num w:numId="9" w16cid:durableId="365643397">
    <w:abstractNumId w:val="8"/>
  </w:num>
  <w:num w:numId="10" w16cid:durableId="545722441">
    <w:abstractNumId w:val="9"/>
  </w:num>
  <w:num w:numId="11" w16cid:durableId="1936400212">
    <w:abstractNumId w:val="10"/>
  </w:num>
  <w:num w:numId="12" w16cid:durableId="325326650">
    <w:abstractNumId w:val="13"/>
  </w:num>
  <w:num w:numId="13" w16cid:durableId="1406604248">
    <w:abstractNumId w:val="15"/>
  </w:num>
  <w:num w:numId="14" w16cid:durableId="1949237772">
    <w:abstractNumId w:val="16"/>
  </w:num>
  <w:num w:numId="15" w16cid:durableId="841359985">
    <w:abstractNumId w:val="11"/>
  </w:num>
  <w:num w:numId="16" w16cid:durableId="344021517">
    <w:abstractNumId w:val="18"/>
  </w:num>
  <w:num w:numId="17" w16cid:durableId="1690328407">
    <w:abstractNumId w:val="17"/>
  </w:num>
  <w:num w:numId="18" w16cid:durableId="427315832">
    <w:abstractNumId w:val="14"/>
  </w:num>
  <w:num w:numId="19" w16cid:durableId="424811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DF8ABEA8-D3AA-4B51-B172-BDBC1AA2FF8C}"/>
  </w:docVars>
  <w:rsids>
    <w:rsidRoot w:val="005A7F82"/>
    <w:rsid w:val="00385D01"/>
    <w:rsid w:val="005A7F82"/>
    <w:rsid w:val="00AB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93323C-7875-4970-AD94-6BE1371A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mstlatt0">
    <w:name w:val="hemstl_att"/>
    <w:aliases w:val="förslagspunkt,yrkande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rag">
    <w:name w:val="normalindrag_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r3">
    <w:name w:val="r3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887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2150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17600141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31321318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865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72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3989400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1406811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42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33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486504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4866589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8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697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5393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0640214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28125811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9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3098</Characters>
  <Application>Microsoft Office Word</Application>
  <DocSecurity>4</DocSecurity>
  <Lines>53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2011-09-29T11:07:00Z</cp:lastPrinted>
  <dcterms:created xsi:type="dcterms:W3CDTF">2025-12-17T18:59:00Z</dcterms:created>
  <dcterms:modified xsi:type="dcterms:W3CDTF">2025-12-17T18:59:00Z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mot2000_533_2011-09-09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Konsumentens möjlighet att välja tv-utbud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Konsumentens möjlighet att välja tv-utbud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Caroline Szyber (KD)</vt:lpwstr>
  </property>
  <property fmtid="{D5CDD505-2E9C-101B-9397-08002B2CF9AE}" pid="26" name="MotionarLista">
    <vt:lpwstr>Szyber, Caroline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Caroline Szyber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12 september 2011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20112012000000750068000005010069</vt:lpwstr>
  </property>
  <property fmtid="{D5CDD505-2E9C-101B-9397-08002B2CF9AE}" pid="47" name="datum">
    <vt:lpwstr>110912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20112012000000750068000005010069</vt:lpwstr>
  </property>
  <property fmtid="{D5CDD505-2E9C-101B-9397-08002B2CF9AE}" pid="50" name="nummer">
    <vt:lpwstr>202</vt:lpwstr>
  </property>
  <property fmtid="{D5CDD505-2E9C-101B-9397-08002B2CF9AE}" pid="51" name="utskottsbeteckning">
    <vt:lpwstr>K</vt:lpwstr>
  </property>
  <property fmtid="{D5CDD505-2E9C-101B-9397-08002B2CF9AE}" pid="52" name="GlobalUID">
    <vt:lpwstr>{BEB868C1-7738-42F7-A215-58A9FE1A9088}</vt:lpwstr>
  </property>
  <property fmtid="{D5CDD505-2E9C-101B-9397-08002B2CF9AE}" pid="53" name="Överföringar">
    <vt:i4>0</vt:i4>
  </property>
  <property fmtid="{D5CDD505-2E9C-101B-9397-08002B2CF9AE}" pid="54" name="Checksum">
    <vt:lpwstr>*1006350420245*</vt:lpwstr>
  </property>
  <property fmtid="{D5CDD505-2E9C-101B-9397-08002B2CF9AE}" pid="55" name="skuggnummer">
    <vt:lpwstr>4</vt:lpwstr>
  </property>
  <property fmtid="{D5CDD505-2E9C-101B-9397-08002B2CF9AE}" pid="56" name="urixVersion">
    <vt:lpwstr>4.5.0.25</vt:lpwstr>
  </property>
  <property fmtid="{D5CDD505-2E9C-101B-9397-08002B2CF9AE}" pid="57" name="urixOrigin">
    <vt:lpwstr>110929 13:09:47.450</vt:lpwstr>
  </property>
  <property fmtid="{D5CDD505-2E9C-101B-9397-08002B2CF9AE}" pid="58" name="urixGuid">
    <vt:lpwstr>{FB7D28CF-A1CD-4C7B-B17D-AA1925B4FC60}</vt:lpwstr>
  </property>
</Properties>
</file>