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096478" w:rsidRPr="003A12D3">
        <w:tc>
          <w:tcPr>
            <w:tcW w:w="2268" w:type="dxa"/>
          </w:tcPr>
          <w:p w:rsidR="00096478" w:rsidRPr="003A12D3" w:rsidRDefault="00096478" w:rsidP="007242A3">
            <w:pPr>
              <w:framePr w:w="5035" w:h="1644" w:wrap="notBeside" w:vAnchor="page" w:hAnchor="page" w:x="6573" w:y="721"/>
              <w:rPr>
                <w:rFonts w:ascii="TradeGothic" w:hAnsi="TradeGothic"/>
                <w:i/>
                <w:sz w:val="18"/>
              </w:rPr>
            </w:pPr>
          </w:p>
        </w:tc>
        <w:tc>
          <w:tcPr>
            <w:tcW w:w="2999" w:type="dxa"/>
            <w:gridSpan w:val="2"/>
          </w:tcPr>
          <w:p w:rsidR="00096478" w:rsidRPr="00BF0C0E" w:rsidRDefault="00096478" w:rsidP="00BF0C0E">
            <w:pPr>
              <w:framePr w:w="5035" w:h="1644" w:wrap="notBeside" w:vAnchor="page" w:hAnchor="page" w:x="6573" w:y="721"/>
              <w:jc w:val="both"/>
              <w:rPr>
                <w:rFonts w:ascii="TradeGothic" w:hAnsi="TradeGothic"/>
                <w:sz w:val="18"/>
              </w:rPr>
            </w:pPr>
          </w:p>
        </w:tc>
      </w:tr>
      <w:tr w:rsidR="00096478" w:rsidRPr="003A12D3">
        <w:tc>
          <w:tcPr>
            <w:tcW w:w="2268" w:type="dxa"/>
          </w:tcPr>
          <w:p w:rsidR="00096478" w:rsidRPr="003A12D3" w:rsidRDefault="00096478" w:rsidP="007242A3">
            <w:pPr>
              <w:framePr w:w="5035" w:h="1644" w:wrap="notBeside" w:vAnchor="page" w:hAnchor="page" w:x="6573" w:y="721"/>
              <w:rPr>
                <w:rFonts w:ascii="TradeGothic" w:hAnsi="TradeGothic"/>
                <w:b/>
              </w:rPr>
            </w:pPr>
            <w:r w:rsidRPr="003A12D3">
              <w:rPr>
                <w:rFonts w:ascii="TradeGothic" w:hAnsi="TradeGothic"/>
                <w:b/>
                <w:sz w:val="22"/>
              </w:rPr>
              <w:t xml:space="preserve">Promemoria </w:t>
            </w:r>
          </w:p>
        </w:tc>
        <w:tc>
          <w:tcPr>
            <w:tcW w:w="2999" w:type="dxa"/>
            <w:gridSpan w:val="2"/>
          </w:tcPr>
          <w:p w:rsidR="00096478" w:rsidRPr="00DC2909" w:rsidRDefault="00096478" w:rsidP="007242A3">
            <w:pPr>
              <w:framePr w:w="5035" w:h="1644" w:wrap="notBeside" w:vAnchor="page" w:hAnchor="page" w:x="6573" w:y="721"/>
              <w:rPr>
                <w:rFonts w:ascii="TradeGothic" w:hAnsi="TradeGothic"/>
                <w:sz w:val="20"/>
              </w:rPr>
            </w:pPr>
            <w:r w:rsidRPr="00DC2909">
              <w:rPr>
                <w:rFonts w:ascii="TradeGothic" w:hAnsi="TradeGothic"/>
                <w:sz w:val="20"/>
              </w:rPr>
              <w:t>Ju2013/676/EU</w:t>
            </w:r>
          </w:p>
        </w:tc>
      </w:tr>
      <w:tr w:rsidR="00096478" w:rsidRPr="003A12D3">
        <w:tc>
          <w:tcPr>
            <w:tcW w:w="3402" w:type="dxa"/>
            <w:gridSpan w:val="2"/>
          </w:tcPr>
          <w:p w:rsidR="00096478" w:rsidRPr="003A12D3" w:rsidRDefault="00096478" w:rsidP="007242A3">
            <w:pPr>
              <w:framePr w:w="5035" w:h="1644" w:wrap="notBeside" w:vAnchor="page" w:hAnchor="page" w:x="6573" w:y="721"/>
            </w:pPr>
          </w:p>
        </w:tc>
        <w:tc>
          <w:tcPr>
            <w:tcW w:w="1865" w:type="dxa"/>
          </w:tcPr>
          <w:p w:rsidR="00096478" w:rsidRPr="003A12D3" w:rsidRDefault="00096478" w:rsidP="007242A3">
            <w:pPr>
              <w:framePr w:w="5035" w:h="1644" w:wrap="notBeside" w:vAnchor="page" w:hAnchor="page" w:x="6573" w:y="721"/>
            </w:pPr>
          </w:p>
        </w:tc>
      </w:tr>
      <w:tr w:rsidR="00096478" w:rsidRPr="003A12D3">
        <w:tc>
          <w:tcPr>
            <w:tcW w:w="2268" w:type="dxa"/>
          </w:tcPr>
          <w:p w:rsidR="00096478" w:rsidRPr="003A12D3" w:rsidRDefault="00096478" w:rsidP="00A2570F">
            <w:pPr>
              <w:framePr w:w="5035" w:h="1644" w:wrap="notBeside" w:vAnchor="page" w:hAnchor="page" w:x="6573" w:y="721"/>
            </w:pPr>
            <w:r>
              <w:t>2013-11-25</w:t>
            </w:r>
          </w:p>
        </w:tc>
        <w:tc>
          <w:tcPr>
            <w:tcW w:w="2999" w:type="dxa"/>
            <w:gridSpan w:val="2"/>
          </w:tcPr>
          <w:p w:rsidR="00096478" w:rsidRPr="003A12D3" w:rsidRDefault="00096478" w:rsidP="007242A3">
            <w:pPr>
              <w:framePr w:w="5035" w:h="1644" w:wrap="notBeside" w:vAnchor="page" w:hAnchor="page" w:x="6573" w:y="721"/>
              <w:rPr>
                <w:sz w:val="20"/>
              </w:rPr>
            </w:pPr>
          </w:p>
        </w:tc>
      </w:tr>
      <w:tr w:rsidR="00096478" w:rsidRPr="003A12D3">
        <w:tc>
          <w:tcPr>
            <w:tcW w:w="2268" w:type="dxa"/>
          </w:tcPr>
          <w:p w:rsidR="00096478" w:rsidRPr="003A12D3" w:rsidRDefault="00096478" w:rsidP="007242A3">
            <w:pPr>
              <w:framePr w:w="5035" w:h="1644" w:wrap="notBeside" w:vAnchor="page" w:hAnchor="page" w:x="6573" w:y="721"/>
            </w:pPr>
          </w:p>
        </w:tc>
        <w:tc>
          <w:tcPr>
            <w:tcW w:w="2999" w:type="dxa"/>
            <w:gridSpan w:val="2"/>
          </w:tcPr>
          <w:p w:rsidR="00096478" w:rsidRPr="003A12D3" w:rsidRDefault="00096478" w:rsidP="007242A3">
            <w:pPr>
              <w:framePr w:w="5035" w:h="1644" w:wrap="notBeside" w:vAnchor="page" w:hAnchor="page" w:x="6573" w:y="721"/>
            </w:pPr>
          </w:p>
        </w:tc>
      </w:tr>
    </w:tbl>
    <w:tbl>
      <w:tblPr>
        <w:tblW w:w="0" w:type="auto"/>
        <w:tblLayout w:type="fixed"/>
        <w:tblLook w:val="0000"/>
      </w:tblPr>
      <w:tblGrid>
        <w:gridCol w:w="4911"/>
      </w:tblGrid>
      <w:tr w:rsidR="00096478" w:rsidRPr="003A12D3">
        <w:trPr>
          <w:trHeight w:val="284"/>
        </w:trPr>
        <w:tc>
          <w:tcPr>
            <w:tcW w:w="4911" w:type="dxa"/>
          </w:tcPr>
          <w:p w:rsidR="00096478" w:rsidRPr="003A12D3" w:rsidRDefault="00096478">
            <w:pPr>
              <w:pStyle w:val="Avsndare"/>
              <w:framePr w:h="2483" w:wrap="notBeside" w:x="1504"/>
              <w:rPr>
                <w:b/>
                <w:i w:val="0"/>
                <w:sz w:val="22"/>
              </w:rPr>
            </w:pPr>
            <w:r>
              <w:rPr>
                <w:b/>
                <w:i w:val="0"/>
                <w:sz w:val="22"/>
              </w:rPr>
              <w:t>Justitiedepartementet</w:t>
            </w:r>
          </w:p>
        </w:tc>
      </w:tr>
      <w:tr w:rsidR="00096478" w:rsidRPr="003A12D3">
        <w:trPr>
          <w:trHeight w:val="284"/>
        </w:trPr>
        <w:tc>
          <w:tcPr>
            <w:tcW w:w="4911" w:type="dxa"/>
          </w:tcPr>
          <w:p w:rsidR="00096478" w:rsidRPr="003A12D3" w:rsidRDefault="00096478">
            <w:pPr>
              <w:pStyle w:val="Avsndare"/>
              <w:framePr w:h="2483" w:wrap="notBeside" w:x="1504"/>
              <w:rPr>
                <w:bCs/>
                <w:iCs/>
              </w:rPr>
            </w:pPr>
          </w:p>
        </w:tc>
      </w:tr>
      <w:tr w:rsidR="00096478" w:rsidRPr="003A12D3">
        <w:trPr>
          <w:trHeight w:val="284"/>
        </w:trPr>
        <w:tc>
          <w:tcPr>
            <w:tcW w:w="4911" w:type="dxa"/>
          </w:tcPr>
          <w:p w:rsidR="00096478" w:rsidRPr="003A12D3" w:rsidRDefault="00096478">
            <w:pPr>
              <w:pStyle w:val="Avsndare"/>
              <w:framePr w:h="2483" w:wrap="notBeside" w:x="1504"/>
              <w:rPr>
                <w:bCs/>
                <w:iCs/>
              </w:rPr>
            </w:pPr>
            <w:r>
              <w:rPr>
                <w:bCs/>
                <w:iCs/>
              </w:rPr>
              <w:t>EU-enheten</w:t>
            </w:r>
          </w:p>
        </w:tc>
      </w:tr>
      <w:tr w:rsidR="00096478" w:rsidRPr="003A12D3">
        <w:trPr>
          <w:trHeight w:val="284"/>
        </w:trPr>
        <w:tc>
          <w:tcPr>
            <w:tcW w:w="4911" w:type="dxa"/>
          </w:tcPr>
          <w:p w:rsidR="00096478" w:rsidRPr="003A12D3" w:rsidRDefault="00096478">
            <w:pPr>
              <w:pStyle w:val="Avsndare"/>
              <w:framePr w:h="2483" w:wrap="notBeside" w:x="1504"/>
              <w:rPr>
                <w:bCs/>
                <w:iCs/>
              </w:rPr>
            </w:pPr>
          </w:p>
        </w:tc>
      </w:tr>
    </w:tbl>
    <w:p w:rsidR="00096478" w:rsidRDefault="00096478" w:rsidP="003A12D3">
      <w:pPr>
        <w:framePr w:w="4400" w:h="2523" w:wrap="notBeside" w:vAnchor="page" w:hAnchor="page" w:x="6453" w:y="2445"/>
        <w:ind w:left="142"/>
      </w:pPr>
      <w:r>
        <w:t>EU-nämnden</w:t>
      </w:r>
    </w:p>
    <w:p w:rsidR="00096478" w:rsidRDefault="00096478" w:rsidP="003A12D3">
      <w:pPr>
        <w:framePr w:w="4400" w:h="2523" w:wrap="notBeside" w:vAnchor="page" w:hAnchor="page" w:x="6453" w:y="2445"/>
        <w:ind w:left="142"/>
      </w:pPr>
      <w:r>
        <w:t>Riksdagen</w:t>
      </w:r>
    </w:p>
    <w:p w:rsidR="00096478" w:rsidRDefault="00096478" w:rsidP="003A12D3">
      <w:pPr>
        <w:framePr w:w="4400" w:h="2523" w:wrap="notBeside" w:vAnchor="page" w:hAnchor="page" w:x="6453" w:y="2445"/>
        <w:ind w:left="142"/>
      </w:pPr>
    </w:p>
    <w:p w:rsidR="00096478" w:rsidRDefault="00096478" w:rsidP="003A12D3">
      <w:pPr>
        <w:framePr w:w="4400" w:h="2523" w:wrap="notBeside" w:vAnchor="page" w:hAnchor="page" w:x="6453" w:y="2445"/>
        <w:ind w:left="142"/>
      </w:pPr>
      <w:r>
        <w:t>Kopia: Justitieutskottet</w:t>
      </w:r>
    </w:p>
    <w:p w:rsidR="00096478" w:rsidRDefault="00096478" w:rsidP="003A12D3">
      <w:pPr>
        <w:framePr w:w="4400" w:h="2523" w:wrap="notBeside" w:vAnchor="page" w:hAnchor="page" w:x="6453" w:y="2445"/>
        <w:ind w:left="142"/>
      </w:pPr>
      <w:r>
        <w:t>Kopia: Socialförsäkringsutskottet</w:t>
      </w:r>
    </w:p>
    <w:p w:rsidR="00096478" w:rsidRDefault="00096478" w:rsidP="003A12D3">
      <w:pPr>
        <w:framePr w:w="4400" w:h="2523" w:wrap="notBeside" w:vAnchor="page" w:hAnchor="page" w:x="6453" w:y="2445"/>
        <w:ind w:left="142"/>
      </w:pPr>
      <w:r>
        <w:t>Kopia: Civilutskottet</w:t>
      </w:r>
    </w:p>
    <w:p w:rsidR="00096478" w:rsidRDefault="00096478" w:rsidP="003A12D3">
      <w:pPr>
        <w:framePr w:w="4400" w:h="2523" w:wrap="notBeside" w:vAnchor="page" w:hAnchor="page" w:x="6453" w:y="2445"/>
        <w:ind w:left="142"/>
      </w:pPr>
      <w:r>
        <w:t>Kopia: Konstitutionsutskottet</w:t>
      </w:r>
    </w:p>
    <w:p w:rsidR="00096478" w:rsidRPr="006432BA" w:rsidRDefault="00096478" w:rsidP="003A12D3">
      <w:pPr>
        <w:framePr w:w="4400" w:h="2523" w:wrap="notBeside" w:vAnchor="page" w:hAnchor="page" w:x="6453" w:y="2445"/>
        <w:ind w:left="142"/>
      </w:pPr>
    </w:p>
    <w:p w:rsidR="00096478" w:rsidRPr="003A12D3" w:rsidRDefault="00096478" w:rsidP="003A12D3">
      <w:pPr>
        <w:pStyle w:val="RKrubrik"/>
        <w:pBdr>
          <w:bottom w:val="single" w:sz="4" w:space="1" w:color="000000"/>
        </w:pBdr>
        <w:spacing w:before="0" w:after="0"/>
      </w:pPr>
      <w:r>
        <w:t>Kommenterad dagordning för rådets möte (rättsliga och inrikes frågor) den 5-6 december 2013</w:t>
      </w:r>
    </w:p>
    <w:p w:rsidR="00096478" w:rsidRPr="003A12D3" w:rsidRDefault="00096478">
      <w:pPr>
        <w:pStyle w:val="RKnormal"/>
      </w:pPr>
    </w:p>
    <w:p w:rsidR="00096478" w:rsidRPr="00F02870" w:rsidRDefault="00096478" w:rsidP="003A12D3">
      <w:pPr>
        <w:spacing w:line="240" w:lineRule="auto"/>
      </w:pPr>
    </w:p>
    <w:p w:rsidR="00096478" w:rsidRPr="00F02870" w:rsidRDefault="00096478" w:rsidP="003A12D3">
      <w:pPr>
        <w:spacing w:line="240" w:lineRule="auto"/>
        <w:rPr>
          <w:b/>
        </w:rPr>
      </w:pPr>
      <w:r>
        <w:rPr>
          <w:b/>
        </w:rPr>
        <w:t xml:space="preserve">1. </w:t>
      </w:r>
      <w:r w:rsidRPr="00F02870">
        <w:rPr>
          <w:b/>
        </w:rPr>
        <w:t>Godkännande av den preliminära dagordningen</w:t>
      </w:r>
    </w:p>
    <w:p w:rsidR="00096478" w:rsidRDefault="00096478" w:rsidP="003A12D3">
      <w:pPr>
        <w:spacing w:line="240" w:lineRule="auto"/>
        <w:rPr>
          <w:b/>
        </w:rPr>
      </w:pPr>
    </w:p>
    <w:p w:rsidR="00096478" w:rsidRPr="005727A1" w:rsidRDefault="00096478" w:rsidP="00B52F97">
      <w:r w:rsidRPr="005727A1">
        <w:t>Se bifogad preliminär dagordning.</w:t>
      </w:r>
    </w:p>
    <w:p w:rsidR="00096478" w:rsidRPr="00F02870" w:rsidRDefault="00096478" w:rsidP="003A12D3">
      <w:pPr>
        <w:spacing w:line="240" w:lineRule="auto"/>
        <w:rPr>
          <w:b/>
        </w:rPr>
      </w:pPr>
    </w:p>
    <w:p w:rsidR="00096478" w:rsidRPr="007A243C" w:rsidRDefault="00096478" w:rsidP="00F02870">
      <w:pPr>
        <w:spacing w:line="240" w:lineRule="auto"/>
        <w:outlineLvl w:val="0"/>
        <w:rPr>
          <w:b/>
          <w:bCs/>
        </w:rPr>
      </w:pPr>
    </w:p>
    <w:p w:rsidR="00096478" w:rsidRPr="002615EA" w:rsidRDefault="00096478" w:rsidP="00F02870">
      <w:pPr>
        <w:spacing w:line="240" w:lineRule="auto"/>
        <w:outlineLvl w:val="0"/>
        <w:rPr>
          <w:b/>
          <w:bCs/>
        </w:rPr>
      </w:pPr>
      <w:r>
        <w:rPr>
          <w:b/>
          <w:bCs/>
        </w:rPr>
        <w:t>INRIKES FRÅGOR</w:t>
      </w:r>
    </w:p>
    <w:p w:rsidR="00096478" w:rsidRPr="00F02870" w:rsidRDefault="00096478" w:rsidP="00EA7F93">
      <w:pPr>
        <w:pStyle w:val="RKnormal"/>
        <w:rPr>
          <w:b/>
          <w:u w:val="single"/>
        </w:rPr>
      </w:pPr>
    </w:p>
    <w:p w:rsidR="00096478" w:rsidRPr="00F02870" w:rsidRDefault="00096478" w:rsidP="00EA7F93">
      <w:pPr>
        <w:pStyle w:val="RKnormal"/>
        <w:rPr>
          <w:b/>
          <w:u w:val="single"/>
        </w:rPr>
      </w:pPr>
      <w:r w:rsidRPr="00F02870">
        <w:rPr>
          <w:b/>
          <w:u w:val="single"/>
        </w:rPr>
        <w:t>Lagstiftningsöverläggningar</w:t>
      </w:r>
      <w:r w:rsidRPr="00F02870">
        <w:rPr>
          <w:rStyle w:val="FootnoteReference"/>
          <w:b/>
          <w:u w:val="single"/>
        </w:rPr>
        <w:footnoteReference w:id="3"/>
      </w:r>
    </w:p>
    <w:p w:rsidR="00096478" w:rsidRPr="00F02870" w:rsidRDefault="00096478" w:rsidP="003A12D3">
      <w:pPr>
        <w:spacing w:line="240" w:lineRule="auto"/>
        <w:rPr>
          <w:b/>
        </w:rPr>
      </w:pPr>
    </w:p>
    <w:p w:rsidR="00096478" w:rsidRDefault="00096478" w:rsidP="003A12D3">
      <w:pPr>
        <w:spacing w:line="240" w:lineRule="auto"/>
        <w:rPr>
          <w:b/>
        </w:rPr>
      </w:pPr>
      <w:r>
        <w:rPr>
          <w:b/>
        </w:rPr>
        <w:t xml:space="preserve">2. </w:t>
      </w:r>
      <w:r w:rsidRPr="00F02870">
        <w:rPr>
          <w:b/>
        </w:rPr>
        <w:t>Godkännande av A-punktslistan</w:t>
      </w:r>
      <w:r>
        <w:rPr>
          <w:b/>
        </w:rPr>
        <w:t xml:space="preserve"> (Sr Ask, Sr Billström)</w:t>
      </w:r>
    </w:p>
    <w:p w:rsidR="00096478" w:rsidRPr="00F02870" w:rsidRDefault="00096478" w:rsidP="003A12D3">
      <w:pPr>
        <w:spacing w:line="240" w:lineRule="auto"/>
        <w:rPr>
          <w:b/>
        </w:rPr>
      </w:pPr>
    </w:p>
    <w:p w:rsidR="00096478" w:rsidRPr="005727A1" w:rsidRDefault="00096478" w:rsidP="00B52F97">
      <w:r w:rsidRPr="005727A1">
        <w:t>Det har ännu inte presenterats någon A-punktslista.</w:t>
      </w:r>
    </w:p>
    <w:p w:rsidR="00096478" w:rsidRPr="00F02870" w:rsidRDefault="00096478" w:rsidP="003A12D3">
      <w:pPr>
        <w:spacing w:line="240" w:lineRule="auto"/>
        <w:rPr>
          <w:b/>
        </w:rPr>
      </w:pPr>
    </w:p>
    <w:p w:rsidR="00096478" w:rsidRDefault="00096478" w:rsidP="00F02870">
      <w:pPr>
        <w:spacing w:line="240" w:lineRule="auto"/>
        <w:rPr>
          <w:b/>
        </w:rPr>
      </w:pPr>
    </w:p>
    <w:p w:rsidR="00096478" w:rsidRPr="006E6657" w:rsidRDefault="00096478" w:rsidP="006E6657">
      <w:pPr>
        <w:rPr>
          <w:b/>
        </w:rPr>
      </w:pPr>
      <w:r w:rsidRPr="006E6657">
        <w:rPr>
          <w:b/>
        </w:rPr>
        <w:t>3. Övriga frågor</w:t>
      </w:r>
      <w:r>
        <w:rPr>
          <w:b/>
        </w:rPr>
        <w:t xml:space="preserve"> (Sr Ask, Sr Billström)</w:t>
      </w:r>
    </w:p>
    <w:p w:rsidR="00096478" w:rsidRDefault="00096478" w:rsidP="006E6657"/>
    <w:p w:rsidR="00096478" w:rsidRPr="006E6657" w:rsidRDefault="00096478" w:rsidP="006E6657">
      <w:pPr>
        <w:rPr>
          <w:b/>
        </w:rPr>
      </w:pPr>
      <w:r w:rsidRPr="006E6657">
        <w:t>=</w:t>
      </w:r>
      <w:r w:rsidRPr="006E6657">
        <w:tab/>
      </w:r>
      <w:r w:rsidRPr="006E6657">
        <w:rPr>
          <w:b/>
        </w:rPr>
        <w:t>Information från ordförandeskapet om aktuella lagstiftningsförslag</w:t>
      </w:r>
    </w:p>
    <w:p w:rsidR="00096478" w:rsidRDefault="00096478" w:rsidP="006E6657">
      <w:pPr>
        <w:rPr>
          <w:i/>
          <w:iCs/>
        </w:rPr>
      </w:pPr>
    </w:p>
    <w:p w:rsidR="00096478" w:rsidRPr="004E6101" w:rsidRDefault="00096478" w:rsidP="006E6657">
      <w:pPr>
        <w:rPr>
          <w:i/>
        </w:rPr>
      </w:pPr>
      <w:r w:rsidRPr="004E6101">
        <w:rPr>
          <w:i/>
        </w:rPr>
        <w:t>Avsikten med behandlingen i rådet</w:t>
      </w:r>
    </w:p>
    <w:p w:rsidR="00096478" w:rsidRDefault="00096478" w:rsidP="006E6657">
      <w:r>
        <w:t>Information från ordförandeskapet om aktuella lagstiftningsförslag.</w:t>
      </w:r>
    </w:p>
    <w:p w:rsidR="00096478" w:rsidRDefault="00096478" w:rsidP="006E6657"/>
    <w:p w:rsidR="00096478" w:rsidRDefault="00096478" w:rsidP="006E6657">
      <w:pPr>
        <w:rPr>
          <w:i/>
        </w:rPr>
      </w:pPr>
    </w:p>
    <w:p w:rsidR="00096478" w:rsidRPr="004E6101" w:rsidRDefault="00096478" w:rsidP="006E6657">
      <w:pPr>
        <w:rPr>
          <w:i/>
        </w:rPr>
      </w:pPr>
      <w:r w:rsidRPr="004E6101">
        <w:rPr>
          <w:i/>
        </w:rPr>
        <w:t>Bakgrund</w:t>
      </w:r>
    </w:p>
    <w:p w:rsidR="00096478" w:rsidRDefault="00096478" w:rsidP="006E6657">
      <w:r>
        <w:t>Ordförandeskapet har ännu inte meddelat något om dagordningspunktens innehåll.</w:t>
      </w:r>
    </w:p>
    <w:p w:rsidR="00096478" w:rsidRDefault="00096478" w:rsidP="006E6657">
      <w:pPr>
        <w:rPr>
          <w:b/>
        </w:rPr>
      </w:pPr>
    </w:p>
    <w:p w:rsidR="00096478" w:rsidRPr="00656430" w:rsidRDefault="00096478" w:rsidP="006E6657">
      <w:pPr>
        <w:rPr>
          <w:b/>
        </w:rPr>
      </w:pPr>
    </w:p>
    <w:p w:rsidR="00096478" w:rsidRPr="006E6657" w:rsidRDefault="00096478" w:rsidP="006E6657">
      <w:pPr>
        <w:rPr>
          <w:b/>
          <w:bCs/>
          <w:i/>
          <w:iCs/>
          <w:u w:val="single"/>
        </w:rPr>
      </w:pPr>
      <w:r w:rsidRPr="006E6657">
        <w:rPr>
          <w:b/>
          <w:bCs/>
          <w:i/>
          <w:iCs/>
          <w:u w:val="single"/>
        </w:rPr>
        <w:t>Icke lagstiftande verksamhet</w:t>
      </w:r>
    </w:p>
    <w:p w:rsidR="00096478" w:rsidRDefault="00096478" w:rsidP="006E6657">
      <w:pPr>
        <w:rPr>
          <w:b/>
        </w:rPr>
      </w:pPr>
    </w:p>
    <w:p w:rsidR="00096478" w:rsidRPr="006E6657" w:rsidRDefault="00096478" w:rsidP="006E6657">
      <w:pPr>
        <w:rPr>
          <w:b/>
        </w:rPr>
      </w:pPr>
      <w:r w:rsidRPr="006E6657">
        <w:rPr>
          <w:b/>
        </w:rPr>
        <w:t>4. Godkännande av A-punktslistan</w:t>
      </w:r>
      <w:r>
        <w:rPr>
          <w:b/>
        </w:rPr>
        <w:t xml:space="preserve"> (Sr Ask, Sr Billström)</w:t>
      </w:r>
    </w:p>
    <w:p w:rsidR="00096478" w:rsidRDefault="00096478" w:rsidP="006E6657">
      <w:pPr>
        <w:rPr>
          <w:b/>
          <w:lang w:eastAsia="en-GB"/>
        </w:rPr>
      </w:pPr>
    </w:p>
    <w:p w:rsidR="00096478" w:rsidRPr="005727A1" w:rsidRDefault="00096478" w:rsidP="006E6657">
      <w:r w:rsidRPr="005727A1">
        <w:t>Det har ännu inte presenterats någon A-punktslista.</w:t>
      </w:r>
    </w:p>
    <w:p w:rsidR="00096478" w:rsidRDefault="00096478" w:rsidP="006E6657">
      <w:pPr>
        <w:rPr>
          <w:b/>
          <w:lang w:eastAsia="en-GB"/>
        </w:rPr>
      </w:pPr>
    </w:p>
    <w:p w:rsidR="00096478" w:rsidRDefault="00096478" w:rsidP="006E6657">
      <w:pPr>
        <w:rPr>
          <w:b/>
          <w:lang w:eastAsia="en-GB"/>
        </w:rPr>
      </w:pPr>
    </w:p>
    <w:p w:rsidR="00096478" w:rsidRPr="006E6657" w:rsidRDefault="00096478" w:rsidP="006E6657">
      <w:pPr>
        <w:rPr>
          <w:b/>
          <w:lang w:eastAsia="en-GB"/>
        </w:rPr>
      </w:pPr>
      <w:r w:rsidRPr="006E6657">
        <w:rPr>
          <w:b/>
          <w:lang w:eastAsia="en-GB"/>
        </w:rPr>
        <w:t>5. Arbetsgruppen för Medelhavsfrågor</w:t>
      </w:r>
      <w:r>
        <w:rPr>
          <w:b/>
          <w:lang w:eastAsia="en-GB"/>
        </w:rPr>
        <w:t xml:space="preserve"> (Sr Ask, Sr Billström)</w:t>
      </w:r>
    </w:p>
    <w:p w:rsidR="00096478" w:rsidRPr="00FF09FD" w:rsidRDefault="00096478" w:rsidP="00FF09FD">
      <w:pPr>
        <w:rPr>
          <w:b/>
          <w:lang w:eastAsia="en-GB"/>
        </w:rPr>
      </w:pPr>
      <w:r w:rsidRPr="006E6657">
        <w:rPr>
          <w:b/>
          <w:lang w:eastAsia="en-GB"/>
        </w:rPr>
        <w:t>=</w:t>
      </w:r>
      <w:r w:rsidRPr="006E6657">
        <w:rPr>
          <w:b/>
          <w:lang w:eastAsia="en-GB"/>
        </w:rPr>
        <w:tab/>
        <w:t>Rapport från kommissionen</w:t>
      </w:r>
    </w:p>
    <w:p w:rsidR="00096478" w:rsidRDefault="00096478" w:rsidP="00FF09FD">
      <w:pPr>
        <w:pStyle w:val="RKnormal"/>
      </w:pPr>
    </w:p>
    <w:p w:rsidR="00096478" w:rsidRDefault="00096478" w:rsidP="00FF09FD">
      <w:pPr>
        <w:pStyle w:val="RKnormal"/>
        <w:rPr>
          <w:i/>
        </w:rPr>
      </w:pPr>
      <w:r>
        <w:rPr>
          <w:i/>
        </w:rPr>
        <w:t>Avsikten med behandlingen i rådet</w:t>
      </w:r>
    </w:p>
    <w:p w:rsidR="00096478" w:rsidRDefault="00096478" w:rsidP="00FF09FD">
      <w:pPr>
        <w:pStyle w:val="RKnormal"/>
      </w:pPr>
      <w:r>
        <w:t>Kommissionen ska rapportera om arbetsgruppens arbete. Medlemsstaterna kommer att ges möjlighet att framföra sina ståndpunkter.</w:t>
      </w:r>
    </w:p>
    <w:p w:rsidR="00096478" w:rsidRDefault="00096478" w:rsidP="00FF09FD">
      <w:pPr>
        <w:pStyle w:val="RKnormal"/>
      </w:pPr>
    </w:p>
    <w:p w:rsidR="00096478" w:rsidRDefault="00096478" w:rsidP="00FF09FD">
      <w:pPr>
        <w:pStyle w:val="RKnormal"/>
      </w:pPr>
      <w:r>
        <w:rPr>
          <w:i/>
        </w:rPr>
        <w:t>Dokument</w:t>
      </w:r>
    </w:p>
    <w:p w:rsidR="00096478" w:rsidRDefault="00096478" w:rsidP="00FF09FD">
      <w:pPr>
        <w:pStyle w:val="RKnormal"/>
      </w:pPr>
      <w:r>
        <w:t>Det har ännu inte presenterats något dokument för behandlingen i rådet.</w:t>
      </w:r>
    </w:p>
    <w:p w:rsidR="00096478" w:rsidRDefault="00096478" w:rsidP="00FF09FD"/>
    <w:p w:rsidR="00096478" w:rsidRDefault="00096478" w:rsidP="00FF09FD">
      <w:pPr>
        <w:pStyle w:val="RKnormal"/>
      </w:pPr>
      <w:r>
        <w:rPr>
          <w:i/>
        </w:rPr>
        <w:t xml:space="preserve">Tidigare behandlad vid samråd med EU-nämnden och information till riksdagsutskotten: </w:t>
      </w:r>
      <w:r>
        <w:t xml:space="preserve">Vid samråd med EU-nämnden den 23 oktober inför ER den 24-25 oktober.    </w:t>
      </w:r>
    </w:p>
    <w:p w:rsidR="00096478" w:rsidRDefault="00096478" w:rsidP="00FF09FD">
      <w:pPr>
        <w:rPr>
          <w:i/>
        </w:rPr>
      </w:pPr>
    </w:p>
    <w:p w:rsidR="00096478" w:rsidRPr="00FF09FD" w:rsidRDefault="00096478" w:rsidP="00FF09FD">
      <w:pPr>
        <w:rPr>
          <w:i/>
        </w:rPr>
      </w:pPr>
      <w:r w:rsidRPr="00FF09FD">
        <w:rPr>
          <w:i/>
        </w:rPr>
        <w:t>Bakgrund</w:t>
      </w:r>
    </w:p>
    <w:p w:rsidR="00096478" w:rsidRDefault="00096478" w:rsidP="00FF09FD">
      <w:r>
        <w:t>Efter de tragiska händelserna utanför Lampedusa och Malta i oktober 2013 efterfrågade Europeiska rådet den 24-25 oktober 2013 åtgärder för att förhindra förlust av människoliv till havs. Europeiska rådet underströk att åtgärder för att bekämpa människohandel och människosmuggling bör intensifieras och att Frontex verksamhet i Medelhavet och längs EU:s sydöstra landgränser bör förstärkas. Europeiska rådet manade även till stärkt samarbete med ursprungs- och transitländer, bland annat genom lämpligt utvecklingsstöd från EU och en effektiv politik för återvändande.</w:t>
      </w:r>
    </w:p>
    <w:p w:rsidR="00096478" w:rsidRDefault="00096478" w:rsidP="00FF09FD"/>
    <w:p w:rsidR="00096478" w:rsidRDefault="00096478" w:rsidP="00FF09FD">
      <w:r>
        <w:t>Kommissionen har kallat EU:s medlemsländer till en särskild arbetsgrupp för Medelhavsområdet (”Task Force Mediterranean”) för att ta fram förslag på åtgärder för att undvika liknande olyckor. Arbetsgruppen arbete ska diskuteras av rådet för rättsliga och inrikes frågor den 5-6 december 2013 och presenteras vid Europeiska rådets möte den 19-20 december 2013.</w:t>
      </w:r>
    </w:p>
    <w:p w:rsidR="00096478" w:rsidRDefault="00096478" w:rsidP="00FF09FD"/>
    <w:p w:rsidR="00096478" w:rsidRPr="00FF09FD" w:rsidRDefault="00096478" w:rsidP="00FF09FD">
      <w:pPr>
        <w:rPr>
          <w:bCs/>
          <w:i/>
          <w:iCs/>
        </w:rPr>
      </w:pPr>
      <w:r w:rsidRPr="00FF09FD">
        <w:rPr>
          <w:bCs/>
          <w:i/>
          <w:iCs/>
        </w:rPr>
        <w:t>Svensk ståndpunkt</w:t>
      </w:r>
    </w:p>
    <w:p w:rsidR="00096478" w:rsidRDefault="00096478" w:rsidP="00FF09FD">
      <w:pPr>
        <w:rPr>
          <w:bCs/>
          <w:iCs/>
        </w:rPr>
      </w:pPr>
      <w:r>
        <w:rPr>
          <w:bCs/>
          <w:iCs/>
        </w:rPr>
        <w:t xml:space="preserve">Sverige välkomnar arbetsgruppens arbete. Sverige anser att mer kan göras inom ramen för nuvarande regelverk och instrument. Behovsanalyser och resursfördelning ska samordnas av Frontex inom ordinarie mekanismer - även efter större katastrofer som Lampedusa. </w:t>
      </w:r>
      <w:r>
        <w:t xml:space="preserve">Frontex bör utvecklas och förstärkas inom sitt nuvarande mandat. </w:t>
      </w:r>
      <w:r>
        <w:rPr>
          <w:bCs/>
          <w:iCs/>
        </w:rPr>
        <w:t xml:space="preserve">Sverige anser att det är viktigt att rådet enas om förslaget till förordning om regler för Frontex sjöoperationer. </w:t>
      </w:r>
    </w:p>
    <w:p w:rsidR="00096478" w:rsidRDefault="00096478" w:rsidP="00FF09FD"/>
    <w:p w:rsidR="00096478" w:rsidRDefault="00096478" w:rsidP="00FF09FD">
      <w:pPr>
        <w:rPr>
          <w:bCs/>
          <w:iCs/>
        </w:rPr>
      </w:pPr>
      <w:r>
        <w:rPr>
          <w:bCs/>
          <w:iCs/>
        </w:rPr>
        <w:t xml:space="preserve">Vidare anser Sverige att ett välfungerande europeiskt asylsystem där alla medlemsstater lever upp till den gemensamma lagstiftningen och där asylsökande får sin ansökan prövad på ett likvärdigt sätt är den viktigaste garantin för solidaritet inom EU. Samtliga medlemsstater måste ta sitt ansvar och, i samråd med UNHCR, ge skydd åt fler genom vidarebosättning. Det är även viktigt att verka för det långsiktigt och strategiskt samarbete med transit- och ursprungsländer i ett brett och heltäckande migrationsperspektiv och att arbeta med grundorsaker till att människor väljer eller tvingas välja att fly. </w:t>
      </w:r>
    </w:p>
    <w:p w:rsidR="00096478" w:rsidRDefault="00096478" w:rsidP="00FF09FD">
      <w:pPr>
        <w:rPr>
          <w:bCs/>
          <w:iCs/>
        </w:rPr>
      </w:pPr>
    </w:p>
    <w:p w:rsidR="00096478" w:rsidRDefault="00096478" w:rsidP="00FF09FD">
      <w:r>
        <w:rPr>
          <w:bCs/>
          <w:iCs/>
        </w:rPr>
        <w:t xml:space="preserve">Se vidare i </w:t>
      </w:r>
      <w:r w:rsidRPr="00FF09FD">
        <w:rPr>
          <w:bCs/>
          <w:iCs/>
          <w:u w:val="single"/>
        </w:rPr>
        <w:t>bifogad promemoria</w:t>
      </w:r>
      <w:r>
        <w:rPr>
          <w:bCs/>
          <w:iCs/>
        </w:rPr>
        <w:t>.</w:t>
      </w:r>
    </w:p>
    <w:p w:rsidR="00096478" w:rsidRDefault="00096478" w:rsidP="00FF09FD"/>
    <w:p w:rsidR="00096478" w:rsidRDefault="00096478" w:rsidP="006E6657">
      <w:pPr>
        <w:rPr>
          <w:b/>
        </w:rPr>
      </w:pPr>
    </w:p>
    <w:p w:rsidR="00096478" w:rsidRPr="006E6657" w:rsidRDefault="00096478" w:rsidP="006E6657">
      <w:pPr>
        <w:rPr>
          <w:b/>
        </w:rPr>
      </w:pPr>
      <w:r w:rsidRPr="006E6657">
        <w:rPr>
          <w:b/>
        </w:rPr>
        <w:t>6. Frågor med anknytning till den fria rörligheten</w:t>
      </w:r>
      <w:r>
        <w:rPr>
          <w:b/>
        </w:rPr>
        <w:t xml:space="preserve"> (Sr Billström)</w:t>
      </w:r>
    </w:p>
    <w:p w:rsidR="00096478" w:rsidRPr="006E6657" w:rsidRDefault="00096478" w:rsidP="006E6657">
      <w:pPr>
        <w:rPr>
          <w:b/>
        </w:rPr>
      </w:pPr>
      <w:r w:rsidRPr="006E6657">
        <w:rPr>
          <w:b/>
        </w:rPr>
        <w:t>=</w:t>
      </w:r>
      <w:r w:rsidRPr="006E6657">
        <w:rPr>
          <w:b/>
        </w:rPr>
        <w:tab/>
        <w:t>Slutlig rapport från kommissionen</w:t>
      </w:r>
    </w:p>
    <w:p w:rsidR="00096478" w:rsidRDefault="00096478" w:rsidP="006E6657">
      <w:pPr>
        <w:rPr>
          <w:b/>
        </w:rPr>
      </w:pPr>
    </w:p>
    <w:p w:rsidR="00096478" w:rsidRPr="00A11D5B" w:rsidRDefault="00096478" w:rsidP="00DF6F9A">
      <w:pPr>
        <w:pStyle w:val="RKnormal"/>
        <w:rPr>
          <w:szCs w:val="24"/>
        </w:rPr>
      </w:pPr>
      <w:r w:rsidRPr="00A11D5B">
        <w:rPr>
          <w:i/>
          <w:szCs w:val="24"/>
        </w:rPr>
        <w:t>Avsikten med behandlingen i rådet</w:t>
      </w:r>
      <w:r w:rsidRPr="00A11D5B">
        <w:rPr>
          <w:szCs w:val="24"/>
        </w:rPr>
        <w:t>: Information från kommissionen</w:t>
      </w:r>
    </w:p>
    <w:p w:rsidR="00096478" w:rsidRPr="00A11D5B" w:rsidRDefault="00096478" w:rsidP="00DF6F9A">
      <w:pPr>
        <w:pStyle w:val="RKnormal"/>
        <w:rPr>
          <w:szCs w:val="24"/>
        </w:rPr>
      </w:pPr>
    </w:p>
    <w:p w:rsidR="00096478" w:rsidRPr="00A11D5B" w:rsidRDefault="00096478" w:rsidP="00DF6F9A">
      <w:pPr>
        <w:tabs>
          <w:tab w:val="left" w:pos="2835"/>
        </w:tabs>
        <w:rPr>
          <w:szCs w:val="24"/>
        </w:rPr>
      </w:pPr>
      <w:r w:rsidRPr="00A11D5B">
        <w:rPr>
          <w:i/>
          <w:szCs w:val="24"/>
        </w:rPr>
        <w:t>Dokument</w:t>
      </w:r>
      <w:r w:rsidRPr="00A11D5B">
        <w:rPr>
          <w:szCs w:val="24"/>
        </w:rPr>
        <w:t>: Det har inte presenterats något dokument för behandlingen i rådet.</w:t>
      </w:r>
    </w:p>
    <w:p w:rsidR="00096478" w:rsidRPr="00A11D5B" w:rsidRDefault="00096478" w:rsidP="00DF6F9A">
      <w:pPr>
        <w:tabs>
          <w:tab w:val="left" w:pos="2835"/>
        </w:tabs>
        <w:rPr>
          <w:szCs w:val="24"/>
        </w:rPr>
      </w:pPr>
    </w:p>
    <w:p w:rsidR="00096478" w:rsidRPr="00A11D5B" w:rsidRDefault="00096478" w:rsidP="00DF6F9A">
      <w:pPr>
        <w:pStyle w:val="RKnormal"/>
        <w:rPr>
          <w:rFonts w:cs="Helv"/>
          <w:iCs/>
          <w:color w:val="000000"/>
          <w:szCs w:val="24"/>
        </w:rPr>
      </w:pPr>
      <w:r w:rsidRPr="00A11D5B">
        <w:rPr>
          <w:i/>
          <w:szCs w:val="24"/>
        </w:rPr>
        <w:t>Tidigare dokument:</w:t>
      </w:r>
      <w:r w:rsidRPr="00A11D5B">
        <w:rPr>
          <w:szCs w:val="24"/>
        </w:rPr>
        <w:t xml:space="preserve"> Skrivelse från Förenade kungarikets, Nederländernas, Österrikes och Tysklands inrikesministrar</w:t>
      </w:r>
    </w:p>
    <w:p w:rsidR="00096478" w:rsidRPr="00A11D5B" w:rsidRDefault="00096478" w:rsidP="00DF6F9A">
      <w:pPr>
        <w:pStyle w:val="RKnormal"/>
        <w:rPr>
          <w:szCs w:val="24"/>
        </w:rPr>
      </w:pPr>
    </w:p>
    <w:p w:rsidR="00096478" w:rsidRPr="00A11D5B" w:rsidRDefault="00096478" w:rsidP="00DF6F9A">
      <w:pPr>
        <w:pStyle w:val="RKnormal"/>
        <w:rPr>
          <w:i/>
          <w:szCs w:val="24"/>
        </w:rPr>
      </w:pPr>
      <w:r w:rsidRPr="00A11D5B">
        <w:rPr>
          <w:i/>
          <w:szCs w:val="24"/>
        </w:rPr>
        <w:t>Tidigare behandlad vid samråd med EU-nämnden:</w:t>
      </w:r>
      <w:r w:rsidRPr="00A11D5B">
        <w:rPr>
          <w:szCs w:val="24"/>
        </w:rPr>
        <w:t xml:space="preserve"> den 31 maj 2013 och den 4 oktober 2013</w:t>
      </w:r>
    </w:p>
    <w:p w:rsidR="00096478" w:rsidRPr="00A11D5B" w:rsidRDefault="00096478" w:rsidP="00DF6F9A">
      <w:pPr>
        <w:pStyle w:val="RKnormal"/>
        <w:rPr>
          <w:szCs w:val="24"/>
        </w:rPr>
      </w:pPr>
    </w:p>
    <w:p w:rsidR="00096478" w:rsidRPr="00A11D5B" w:rsidRDefault="00096478" w:rsidP="00DF6F9A">
      <w:pPr>
        <w:pStyle w:val="RKnormal"/>
        <w:rPr>
          <w:szCs w:val="24"/>
        </w:rPr>
      </w:pPr>
      <w:r w:rsidRPr="00A11D5B">
        <w:rPr>
          <w:i/>
          <w:szCs w:val="24"/>
        </w:rPr>
        <w:t xml:space="preserve">Tidigare behandlad vid överläggning med eller information till riksdagsutskott: </w:t>
      </w:r>
      <w:r w:rsidRPr="00A11D5B">
        <w:rPr>
          <w:szCs w:val="24"/>
        </w:rPr>
        <w:t>Information till SfU den 30 maj 2013 och den 3 oktober 2013</w:t>
      </w:r>
    </w:p>
    <w:p w:rsidR="00096478" w:rsidRPr="00A11D5B" w:rsidRDefault="00096478" w:rsidP="00DF6F9A">
      <w:pPr>
        <w:pStyle w:val="RKrubrik"/>
        <w:rPr>
          <w:rFonts w:ascii="OrigGarmnd BT" w:hAnsi="OrigGarmnd BT"/>
          <w:b w:val="0"/>
          <w:i/>
          <w:sz w:val="24"/>
          <w:szCs w:val="24"/>
        </w:rPr>
      </w:pPr>
      <w:r w:rsidRPr="00A11D5B">
        <w:rPr>
          <w:rFonts w:ascii="OrigGarmnd BT" w:hAnsi="OrigGarmnd BT"/>
          <w:b w:val="0"/>
          <w:i/>
          <w:sz w:val="24"/>
          <w:szCs w:val="24"/>
        </w:rPr>
        <w:t>Bakgrund</w:t>
      </w:r>
    </w:p>
    <w:p w:rsidR="00096478" w:rsidRDefault="00096478" w:rsidP="00DF6F9A">
      <w:pPr>
        <w:rPr>
          <w:szCs w:val="24"/>
        </w:rPr>
      </w:pPr>
      <w:r w:rsidRPr="00A11D5B">
        <w:rPr>
          <w:szCs w:val="24"/>
        </w:rPr>
        <w:t xml:space="preserve">Frågan om fri rörlighet för EU-medborgare och deras familjemedlemmar diskuteras i olika sammanhang. I ett brev från april i år hänvisar ansvariga ministrar i UK, NL, AT och DE till ökade kostnader för skolgång, sjukvård, boende och försörjningsstöd i de MS som tar emot EU-medborgare. De anser att det saknas effektiva sanktioner för att motarbeta missbruk. På initiativ av de fyra brevskrivarna sattes frågan på dagordningen för RIF-rådet i juni 2013. Ordföranden hänvisade frågan till expertgruppen för fri rörlighet (FREEMO). Berörda MS uppmanades att lämna in uppgifter och statistik om arten och omfattningen av det påstådda missbruket av den fria rörligheten. </w:t>
      </w:r>
    </w:p>
    <w:p w:rsidR="00096478" w:rsidRPr="00A11D5B" w:rsidRDefault="00096478" w:rsidP="00DF6F9A">
      <w:pPr>
        <w:rPr>
          <w:szCs w:val="24"/>
        </w:rPr>
      </w:pPr>
    </w:p>
    <w:p w:rsidR="00096478" w:rsidRPr="00A11D5B" w:rsidRDefault="00096478" w:rsidP="00DF6F9A">
      <w:pPr>
        <w:rPr>
          <w:szCs w:val="24"/>
        </w:rPr>
      </w:pPr>
      <w:r w:rsidRPr="00A11D5B">
        <w:rPr>
          <w:szCs w:val="24"/>
        </w:rPr>
        <w:t>Kommissionen presenterade en interimsrapport under RIF i oktober mot bakgrund av den i</w:t>
      </w:r>
      <w:r>
        <w:rPr>
          <w:szCs w:val="24"/>
        </w:rPr>
        <w:t xml:space="preserve">nformation som MS hade gett in. </w:t>
      </w:r>
      <w:r w:rsidRPr="00A11D5B">
        <w:rPr>
          <w:szCs w:val="24"/>
        </w:rPr>
        <w:t>Interimsrapporten pekade på att det inte var så många MS som berördes av det påstådda missbruket. Andelen EU-medborgare som fick socialt stöd i förhållande till det totala antalet EU-medborgare som nyttjade rätten till fri rörlighet var liten. Nu avser kommissionen att presentera den slutliga rapporten.</w:t>
      </w:r>
    </w:p>
    <w:p w:rsidR="00096478" w:rsidRDefault="00096478" w:rsidP="006E6657">
      <w:pPr>
        <w:rPr>
          <w:b/>
        </w:rPr>
      </w:pPr>
    </w:p>
    <w:p w:rsidR="00096478" w:rsidRDefault="00096478" w:rsidP="006E6657">
      <w:pPr>
        <w:rPr>
          <w:b/>
        </w:rPr>
      </w:pPr>
    </w:p>
    <w:p w:rsidR="00096478" w:rsidRPr="006E6657" w:rsidRDefault="00096478" w:rsidP="006E6657">
      <w:pPr>
        <w:rPr>
          <w:b/>
        </w:rPr>
      </w:pPr>
      <w:r w:rsidRPr="006E6657">
        <w:rPr>
          <w:b/>
        </w:rPr>
        <w:t>7. Utkast till rådets beslut om ramen för den fullständiga tillämpningen av bestämmelserna i Schengenregelverket i Republiken Bulgarien och Rumänien (°)</w:t>
      </w:r>
      <w:r>
        <w:rPr>
          <w:rStyle w:val="FootnoteReference"/>
          <w:b/>
        </w:rPr>
        <w:footnoteReference w:id="4"/>
      </w:r>
      <w:r>
        <w:rPr>
          <w:b/>
        </w:rPr>
        <w:t>(Sr Ask)</w:t>
      </w:r>
    </w:p>
    <w:p w:rsidR="00096478" w:rsidRPr="006E6657" w:rsidRDefault="00096478" w:rsidP="006E6657">
      <w:pPr>
        <w:rPr>
          <w:b/>
        </w:rPr>
      </w:pPr>
      <w:r w:rsidRPr="006E6657">
        <w:rPr>
          <w:b/>
        </w:rPr>
        <w:t>=</w:t>
      </w:r>
      <w:r w:rsidRPr="006E6657">
        <w:rPr>
          <w:b/>
        </w:rPr>
        <w:tab/>
        <w:t>(ev.) Antagande</w:t>
      </w:r>
    </w:p>
    <w:p w:rsidR="00096478" w:rsidRDefault="00096478" w:rsidP="006E6657">
      <w:pPr>
        <w:rPr>
          <w:b/>
        </w:rPr>
      </w:pPr>
    </w:p>
    <w:p w:rsidR="00096478" w:rsidRDefault="00096478" w:rsidP="00715F3D">
      <w:pPr>
        <w:pStyle w:val="RKnormal"/>
        <w:rPr>
          <w:i/>
        </w:rPr>
      </w:pPr>
      <w:r>
        <w:rPr>
          <w:i/>
        </w:rPr>
        <w:t>Avsikten med behandlingen i rådet</w:t>
      </w:r>
    </w:p>
    <w:p w:rsidR="00096478" w:rsidRDefault="00096478" w:rsidP="00715F3D">
      <w:pPr>
        <w:pStyle w:val="RKnormal"/>
      </w:pPr>
      <w:r>
        <w:t xml:space="preserve">Det är ännu inte helt klart på vilket sätt frågan kommer tas upp vid rådsmötet. Sannolikt blir det en riktlinjedebatt som ger Bulgarien och Rumänien möjlighet att redogöra för vilka åtgärder man genomfört. </w:t>
      </w:r>
    </w:p>
    <w:p w:rsidR="00096478" w:rsidRDefault="00096478" w:rsidP="00715F3D">
      <w:pPr>
        <w:pStyle w:val="RKnormal"/>
        <w:rPr>
          <w:i/>
        </w:rPr>
      </w:pPr>
    </w:p>
    <w:p w:rsidR="00096478" w:rsidRPr="0028683D" w:rsidRDefault="00096478" w:rsidP="00715F3D">
      <w:pPr>
        <w:pStyle w:val="RKnormal"/>
        <w:rPr>
          <w:i/>
        </w:rPr>
      </w:pPr>
      <w:r w:rsidRPr="0028683D">
        <w:rPr>
          <w:i/>
        </w:rPr>
        <w:t>Bakgrund</w:t>
      </w:r>
    </w:p>
    <w:p w:rsidR="00096478" w:rsidRDefault="00096478" w:rsidP="00715F3D">
      <w:pPr>
        <w:pStyle w:val="RKnormal"/>
      </w:pPr>
      <w:r w:rsidRPr="00C23456">
        <w:t xml:space="preserve">Processen för </w:t>
      </w:r>
      <w:r>
        <w:t>u</w:t>
      </w:r>
      <w:r w:rsidRPr="00C23456">
        <w:t>tvärdering av Bulgarien</w:t>
      </w:r>
      <w:r>
        <w:t>soch Rumäniens förmåga att tillämpa Schengenregelverket</w:t>
      </w:r>
      <w:r w:rsidRPr="00C23456">
        <w:t xml:space="preserve"> inleddes 2007</w:t>
      </w:r>
      <w:r>
        <w:t>-</w:t>
      </w:r>
      <w:r w:rsidRPr="00C23456">
        <w:t>2008.</w:t>
      </w:r>
      <w:r>
        <w:t xml:space="preserve"> Rådet antog under 2011 slutsatser som konstaterade att Bulgarien och Rumänien </w:t>
      </w:r>
      <w:r>
        <w:rPr>
          <w:rFonts w:cs="OrigGarmnd BT"/>
          <w:color w:val="000000"/>
        </w:rPr>
        <w:t>formellt avslutat</w:t>
      </w:r>
      <w:r w:rsidRPr="00CC4E21">
        <w:rPr>
          <w:rFonts w:cs="OrigGarmnd BT"/>
          <w:color w:val="000000"/>
        </w:rPr>
        <w:t xml:space="preserve"> utvärderingsprocessen och visat sig redo att tillämpa Schengenregelverket på ett korrekt sätt</w:t>
      </w:r>
      <w:r>
        <w:rPr>
          <w:rFonts w:cs="OrigGarmnd BT"/>
          <w:color w:val="000000"/>
        </w:rPr>
        <w:t xml:space="preserve">. </w:t>
      </w:r>
      <w:r>
        <w:t xml:space="preserve">Därmed fanns förutsättningar att genom ett enhälligt </w:t>
      </w:r>
      <w:r w:rsidRPr="00F4621C">
        <w:rPr>
          <w:i/>
        </w:rPr>
        <w:t>rådsbeslut</w:t>
      </w:r>
      <w:r>
        <w:t xml:space="preserve"> formellt ange från vilket datum Schengenregelverket ska tillämpas i sin helhet i förhållande till länderna, vilket huvudsakligen innebär att personkontrollerna vid de inre gränserna tas bort.  </w:t>
      </w:r>
      <w:r>
        <w:rPr>
          <w:rFonts w:cs="Helv"/>
          <w:color w:val="000000"/>
          <w:szCs w:val="24"/>
        </w:rPr>
        <w:t xml:space="preserve">Ett motstånd mot anslutning från vissa länder har emellertid stoppat upp anslutningsprocessen. Motståndet motiveras av Bulgariens och Rumäniens allvarliga problem med korruption och organiserad brottslighet, samt det faktum att länderna inte lyckats bekämpa dessa problem på ett tillräckligt sätt. Dessa brister ligger formellt utanför det område som utvärderas inom Schengens utvärderingsmekanism men har uppdagats genom en </w:t>
      </w:r>
      <w:r w:rsidRPr="00663BA3">
        <w:rPr>
          <w:i/>
        </w:rPr>
        <w:t>särskild övervakningsmekanism</w:t>
      </w:r>
      <w:r w:rsidRPr="00663BA3">
        <w:t xml:space="preserve"> (</w:t>
      </w:r>
      <w:r>
        <w:t>C</w:t>
      </w:r>
      <w:r w:rsidRPr="00663BA3">
        <w:t xml:space="preserve">ooperation and </w:t>
      </w:r>
      <w:r>
        <w:t>V</w:t>
      </w:r>
      <w:r w:rsidRPr="00663BA3">
        <w:t xml:space="preserve">erification </w:t>
      </w:r>
      <w:r>
        <w:t>M</w:t>
      </w:r>
      <w:r w:rsidRPr="00663BA3">
        <w:t xml:space="preserve">echanism </w:t>
      </w:r>
      <w:r>
        <w:t>–</w:t>
      </w:r>
      <w:r w:rsidRPr="00663BA3">
        <w:t xml:space="preserve"> CVM</w:t>
      </w:r>
      <w:r>
        <w:t xml:space="preserve">) som Bulgarien och Rumänien är föremål för sedan sitt inträde i EU. </w:t>
      </w:r>
    </w:p>
    <w:p w:rsidR="00096478" w:rsidRDefault="00096478" w:rsidP="00715F3D">
      <w:pPr>
        <w:pStyle w:val="RKnormal"/>
      </w:pPr>
    </w:p>
    <w:p w:rsidR="00096478" w:rsidRDefault="00096478" w:rsidP="00715F3D">
      <w:pPr>
        <w:pStyle w:val="RKnormal"/>
      </w:pPr>
      <w:r>
        <w:t xml:space="preserve">Vid rådet i mars 2013 togs frågan om anslutning senast upp och ett antal medlemsstater deklarerade då att man fortfarande inte ansåg att Bulgarien och Rumänien var redo att anslutas till Schengenområdet. Det fanns därmed inte förutsättningar för något enhälligt rådsbeslut. </w:t>
      </w:r>
    </w:p>
    <w:p w:rsidR="00096478" w:rsidRDefault="00096478" w:rsidP="00715F3D">
      <w:pPr>
        <w:pStyle w:val="RKnormal"/>
      </w:pPr>
    </w:p>
    <w:p w:rsidR="00096478" w:rsidRPr="0028683D" w:rsidRDefault="00096478" w:rsidP="00715F3D">
      <w:pPr>
        <w:rPr>
          <w:i/>
        </w:rPr>
      </w:pPr>
      <w:r w:rsidRPr="0028683D">
        <w:rPr>
          <w:i/>
        </w:rPr>
        <w:t>Svensk ståndpunkt</w:t>
      </w:r>
    </w:p>
    <w:p w:rsidR="00096478" w:rsidRPr="0042717C" w:rsidRDefault="00096478" w:rsidP="00715F3D">
      <w:pPr>
        <w:spacing w:line="240" w:lineRule="auto"/>
        <w:contextualSpacing/>
        <w:rPr>
          <w:szCs w:val="24"/>
        </w:rPr>
      </w:pPr>
      <w:r w:rsidRPr="0042717C">
        <w:rPr>
          <w:szCs w:val="24"/>
        </w:rPr>
        <w:t>Sverige stödjer en anslutning av Bulgarien och Rumänien till Schengensamarbetet. Det finns dock flera frågor att ta ställning till, bl.a. när anslutningen ska ske och om den ska vara full eller äga rum stegvis. Det finns därför skäl att avvakta med ett ställningstagande tills vi har ett fullständigt underlag med ett konkret förslag om hur anslutningen ska gå till.</w:t>
      </w:r>
    </w:p>
    <w:p w:rsidR="00096478" w:rsidRDefault="00096478" w:rsidP="00715F3D">
      <w:pPr>
        <w:rPr>
          <w:b/>
        </w:rPr>
      </w:pPr>
    </w:p>
    <w:p w:rsidR="00096478" w:rsidRDefault="00096478" w:rsidP="00715F3D">
      <w:r w:rsidRPr="00715F3D">
        <w:t xml:space="preserve">Se vidare i </w:t>
      </w:r>
      <w:r w:rsidRPr="00715F3D">
        <w:rPr>
          <w:u w:val="single"/>
        </w:rPr>
        <w:t>bifogad promemoria</w:t>
      </w:r>
      <w:r w:rsidRPr="00715F3D">
        <w:t>.</w:t>
      </w:r>
    </w:p>
    <w:p w:rsidR="00096478" w:rsidRDefault="00096478" w:rsidP="006E6657">
      <w:pPr>
        <w:rPr>
          <w:b/>
        </w:rPr>
      </w:pPr>
    </w:p>
    <w:p w:rsidR="00096478" w:rsidRDefault="00096478" w:rsidP="006E6657">
      <w:pPr>
        <w:rPr>
          <w:b/>
        </w:rPr>
      </w:pPr>
    </w:p>
    <w:p w:rsidR="00096478" w:rsidRPr="006E6657" w:rsidRDefault="00096478" w:rsidP="006E6657">
      <w:pPr>
        <w:rPr>
          <w:b/>
        </w:rPr>
      </w:pPr>
      <w:r w:rsidRPr="006E6657">
        <w:rPr>
          <w:b/>
        </w:rPr>
        <w:t>8. Bekämpning av terrorism: Utländska kombattanter och återvändande kombattanter ur ett terrorismbekämpningsperspektiv, särskilt med avseende på Syrien</w:t>
      </w:r>
      <w:r>
        <w:rPr>
          <w:b/>
        </w:rPr>
        <w:t xml:space="preserve"> (Sr Ask)</w:t>
      </w:r>
    </w:p>
    <w:p w:rsidR="00096478" w:rsidRPr="006E6657" w:rsidRDefault="00096478" w:rsidP="006E6657">
      <w:pPr>
        <w:rPr>
          <w:b/>
        </w:rPr>
      </w:pPr>
      <w:r w:rsidRPr="006E6657">
        <w:rPr>
          <w:b/>
        </w:rPr>
        <w:t>=</w:t>
      </w:r>
      <w:r w:rsidRPr="006E6657">
        <w:rPr>
          <w:b/>
        </w:rPr>
        <w:tab/>
        <w:t>Föredragning av EU:s samordnare för kampen mot terrorism samt diskussion</w:t>
      </w:r>
    </w:p>
    <w:p w:rsidR="00096478" w:rsidRDefault="00096478" w:rsidP="006E6657">
      <w:pPr>
        <w:rPr>
          <w:b/>
        </w:rPr>
      </w:pPr>
    </w:p>
    <w:p w:rsidR="00096478" w:rsidRPr="00E72B33" w:rsidRDefault="00096478" w:rsidP="00E72B33">
      <w:pPr>
        <w:rPr>
          <w:i/>
        </w:rPr>
      </w:pPr>
      <w:r w:rsidRPr="00E72B33">
        <w:rPr>
          <w:i/>
        </w:rPr>
        <w:t>Avsikten med behandlingen i rådet</w:t>
      </w:r>
    </w:p>
    <w:p w:rsidR="00096478" w:rsidRPr="004A111D" w:rsidRDefault="00096478" w:rsidP="00E72B33">
      <w:r>
        <w:t xml:space="preserve">Det är en informationspunkt. EU:s anti-terrorismsamordnare Gilles de Kerchove har tidigare presenterat ett diskussionsunderlag om problematiken med personer som reser till konfliktområden för att delta i eller träna till strid samt förslag på möjliga åtgärder för att förebygga och motverka denna. Nu presenteras en rapport i syfte att följa upp de tidigare föreslagna åtgärderna och ge rekommendationer om förbättringar och ytterligare arbeten. Ministrarna förväntas notera informationen och har möjlighet att diskutera frågan. </w:t>
      </w:r>
    </w:p>
    <w:p w:rsidR="00096478" w:rsidRDefault="00096478" w:rsidP="00E72B33">
      <w:pPr>
        <w:pStyle w:val="RKnormal"/>
        <w:rPr>
          <w:i/>
        </w:rPr>
      </w:pPr>
    </w:p>
    <w:p w:rsidR="00096478" w:rsidRDefault="00096478" w:rsidP="00E72B33">
      <w:pPr>
        <w:tabs>
          <w:tab w:val="left" w:pos="2835"/>
        </w:tabs>
      </w:pPr>
      <w:r w:rsidRPr="00E72B33">
        <w:rPr>
          <w:i/>
        </w:rPr>
        <w:t>Dokument:</w:t>
      </w:r>
      <w:r>
        <w:t>Det har ännu inte presenterats något dokument för behandlingen i rådet.</w:t>
      </w:r>
    </w:p>
    <w:p w:rsidR="00096478" w:rsidRDefault="00096478" w:rsidP="00E72B33">
      <w:pPr>
        <w:tabs>
          <w:tab w:val="left" w:pos="2835"/>
        </w:tabs>
      </w:pPr>
    </w:p>
    <w:p w:rsidR="00096478" w:rsidRPr="00BF0C0E" w:rsidRDefault="00096478" w:rsidP="00E72B33">
      <w:pPr>
        <w:tabs>
          <w:tab w:val="left" w:pos="2835"/>
        </w:tabs>
        <w:rPr>
          <w:i/>
          <w:lang w:val="en-US"/>
        </w:rPr>
      </w:pPr>
      <w:r w:rsidRPr="00BF0C0E">
        <w:rPr>
          <w:i/>
          <w:lang w:val="en-US"/>
        </w:rPr>
        <w:t>Tidigare dokument:</w:t>
      </w:r>
    </w:p>
    <w:p w:rsidR="00096478" w:rsidRPr="00BF0C0E" w:rsidRDefault="00096478" w:rsidP="00E72B33">
      <w:pPr>
        <w:pStyle w:val="Text3"/>
        <w:ind w:left="0"/>
        <w:rPr>
          <w:rFonts w:ascii="OrigGarmnd BT" w:hAnsi="OrigGarmnd BT"/>
          <w:lang w:val="en-US"/>
        </w:rPr>
      </w:pPr>
      <w:r w:rsidRPr="00BF0C0E">
        <w:rPr>
          <w:rFonts w:ascii="OrigGarmnd BT" w:hAnsi="OrigGarmnd BT"/>
          <w:lang w:val="en-US"/>
        </w:rPr>
        <w:t>9946/13 JAI 415 PESC 585 COSI 65 COPS 201 ENFOPOL 156 COTER 48</w:t>
      </w:r>
    </w:p>
    <w:p w:rsidR="00096478" w:rsidRPr="00BF0C0E" w:rsidRDefault="00096478" w:rsidP="00E72B33">
      <w:pPr>
        <w:pStyle w:val="Text3"/>
        <w:ind w:left="0"/>
        <w:rPr>
          <w:rFonts w:ascii="OrigGarmnd BT" w:hAnsi="OrigGarmnd BT"/>
          <w:lang w:val="en-US"/>
        </w:rPr>
      </w:pPr>
      <w:r w:rsidRPr="00BF0C0E">
        <w:rPr>
          <w:rFonts w:ascii="OrigGarmnd BT" w:hAnsi="OrigGarmnd BT"/>
          <w:lang w:val="en-US"/>
        </w:rPr>
        <w:t>9036/13 JAI 330 PESC 473 COSI 44 COPS 175 ENFOPOL 125 COTER 42</w:t>
      </w:r>
    </w:p>
    <w:p w:rsidR="00096478" w:rsidRPr="00BF0C0E" w:rsidRDefault="00096478" w:rsidP="00E72B33">
      <w:pPr>
        <w:tabs>
          <w:tab w:val="left" w:pos="2835"/>
        </w:tabs>
        <w:rPr>
          <w:rFonts w:ascii="Helv" w:hAnsi="Helv" w:cs="Helv"/>
          <w:i/>
          <w:iCs/>
          <w:color w:val="000000"/>
          <w:sz w:val="20"/>
          <w:lang w:val="en-US"/>
        </w:rPr>
      </w:pPr>
    </w:p>
    <w:p w:rsidR="00096478" w:rsidRDefault="00096478" w:rsidP="00E72B33">
      <w:pPr>
        <w:pStyle w:val="RKnormal"/>
      </w:pPr>
      <w:r w:rsidRPr="00E72B33">
        <w:rPr>
          <w:i/>
        </w:rPr>
        <w:t>Tidigare behandlad vid samråd med EU-nämnden</w:t>
      </w:r>
      <w:r w:rsidRPr="004A111D">
        <w:t>:</w:t>
      </w:r>
      <w:r>
        <w:t xml:space="preserve"> 2013-05-31</w:t>
      </w:r>
    </w:p>
    <w:p w:rsidR="00096478" w:rsidRPr="004A111D" w:rsidRDefault="00096478" w:rsidP="00E72B33">
      <w:pPr>
        <w:pStyle w:val="RKnormal"/>
      </w:pPr>
    </w:p>
    <w:p w:rsidR="00096478" w:rsidRDefault="00096478" w:rsidP="00E72B33">
      <w:pPr>
        <w:pStyle w:val="RKnormal"/>
      </w:pPr>
      <w:r w:rsidRPr="00E72B33">
        <w:rPr>
          <w:i/>
        </w:rPr>
        <w:t>Tidigare behandlad vid överläggning med eller information till riksdagsutskott:</w:t>
      </w:r>
      <w:r>
        <w:t>JuU 2013-05-30 (information)</w:t>
      </w:r>
    </w:p>
    <w:p w:rsidR="00096478" w:rsidRPr="004A111D" w:rsidRDefault="00096478" w:rsidP="00E72B33">
      <w:pPr>
        <w:pStyle w:val="RKnormal"/>
      </w:pPr>
    </w:p>
    <w:p w:rsidR="00096478" w:rsidRPr="00E72B33" w:rsidRDefault="00096478" w:rsidP="00E72B33">
      <w:pPr>
        <w:pStyle w:val="RKnormal"/>
        <w:rPr>
          <w:i/>
        </w:rPr>
      </w:pPr>
      <w:r w:rsidRPr="00E72B33">
        <w:rPr>
          <w:i/>
        </w:rPr>
        <w:t>Bakgrund</w:t>
      </w:r>
    </w:p>
    <w:p w:rsidR="00096478" w:rsidRDefault="00096478" w:rsidP="00E72B33">
      <w:pPr>
        <w:pStyle w:val="RKnormal"/>
      </w:pPr>
      <w:r>
        <w:t>Problematiken med personer som reser till konfliktområden för att delta i strider eller för att få träning i strid har funnits under flera år</w:t>
      </w:r>
      <w:r w:rsidRPr="00E221AA">
        <w:t>.</w:t>
      </w:r>
      <w:r>
        <w:t xml:space="preserve"> Nu har denna problematik blivit mer aktuell och allvarligare då relativt många personer har rest från EU, inklusive Sverige, till Syrienför att delta i konflikten där. De personer som reser till konfliktområden kan utgöra ett hot i de länder de verkar. Dessutom kan personerna utgöra ett hot när de återvänder till hemländerna eftersom de dels kan agera som rekryterare till terroristbrottslighet i högre utsträckning än tidigare och dels kan ha förvärvat en förbättrad förmåga att genomföra attentat.</w:t>
      </w:r>
    </w:p>
    <w:p w:rsidR="00096478" w:rsidRDefault="00096478" w:rsidP="00E72B33">
      <w:pPr>
        <w:pStyle w:val="RKnormal"/>
      </w:pPr>
      <w:r>
        <w:t>Inget dokument är ännu angivet för denna dagordningspunkt. I ett tidigare dokument presenterade EU:s antiterrorismsamordnare sina förslag på möjliga åtgärder för att förebygga och motverka denna problematik. Nu presenteras en uppföljningsrapport som även innehåller rekommendationer om vilka ytterligare ansträngningar EU och dess medlemsstater bör vidta.</w:t>
      </w:r>
    </w:p>
    <w:p w:rsidR="00096478" w:rsidRDefault="00096478" w:rsidP="00E72B33">
      <w:pPr>
        <w:pStyle w:val="RKnormal"/>
      </w:pPr>
    </w:p>
    <w:p w:rsidR="00096478" w:rsidRDefault="00096478" w:rsidP="00E72B33">
      <w:pPr>
        <w:pStyle w:val="RKnormal"/>
      </w:pPr>
      <w:r>
        <w:t>Säkerhetspolisen har huvudansvaret för att bekämpa och förebygga terrorism och arbetar aktivt med att förebygga resor till bl.a. Syrien i syfte att delta i olagliga våldshandlingar. Det sker exempelvis genom en dialog med de som avser att resa i syfte att informera om vad som är olagligt och för att diskutera riskerna.</w:t>
      </w:r>
    </w:p>
    <w:p w:rsidR="00096478" w:rsidRDefault="00096478" w:rsidP="00E72B33">
      <w:pPr>
        <w:pStyle w:val="RKnormal"/>
        <w:rPr>
          <w:i/>
        </w:rPr>
      </w:pPr>
    </w:p>
    <w:p w:rsidR="00096478" w:rsidRPr="00E72B33" w:rsidRDefault="00096478" w:rsidP="00E72B33">
      <w:pPr>
        <w:pStyle w:val="RKnormal"/>
        <w:rPr>
          <w:i/>
        </w:rPr>
      </w:pPr>
      <w:r w:rsidRPr="00E72B33">
        <w:rPr>
          <w:i/>
        </w:rPr>
        <w:t>Svensk ståndpunkt</w:t>
      </w:r>
    </w:p>
    <w:p w:rsidR="00096478" w:rsidRDefault="00096478" w:rsidP="00E72B33">
      <w:pPr>
        <w:pStyle w:val="RKnormal"/>
      </w:pPr>
      <w:r>
        <w:t>Regeringen avser lyssna till antiterrorismsamordnarens presentation och delta i eventuell diskussion om problematiken med personer som reser till konfliktområden för att delta i eller träna till strid.Regeringen stödjer arbete inom EU för att bidra till kampen mot terrorism och arbetar i linje med utgångspunkterna och målen i regeringens skrivelse med en nationell strategi mot terrorism (skr. 2011/12:73).</w:t>
      </w:r>
    </w:p>
    <w:p w:rsidR="00096478" w:rsidRDefault="00096478" w:rsidP="00E72B33">
      <w:pPr>
        <w:pStyle w:val="RKnormal"/>
      </w:pPr>
    </w:p>
    <w:p w:rsidR="00096478" w:rsidRDefault="00096478" w:rsidP="00E72B33">
      <w:pPr>
        <w:pStyle w:val="RKnormal"/>
      </w:pPr>
      <w:r>
        <w:t>Inget dokument för rådsmötet har ännu presenterats. Om dokumentet föranleder någon justering av den svenska ståndpunkten informeras riksdagen så snart möjligt.</w:t>
      </w:r>
    </w:p>
    <w:p w:rsidR="00096478" w:rsidRDefault="00096478" w:rsidP="006E6657">
      <w:pPr>
        <w:rPr>
          <w:b/>
        </w:rPr>
      </w:pPr>
    </w:p>
    <w:p w:rsidR="00096478" w:rsidRDefault="00096478" w:rsidP="006E6657">
      <w:pPr>
        <w:rPr>
          <w:b/>
        </w:rPr>
      </w:pPr>
    </w:p>
    <w:p w:rsidR="00096478" w:rsidRPr="006E6657" w:rsidRDefault="00096478" w:rsidP="006E6657">
      <w:pPr>
        <w:rPr>
          <w:b/>
        </w:rPr>
      </w:pPr>
      <w:r w:rsidRPr="006E6657">
        <w:rPr>
          <w:b/>
        </w:rPr>
        <w:t>9. Den framtida utvecklingen på RIF-området</w:t>
      </w:r>
      <w:r>
        <w:rPr>
          <w:b/>
        </w:rPr>
        <w:t xml:space="preserve"> (Sr Ask, Sr Billström)</w:t>
      </w:r>
    </w:p>
    <w:p w:rsidR="00096478" w:rsidRDefault="00096478" w:rsidP="006E6657">
      <w:pPr>
        <w:rPr>
          <w:b/>
        </w:rPr>
      </w:pPr>
    </w:p>
    <w:p w:rsidR="00096478" w:rsidRDefault="00096478" w:rsidP="006E6657">
      <w:pPr>
        <w:rPr>
          <w:i/>
        </w:rPr>
      </w:pPr>
      <w:r>
        <w:rPr>
          <w:i/>
        </w:rPr>
        <w:t>Avsikten med behandlingen i rådet</w:t>
      </w:r>
    </w:p>
    <w:p w:rsidR="00096478" w:rsidRDefault="00096478" w:rsidP="00D71F9D">
      <w:pPr>
        <w:tabs>
          <w:tab w:val="left" w:pos="709"/>
          <w:tab w:val="left" w:pos="2835"/>
        </w:tabs>
        <w:spacing w:line="240" w:lineRule="atLeast"/>
        <w:jc w:val="both"/>
        <w:rPr>
          <w:b/>
          <w:i/>
        </w:rPr>
      </w:pPr>
      <w:r>
        <w:t xml:space="preserve">Regeringen förutser en diskussion vid rådsmötet, men som framgår av dagordningen har detta ännu inte bekräftats av ordförandeskapet.  </w:t>
      </w:r>
    </w:p>
    <w:p w:rsidR="00096478" w:rsidRDefault="00096478" w:rsidP="006E6657">
      <w:pPr>
        <w:rPr>
          <w:i/>
        </w:rPr>
      </w:pPr>
    </w:p>
    <w:p w:rsidR="00096478" w:rsidRDefault="00096478" w:rsidP="006E6657">
      <w:pPr>
        <w:rPr>
          <w:i/>
        </w:rPr>
      </w:pPr>
    </w:p>
    <w:p w:rsidR="00096478" w:rsidRDefault="00096478" w:rsidP="006E6657">
      <w:pPr>
        <w:rPr>
          <w:i/>
        </w:rPr>
      </w:pPr>
    </w:p>
    <w:p w:rsidR="00096478" w:rsidRPr="000D6DB2" w:rsidRDefault="00096478" w:rsidP="006E6657">
      <w:pPr>
        <w:rPr>
          <w:i/>
        </w:rPr>
      </w:pPr>
      <w:r w:rsidRPr="000D6DB2">
        <w:rPr>
          <w:i/>
        </w:rPr>
        <w:t>Bakgrund</w:t>
      </w:r>
    </w:p>
    <w:p w:rsidR="00096478" w:rsidRDefault="00096478" w:rsidP="00754812">
      <w:pPr>
        <w:overflowPunct/>
        <w:autoSpaceDE/>
        <w:adjustRightInd/>
        <w:spacing w:line="240" w:lineRule="auto"/>
        <w:jc w:val="both"/>
        <w:rPr>
          <w:szCs w:val="24"/>
        </w:rPr>
      </w:pPr>
      <w:r>
        <w:rPr>
          <w:szCs w:val="24"/>
        </w:rPr>
        <w:t xml:space="preserve">Det nuvarande femåriga arbetsprogrammet för det rättsliga och </w:t>
      </w:r>
    </w:p>
    <w:p w:rsidR="00096478" w:rsidRDefault="00096478" w:rsidP="00754812">
      <w:pPr>
        <w:overflowPunct/>
        <w:autoSpaceDE/>
        <w:adjustRightInd/>
        <w:spacing w:line="240" w:lineRule="auto"/>
        <w:jc w:val="both"/>
        <w:rPr>
          <w:szCs w:val="24"/>
        </w:rPr>
      </w:pPr>
      <w:r>
        <w:rPr>
          <w:szCs w:val="24"/>
        </w:rPr>
        <w:t xml:space="preserve">inrikespolitiska området, Stockholmsprogrammet, omfattar åren </w:t>
      </w:r>
    </w:p>
    <w:p w:rsidR="00096478" w:rsidRDefault="00096478" w:rsidP="00754812">
      <w:pPr>
        <w:overflowPunct/>
        <w:autoSpaceDE/>
        <w:adjustRightInd/>
        <w:spacing w:line="240" w:lineRule="auto"/>
        <w:jc w:val="both"/>
        <w:rPr>
          <w:szCs w:val="24"/>
        </w:rPr>
      </w:pPr>
      <w:r>
        <w:rPr>
          <w:szCs w:val="24"/>
        </w:rPr>
        <w:t xml:space="preserve">2010-2014. Programmet förhandlades fram och antogs under det </w:t>
      </w:r>
    </w:p>
    <w:p w:rsidR="00096478" w:rsidRDefault="00096478" w:rsidP="00754812">
      <w:pPr>
        <w:overflowPunct/>
        <w:autoSpaceDE/>
        <w:adjustRightInd/>
        <w:spacing w:line="240" w:lineRule="auto"/>
        <w:jc w:val="both"/>
        <w:rPr>
          <w:szCs w:val="24"/>
        </w:rPr>
      </w:pPr>
      <w:r>
        <w:rPr>
          <w:szCs w:val="24"/>
        </w:rPr>
        <w:t xml:space="preserve">svenska ordförandeskapet 2009 och var det första efter Lissabonfördragets ikraftträdande. </w:t>
      </w:r>
    </w:p>
    <w:p w:rsidR="00096478" w:rsidRDefault="00096478" w:rsidP="00754812">
      <w:pPr>
        <w:overflowPunct/>
        <w:autoSpaceDE/>
        <w:adjustRightInd/>
        <w:spacing w:line="240" w:lineRule="auto"/>
        <w:rPr>
          <w:szCs w:val="24"/>
        </w:rPr>
      </w:pPr>
    </w:p>
    <w:p w:rsidR="00096478" w:rsidRDefault="00096478" w:rsidP="00754812">
      <w:pPr>
        <w:tabs>
          <w:tab w:val="left" w:pos="709"/>
          <w:tab w:val="left" w:pos="2835"/>
        </w:tabs>
        <w:spacing w:line="240" w:lineRule="atLeast"/>
        <w:jc w:val="both"/>
      </w:pPr>
      <w:r>
        <w:t xml:space="preserve">I slutsatserna från toppmötet den 27-28 juni 2013 uppmanade Europeiska rådet kommande ordförandeskap att påbörja en förberedelseprocess inför ett fastställande av nya strategiska riktlinjer för RIF-området i juni 2014. En första inledande diskussion i rådskretsen ägde rum vid det informella ministermötet för rättsliga och inrikes frågor i Vilnius i juli. Det framkom då med stor tydlighet att medlemsstaterna är eniga om att ett program med nya strategiska riktlinjer för området bör tas fram.  Även när det gällde formen och den allmänna inriktningen framkom en stor samsyn i Vilnius. Det stora flertalet medlemsstater ansåg att programmet denna gång bör vara kort och innehålla mera av strategiska riktlinjer och mindre av detaljer. </w:t>
      </w:r>
    </w:p>
    <w:p w:rsidR="00096478" w:rsidRDefault="00096478" w:rsidP="00754812">
      <w:pPr>
        <w:tabs>
          <w:tab w:val="left" w:pos="709"/>
          <w:tab w:val="left" w:pos="2835"/>
        </w:tabs>
        <w:spacing w:line="240" w:lineRule="atLeast"/>
      </w:pPr>
    </w:p>
    <w:p w:rsidR="00096478" w:rsidRDefault="00096478" w:rsidP="00754812">
      <w:pPr>
        <w:tabs>
          <w:tab w:val="left" w:pos="709"/>
          <w:tab w:val="left" w:pos="2835"/>
        </w:tabs>
        <w:spacing w:line="240" w:lineRule="atLeast"/>
        <w:jc w:val="both"/>
        <w:rPr>
          <w:b/>
          <w:i/>
        </w:rPr>
      </w:pPr>
      <w:r>
        <w:t>Medlemsstaterna framförde också tydliga önskemål om att förberedande diskussioner snabbt borde inledas i de s.k. högnivåkommittéerna på tjänstemannanivå, SCIFA</w:t>
      </w:r>
      <w:r>
        <w:rPr>
          <w:rStyle w:val="FootnoteReference"/>
        </w:rPr>
        <w:footnoteReference w:id="5"/>
      </w:r>
      <w:r>
        <w:t>, COSI</w:t>
      </w:r>
      <w:r>
        <w:rPr>
          <w:rStyle w:val="FootnoteReference"/>
        </w:rPr>
        <w:footnoteReference w:id="6"/>
      </w:r>
      <w:r>
        <w:t>, CATS</w:t>
      </w:r>
      <w:r>
        <w:rPr>
          <w:rStyle w:val="FootnoteReference"/>
        </w:rPr>
        <w:footnoteReference w:id="7"/>
      </w:r>
      <w:r>
        <w:t xml:space="preserve"> m.fl. samt att frågan därefter borde återkomma på RIF-rådets bord i december för slutsatser. Diskussionerna i högnivåkommittéerna har ägt rum under hösten. </w:t>
      </w:r>
      <w:r w:rsidRPr="00E37B39">
        <w:t>Ordförandeskapet har också bjudit in medlemsstaterna att skriftligen inkomma med synpunkter senast den 2 december.</w:t>
      </w:r>
      <w:r>
        <w:t xml:space="preserve"> Vi förutser en diskussion vid rådsmötet, men som framgår av dagordningen har detta ännu inte bekräftats av ordförandeskapet.  </w:t>
      </w:r>
    </w:p>
    <w:p w:rsidR="00096478" w:rsidRDefault="00096478" w:rsidP="00754812">
      <w:pPr>
        <w:tabs>
          <w:tab w:val="left" w:pos="709"/>
          <w:tab w:val="left" w:pos="2835"/>
        </w:tabs>
        <w:spacing w:line="240" w:lineRule="atLeast"/>
        <w:jc w:val="both"/>
      </w:pPr>
    </w:p>
    <w:p w:rsidR="00096478" w:rsidRDefault="00096478" w:rsidP="00754812">
      <w:pPr>
        <w:tabs>
          <w:tab w:val="left" w:pos="709"/>
          <w:tab w:val="left" w:pos="2835"/>
        </w:tabs>
        <w:spacing w:line="240" w:lineRule="atLeast"/>
        <w:jc w:val="both"/>
      </w:pPr>
      <w:r>
        <w:t>Kommissionen</w:t>
      </w:r>
      <w:r w:rsidRPr="009E3418">
        <w:t xml:space="preserve"> k</w:t>
      </w:r>
      <w:r>
        <w:t xml:space="preserve">ommer att presentera ett meddelande under våren 2014, troligen någon gång i februari/mars.  Som ett led i förberedelserna inför meddelandet arrangerar kommissionens generaldirektorat för rättsliga frågor (DG Justice) en konferens, ”Assises de la Justice”, den 21-22 november 2013. Generaldirektoratet för inrikes frågor (DG Home) arrangerar en motsvarande konferens i januari 2014.  </w:t>
      </w:r>
    </w:p>
    <w:p w:rsidR="00096478" w:rsidRDefault="00096478" w:rsidP="006E6657">
      <w:pPr>
        <w:rPr>
          <w:b/>
        </w:rPr>
      </w:pPr>
    </w:p>
    <w:p w:rsidR="00096478" w:rsidRDefault="00096478" w:rsidP="006E6657">
      <w:pPr>
        <w:rPr>
          <w:i/>
        </w:rPr>
      </w:pPr>
      <w:r w:rsidRPr="000D6DB2">
        <w:rPr>
          <w:i/>
        </w:rPr>
        <w:t>Svensk ståndpunkt</w:t>
      </w:r>
    </w:p>
    <w:p w:rsidR="00096478" w:rsidRPr="00622E98" w:rsidRDefault="00096478" w:rsidP="00754812">
      <w:pPr>
        <w:tabs>
          <w:tab w:val="left" w:pos="709"/>
          <w:tab w:val="left" w:pos="2835"/>
        </w:tabs>
        <w:spacing w:line="240" w:lineRule="atLeast"/>
        <w:jc w:val="both"/>
      </w:pPr>
      <w:r w:rsidRPr="00622E98">
        <w:t xml:space="preserve">Sverige anser att det bör tas fram </w:t>
      </w:r>
      <w:r>
        <w:t>ett flerårigt program med nya strategiska riktlinjer</w:t>
      </w:r>
      <w:r w:rsidRPr="00622E98">
        <w:t xml:space="preserve"> för RIF-området. </w:t>
      </w:r>
      <w:r>
        <w:t xml:space="preserve">Programmet bör </w:t>
      </w:r>
      <w:r w:rsidRPr="00622E98">
        <w:t>vara utforma</w:t>
      </w:r>
      <w:r>
        <w:t>t</w:t>
      </w:r>
      <w:r w:rsidRPr="00622E98">
        <w:t xml:space="preserve"> på ett sådant sätt att de</w:t>
      </w:r>
      <w:r>
        <w:t>t</w:t>
      </w:r>
      <w:r w:rsidRPr="00622E98">
        <w:t xml:space="preserve"> kan kommunicera ett tydligt budskap till medborgarna om inriktningen av samarbetet de kommande åren.   </w:t>
      </w:r>
    </w:p>
    <w:p w:rsidR="00096478" w:rsidRPr="00622E98" w:rsidRDefault="00096478" w:rsidP="00754812">
      <w:pPr>
        <w:tabs>
          <w:tab w:val="left" w:pos="709"/>
          <w:tab w:val="left" w:pos="2835"/>
        </w:tabs>
        <w:spacing w:line="240" w:lineRule="atLeast"/>
        <w:jc w:val="both"/>
      </w:pPr>
    </w:p>
    <w:p w:rsidR="00096478" w:rsidRDefault="00096478" w:rsidP="00754812">
      <w:pPr>
        <w:tabs>
          <w:tab w:val="left" w:pos="709"/>
          <w:tab w:val="left" w:pos="2835"/>
        </w:tabs>
        <w:spacing w:line="240" w:lineRule="atLeast"/>
        <w:jc w:val="both"/>
      </w:pPr>
      <w:r w:rsidRPr="00622E98">
        <w:t>Sverige välkomnar mot den bakgrunden att E</w:t>
      </w:r>
      <w:r>
        <w:t>uropeiska rådet</w:t>
      </w:r>
      <w:r w:rsidRPr="00622E98">
        <w:t xml:space="preserve"> tydliggjort att </w:t>
      </w:r>
      <w:r>
        <w:t>det ska</w:t>
      </w:r>
      <w:r w:rsidRPr="00622E98">
        <w:t xml:space="preserve"> fastställa strategiska riktlinjer för det kommande samarbetet på RIF-området och att kommande ordförandeskap </w:t>
      </w:r>
      <w:r>
        <w:t xml:space="preserve">uppmanats </w:t>
      </w:r>
      <w:r w:rsidRPr="00622E98">
        <w:t xml:space="preserve">att påbörja förberedande diskussioner. </w:t>
      </w:r>
      <w:r>
        <w:t xml:space="preserve"> Sverige anser vidare att det är viktigt att medlemsstaterna och RIF-rådet ges möjlighet att aktivt delta i de förberedande diskussionerna eftersom det är viktigt att den kommande politiken på området på ett tidigt stadium förankras i medlemsstaterna och i den ansvariga rådskonstellationen.  </w:t>
      </w:r>
    </w:p>
    <w:p w:rsidR="00096478" w:rsidRDefault="00096478" w:rsidP="006E6657">
      <w:pPr>
        <w:rPr>
          <w:i/>
        </w:rPr>
      </w:pPr>
    </w:p>
    <w:p w:rsidR="00096478" w:rsidRPr="00754812" w:rsidRDefault="00096478" w:rsidP="006E6657">
      <w:pPr>
        <w:rPr>
          <w:u w:val="single"/>
        </w:rPr>
      </w:pPr>
      <w:r w:rsidRPr="00754812">
        <w:t xml:space="preserve">Se vidare i </w:t>
      </w:r>
      <w:r w:rsidRPr="00754812">
        <w:rPr>
          <w:u w:val="single"/>
        </w:rPr>
        <w:t>bifogad promemoria.</w:t>
      </w:r>
    </w:p>
    <w:p w:rsidR="00096478" w:rsidRDefault="00096478" w:rsidP="006E6657">
      <w:pPr>
        <w:rPr>
          <w:b/>
        </w:rPr>
      </w:pPr>
    </w:p>
    <w:p w:rsidR="00096478" w:rsidRDefault="00096478" w:rsidP="006E6657">
      <w:pPr>
        <w:rPr>
          <w:b/>
        </w:rPr>
      </w:pPr>
    </w:p>
    <w:p w:rsidR="00096478" w:rsidRPr="006E6657" w:rsidRDefault="00096478" w:rsidP="006E6657">
      <w:pPr>
        <w:rPr>
          <w:b/>
        </w:rPr>
      </w:pPr>
      <w:r w:rsidRPr="006E6657">
        <w:rPr>
          <w:b/>
        </w:rPr>
        <w:t>10. Övriga frågor</w:t>
      </w:r>
      <w:r>
        <w:rPr>
          <w:b/>
        </w:rPr>
        <w:t xml:space="preserve"> (Sr Ask, Sr Billström)</w:t>
      </w:r>
    </w:p>
    <w:p w:rsidR="00096478" w:rsidRPr="006E6657" w:rsidRDefault="00096478" w:rsidP="006E6657">
      <w:pPr>
        <w:rPr>
          <w:b/>
        </w:rPr>
      </w:pPr>
      <w:r w:rsidRPr="006E6657">
        <w:rPr>
          <w:b/>
        </w:rPr>
        <w:t>–</w:t>
      </w:r>
      <w:r w:rsidRPr="006E6657">
        <w:rPr>
          <w:b/>
        </w:rPr>
        <w:tab/>
        <w:t xml:space="preserve">Resultatet av ministermötet mellan EU och USA om rättsliga och inrikes frågor </w:t>
      </w:r>
    </w:p>
    <w:p w:rsidR="00096478" w:rsidRPr="006E6657" w:rsidRDefault="00096478" w:rsidP="006E6657">
      <w:pPr>
        <w:rPr>
          <w:b/>
        </w:rPr>
      </w:pPr>
      <w:r w:rsidRPr="006E6657">
        <w:rPr>
          <w:b/>
        </w:rPr>
        <w:t>=</w:t>
      </w:r>
      <w:r w:rsidRPr="006E6657">
        <w:rPr>
          <w:b/>
        </w:rPr>
        <w:tab/>
        <w:t>Information från ordförandeskapet</w:t>
      </w:r>
    </w:p>
    <w:p w:rsidR="00096478" w:rsidRPr="006E6657" w:rsidRDefault="00096478" w:rsidP="006E6657">
      <w:pPr>
        <w:rPr>
          <w:b/>
        </w:rPr>
      </w:pPr>
    </w:p>
    <w:p w:rsidR="00096478" w:rsidRPr="00E72B33" w:rsidRDefault="00096478" w:rsidP="00E72B33">
      <w:pPr>
        <w:pStyle w:val="RKnormal"/>
        <w:rPr>
          <w:i/>
        </w:rPr>
      </w:pPr>
      <w:r w:rsidRPr="00E72B33">
        <w:rPr>
          <w:i/>
        </w:rPr>
        <w:t>Avsikten med behandlingen i rådet</w:t>
      </w:r>
    </w:p>
    <w:p w:rsidR="00096478" w:rsidRDefault="00096478" w:rsidP="00E72B33">
      <w:pPr>
        <w:pStyle w:val="RKnormal"/>
      </w:pPr>
      <w:r>
        <w:t xml:space="preserve">Ordförande och kommissionen avser återrapportera från RIF-ministermötet mellan EU och USA. </w:t>
      </w:r>
    </w:p>
    <w:p w:rsidR="00096478" w:rsidRDefault="00096478" w:rsidP="00E72B33">
      <w:pPr>
        <w:pStyle w:val="RKnormal"/>
      </w:pPr>
    </w:p>
    <w:p w:rsidR="00096478" w:rsidRDefault="00096478" w:rsidP="00E72B33">
      <w:pPr>
        <w:pStyle w:val="RKnormal"/>
      </w:pPr>
      <w:r w:rsidRPr="00E72B33">
        <w:rPr>
          <w:i/>
        </w:rPr>
        <w:t>Dokument:</w:t>
      </w:r>
      <w:r>
        <w:t xml:space="preserve"> Ingen rapport har ännu distribuerats från mötet. En preliminär dagordning för mötet bifogas. </w:t>
      </w:r>
    </w:p>
    <w:p w:rsidR="00096478" w:rsidRDefault="00096478" w:rsidP="00E72B33">
      <w:pPr>
        <w:pStyle w:val="RKnormal"/>
      </w:pPr>
    </w:p>
    <w:p w:rsidR="00096478" w:rsidRPr="00E72B33" w:rsidRDefault="00096478" w:rsidP="00D71F9D">
      <w:pPr>
        <w:widowControl w:val="0"/>
        <w:rPr>
          <w:rFonts w:cs="Helvetica"/>
          <w:i/>
        </w:rPr>
      </w:pPr>
      <w:r w:rsidRPr="00E72B33">
        <w:rPr>
          <w:rFonts w:cs="Helvetica"/>
          <w:i/>
        </w:rPr>
        <w:t xml:space="preserve">Tidigare behandling i EU-nämnden och i riksdagsutskott: - </w:t>
      </w:r>
    </w:p>
    <w:p w:rsidR="00096478" w:rsidRDefault="00096478" w:rsidP="00E72B33">
      <w:pPr>
        <w:tabs>
          <w:tab w:val="left" w:pos="2835"/>
        </w:tabs>
        <w:spacing w:line="240" w:lineRule="atLeast"/>
        <w:rPr>
          <w:i/>
          <w:szCs w:val="24"/>
        </w:rPr>
      </w:pPr>
    </w:p>
    <w:p w:rsidR="00096478" w:rsidRPr="00E72B33" w:rsidRDefault="00096478" w:rsidP="00E72B33">
      <w:pPr>
        <w:tabs>
          <w:tab w:val="left" w:pos="2835"/>
        </w:tabs>
        <w:spacing w:line="240" w:lineRule="atLeast"/>
        <w:rPr>
          <w:i/>
          <w:szCs w:val="24"/>
        </w:rPr>
      </w:pPr>
      <w:r w:rsidRPr="00E72B33">
        <w:rPr>
          <w:i/>
          <w:szCs w:val="24"/>
        </w:rPr>
        <w:t>Bakgrund</w:t>
      </w:r>
    </w:p>
    <w:p w:rsidR="00096478" w:rsidRDefault="00096478" w:rsidP="00E72B33">
      <w:pPr>
        <w:tabs>
          <w:tab w:val="left" w:pos="2835"/>
        </w:tabs>
        <w:spacing w:line="240" w:lineRule="atLeast"/>
        <w:rPr>
          <w:szCs w:val="24"/>
        </w:rPr>
      </w:pPr>
      <w:r>
        <w:rPr>
          <w:szCs w:val="24"/>
        </w:rPr>
        <w:t xml:space="preserve">EU och USA har som strategiska partners ett utvecklat samarbete inom rättsliga och inrikes frågor. EU och USA möts regelbundet på ministernivå för att diskutera RIF-samarbetet. Vid mötet i Washington den 18 november 2013 diskuterade partnerna bl.a. det gemensamma arbetet mot utnyttjande av barn på Internet, samordning av arbetet mot terrorism, utvidgande av det rättsliga samarbetet, gemensamma insatser mot brottslighet på Internet, samarbetet inom migration och rörlighet, gemensamma problem med utländska stridande och radikalisering, behoven av förstärkt förtroende kring dataskydd samt brottsoffers rättigheter. </w:t>
      </w:r>
    </w:p>
    <w:p w:rsidR="00096478" w:rsidRDefault="00096478" w:rsidP="00E72B33">
      <w:pPr>
        <w:tabs>
          <w:tab w:val="left" w:pos="2835"/>
        </w:tabs>
        <w:spacing w:line="240" w:lineRule="atLeast"/>
        <w:rPr>
          <w:szCs w:val="24"/>
        </w:rPr>
      </w:pPr>
    </w:p>
    <w:p w:rsidR="00096478" w:rsidRDefault="00096478" w:rsidP="00E72B33">
      <w:pPr>
        <w:pStyle w:val="RKnormal"/>
      </w:pPr>
    </w:p>
    <w:p w:rsidR="00096478" w:rsidRDefault="00096478" w:rsidP="00E72B33">
      <w:pPr>
        <w:pStyle w:val="RKnormal"/>
      </w:pPr>
    </w:p>
    <w:p w:rsidR="00096478" w:rsidRDefault="00096478" w:rsidP="006E6657">
      <w:pPr>
        <w:rPr>
          <w:b/>
          <w:bCs/>
        </w:rPr>
      </w:pPr>
    </w:p>
    <w:p w:rsidR="00096478" w:rsidRDefault="00096478" w:rsidP="006E6657">
      <w:pPr>
        <w:rPr>
          <w:b/>
          <w:bCs/>
        </w:rPr>
      </w:pPr>
      <w:r w:rsidRPr="006E6657">
        <w:rPr>
          <w:b/>
          <w:bCs/>
        </w:rPr>
        <w:t>RÄTTSLIGA FRÅGOR</w:t>
      </w:r>
    </w:p>
    <w:p w:rsidR="00096478" w:rsidRPr="006E6657" w:rsidRDefault="00096478" w:rsidP="006E6657">
      <w:pPr>
        <w:rPr>
          <w:b/>
          <w:bCs/>
        </w:rPr>
      </w:pPr>
    </w:p>
    <w:p w:rsidR="00096478" w:rsidRPr="006E6657" w:rsidRDefault="00096478" w:rsidP="006E6657">
      <w:pPr>
        <w:rPr>
          <w:b/>
          <w:bCs/>
          <w:i/>
          <w:iCs/>
          <w:u w:val="single"/>
        </w:rPr>
      </w:pPr>
      <w:r w:rsidRPr="006E6657">
        <w:rPr>
          <w:b/>
          <w:bCs/>
          <w:i/>
          <w:iCs/>
          <w:u w:val="single"/>
        </w:rPr>
        <w:t>Lagstiftningsöverläggningar</w:t>
      </w:r>
    </w:p>
    <w:p w:rsidR="00096478" w:rsidRDefault="00096478" w:rsidP="006E6657">
      <w:pPr>
        <w:rPr>
          <w:b/>
        </w:rPr>
      </w:pPr>
    </w:p>
    <w:p w:rsidR="00096478" w:rsidRPr="00C64ED1" w:rsidRDefault="00096478" w:rsidP="006E6657">
      <w:r w:rsidRPr="006E6657">
        <w:rPr>
          <w:b/>
        </w:rPr>
        <w:t xml:space="preserve">11. Förslag till Europaparlamentets och rådets förordning om skydd för enskilda personer med avseende på behandling av personuppgifter och om det fria flödet av sådana uppgifter (allmän uppgiftsskyddsförordning) </w:t>
      </w:r>
      <w:r w:rsidRPr="00C64ED1">
        <w:t>[</w:t>
      </w:r>
      <w:r w:rsidRPr="00C64ED1">
        <w:rPr>
          <w:bCs/>
        </w:rPr>
        <w:t>första behandlingen]</w:t>
      </w:r>
      <w:r w:rsidRPr="00C64ED1">
        <w:rPr>
          <w:b/>
          <w:bCs/>
        </w:rPr>
        <w:t>(Sr Ask)</w:t>
      </w:r>
    </w:p>
    <w:p w:rsidR="00096478" w:rsidRPr="006E6657" w:rsidRDefault="00096478" w:rsidP="006E6657">
      <w:pPr>
        <w:rPr>
          <w:b/>
        </w:rPr>
      </w:pPr>
      <w:r w:rsidRPr="006E6657">
        <w:rPr>
          <w:rFonts w:cs="Arial"/>
          <w:b/>
        </w:rPr>
        <w:t>=</w:t>
      </w:r>
      <w:r w:rsidRPr="006E6657">
        <w:rPr>
          <w:rFonts w:cs="Arial"/>
          <w:b/>
        </w:rPr>
        <w:tab/>
      </w:r>
      <w:r w:rsidRPr="006E6657">
        <w:rPr>
          <w:b/>
        </w:rPr>
        <w:t>Partiell allmän riktlinje (mekanismen för en enda kontaktpunkt (one-stop-shop))</w:t>
      </w:r>
    </w:p>
    <w:p w:rsidR="00096478" w:rsidRDefault="00096478" w:rsidP="006E6657">
      <w:pPr>
        <w:rPr>
          <w:b/>
        </w:rPr>
      </w:pPr>
    </w:p>
    <w:p w:rsidR="00096478" w:rsidRPr="004E6101" w:rsidRDefault="00096478" w:rsidP="00EB0E45">
      <w:pPr>
        <w:rPr>
          <w:i/>
        </w:rPr>
      </w:pPr>
      <w:r w:rsidRPr="004E6101">
        <w:rPr>
          <w:i/>
        </w:rPr>
        <w:t>Avsikten med behandlingen i rådet</w:t>
      </w:r>
    </w:p>
    <w:p w:rsidR="00096478" w:rsidRDefault="00096478" w:rsidP="00EB0E45">
      <w:r>
        <w:t>Rådet ska</w:t>
      </w:r>
      <w:r w:rsidRPr="00647B65">
        <w:t xml:space="preserve"> nå en </w:t>
      </w:r>
      <w:r>
        <w:t xml:space="preserve">överenskommelse om en </w:t>
      </w:r>
      <w:r w:rsidRPr="00647B65">
        <w:t>parti</w:t>
      </w:r>
      <w:r>
        <w:t>e</w:t>
      </w:r>
      <w:r w:rsidRPr="00647B65">
        <w:t>l</w:t>
      </w:r>
      <w:r>
        <w:t>lallmän inriktninggällande</w:t>
      </w:r>
      <w:r w:rsidRPr="00647B65">
        <w:t xml:space="preserve"> ”one-stop-shop”-mekanismen.</w:t>
      </w:r>
    </w:p>
    <w:p w:rsidR="00096478" w:rsidRDefault="00096478" w:rsidP="00EB0E45"/>
    <w:p w:rsidR="00096478" w:rsidRPr="004E6101" w:rsidRDefault="00096478" w:rsidP="00EB0E45">
      <w:pPr>
        <w:rPr>
          <w:i/>
        </w:rPr>
      </w:pPr>
      <w:r w:rsidRPr="004E6101">
        <w:rPr>
          <w:i/>
        </w:rPr>
        <w:t>Bakgrund</w:t>
      </w:r>
    </w:p>
    <w:p w:rsidR="00096478" w:rsidRDefault="00096478" w:rsidP="00BA4E49">
      <w:pPr>
        <w:pStyle w:val="RKnormal"/>
      </w:pPr>
      <w:r w:rsidRPr="00E13D6E">
        <w:t>Den viktigaste EU-rättsakten på dataskyddsområdet</w:t>
      </w:r>
      <w:r>
        <w:t xml:space="preserve"> är det s.k. </w:t>
      </w:r>
      <w:r w:rsidRPr="00E13D6E">
        <w:t>data</w:t>
      </w:r>
      <w:r w:rsidRPr="00E13D6E">
        <w:softHyphen/>
        <w:t>skydds</w:t>
      </w:r>
      <w:r>
        <w:softHyphen/>
      </w:r>
      <w:r w:rsidRPr="00E13D6E">
        <w:t>direktivet</w:t>
      </w:r>
      <w:r>
        <w:t xml:space="preserve"> som</w:t>
      </w:r>
      <w:r w:rsidRPr="00E13D6E">
        <w:t xml:space="preserve"> antog</w:t>
      </w:r>
      <w:r>
        <w:t xml:space="preserve">s 1995. Direktivet syfteär dels </w:t>
      </w:r>
      <w:r w:rsidRPr="00E13D6E">
        <w:t>att skydda fysiska personers grund</w:t>
      </w:r>
      <w:r w:rsidRPr="00E13D6E">
        <w:softHyphen/>
        <w:t>läggande fri- och rättigheter i sam</w:t>
      </w:r>
      <w:r>
        <w:softHyphen/>
      </w:r>
      <w:r w:rsidRPr="00E13D6E">
        <w:t>band me</w:t>
      </w:r>
      <w:r>
        <w:t xml:space="preserve">d behandling av personuppgifter, dels </w:t>
      </w:r>
      <w:r w:rsidRPr="00E13D6E">
        <w:t>att underlätta ett fritt flöde av personuppgift</w:t>
      </w:r>
      <w:r w:rsidRPr="00E13D6E">
        <w:softHyphen/>
        <w:t>er mellan medlemsstaterna. Dataskyddsdirektivet har i svensk rätt genom</w:t>
      </w:r>
      <w:r>
        <w:softHyphen/>
      </w:r>
      <w:r w:rsidRPr="00E13D6E">
        <w:t>förts genom personuppgifts</w:t>
      </w:r>
      <w:r w:rsidRPr="00E13D6E">
        <w:softHyphen/>
        <w:t>lagen och ett antal särreglering</w:t>
      </w:r>
      <w:r>
        <w:t>ar i förhållande till denna lag, t.ex. patientdatalagen och kustbevakningsdatalagen.</w:t>
      </w:r>
    </w:p>
    <w:p w:rsidR="00096478" w:rsidRDefault="00096478" w:rsidP="00BA4E49">
      <w:pPr>
        <w:pStyle w:val="RKnormal"/>
      </w:pPr>
    </w:p>
    <w:p w:rsidR="00096478" w:rsidRDefault="00096478" w:rsidP="00BA4E49">
      <w:pPr>
        <w:pStyle w:val="RKnormal"/>
      </w:pPr>
      <w:r w:rsidRPr="00E13D6E">
        <w:t xml:space="preserve">Den 25 januari 2012 presenterade kommissionen </w:t>
      </w:r>
      <w:r>
        <w:t>ett</w:t>
      </w:r>
      <w:r w:rsidRPr="00E13D6E">
        <w:t xml:space="preserve"> förslag till en genomgripande reform av EU:s regler om skydd för personuppgifter. Förslaget innebär bl.a. att dataskyd</w:t>
      </w:r>
      <w:r>
        <w:t>dsdirektivet ska ersättas av en allmän</w:t>
      </w:r>
      <w:r w:rsidRPr="00E13D6E">
        <w:t xml:space="preserve"> dataskyddsförordning. </w:t>
      </w:r>
      <w:r w:rsidRPr="000B450F">
        <w:t>Förslaget till förordning har därefter förhandlats i behörig rådsarbetsgrupp</w:t>
      </w:r>
      <w:r>
        <w:t>.</w:t>
      </w:r>
      <w:r>
        <w:br/>
      </w:r>
      <w:r>
        <w:br/>
        <w:t xml:space="preserve">Förslaget behandlades vid RIF-råden i december 2012 och januari och </w:t>
      </w:r>
      <w:r w:rsidRPr="00C359E0">
        <w:t xml:space="preserve">mars </w:t>
      </w:r>
      <w:r>
        <w:t>2013.Rådet uttalade då bl.a. sitt stöd för att införa en riskbaserad ansats i regleringen samt för att skapa flexibilitet för den offentliga sektorn. Ministrarna har också gett stöd till en utvidgning av det s.k. hushållsundantaget.</w:t>
      </w:r>
    </w:p>
    <w:p w:rsidR="00096478" w:rsidRDefault="00096478" w:rsidP="00BA4E49">
      <w:pPr>
        <w:pStyle w:val="RKnormal"/>
      </w:pPr>
    </w:p>
    <w:p w:rsidR="00096478" w:rsidRPr="002B725C" w:rsidRDefault="00096478" w:rsidP="00BA4E49">
      <w:pPr>
        <w:pStyle w:val="RKnormal"/>
      </w:pPr>
      <w:r>
        <w:t>Vid RIF-rådet i juni 2013 diskuterades vissa nyckelfrågor som ordförandeskapet identifierat efter de</w:t>
      </w:r>
      <w:r w:rsidRPr="007E6FEA">
        <w:t>n första läsningen av förordningen</w:t>
      </w:r>
      <w:r>
        <w:t xml:space="preserve">. Inför rådsmötet arbetade ordförandeskapet även om stora delar av förslaget, bl.a. för att </w:t>
      </w:r>
      <w:r w:rsidRPr="002B725C">
        <w:t xml:space="preserve">införa en mer riskbaserad ansats </w:t>
      </w:r>
      <w:r>
        <w:t xml:space="preserve">och för att skapa flexibilitet för </w:t>
      </w:r>
      <w:r w:rsidRPr="002B725C">
        <w:t>den offentliga sektorn i regleringen</w:t>
      </w:r>
      <w:r>
        <w:t xml:space="preserve">. Dessutom införde ordförandeskapet efter förslag från bl.a. Sverige en särskild artikel om tillgång till allmänna handlingar, vilket är mycket positivt. Sverige kunde ställa sig bakom många av de ändringar som föreslogs eftersom dessa gick i rätt riktning ur ett svenskt perspektiv. </w:t>
      </w:r>
    </w:p>
    <w:p w:rsidR="00096478" w:rsidRDefault="00096478" w:rsidP="00BA4E49"/>
    <w:p w:rsidR="00096478" w:rsidRDefault="00096478" w:rsidP="00BA4E49">
      <w:r>
        <w:t>Vid RIF-rådet i juli 2013 diskuterades den s.k. mekanismen för enhetlighet, dvs. den del av regleringen som syftar till att säkerställa e</w:t>
      </w:r>
      <w:r w:rsidRPr="00AC7944">
        <w:t>n konsekvent och enhetlig tillämpning av dataskyddsreglerna inom EU</w:t>
      </w:r>
      <w:r>
        <w:t xml:space="preserve">. </w:t>
      </w:r>
      <w:r>
        <w:br/>
      </w:r>
      <w:r>
        <w:br/>
        <w:t xml:space="preserve">Vid RIF-rådet i oktober 2013 diskuterades regleringen om behörig tillsynsmyndighet vid gränsöverskridande ärenden och förslaget till en s.k. ”one-stop-shop”-mekanism </w:t>
      </w:r>
      <w:r w:rsidRPr="00770312">
        <w:t>(en ensam behörig tillsynsmyndighet</w:t>
      </w:r>
      <w:r>
        <w:t xml:space="preserve">). Ordförandeskapets sammanfattning av orienteringsdebatten var (i) att det finns stöd för att i viktigare ärenden ha en ”one-stop-shop”-mekanism, (ii) att arbetsgruppen skulle arbeta vidare med en modell där den behöriga tillsynsmyndigheten ges exklusiv befogenhet att fatta beslut men att befogenheten ska vara begränsad till särskilda områden och (iii) att arbetsgruppen skulle undersöka hur närheten mellan medborgarna och den beslutsfattande myndigheten kan ökas genom att den lokala tillsynsmyndigheten involveras i processen. </w:t>
      </w:r>
    </w:p>
    <w:p w:rsidR="00096478" w:rsidRDefault="00096478" w:rsidP="00BA4E49">
      <w:pPr>
        <w:rPr>
          <w:b/>
        </w:rPr>
      </w:pPr>
      <w:r>
        <w:t xml:space="preserve">Efter RIF-rådet i oktober 2013 har förslaget till ”one-stop-shop”-mekanism diskuterats ingående i arbetsgruppen och det litauiska ordförandeskapet har föreslagit ett stort antal justeringar i regleringen. </w:t>
      </w:r>
      <w:r w:rsidRPr="00647B65">
        <w:t xml:space="preserve">Vid nu aktuellt rådsmöte </w:t>
      </w:r>
      <w:r>
        <w:t xml:space="preserve">är ordförandeskapets </w:t>
      </w:r>
      <w:r w:rsidRPr="00647B65">
        <w:t xml:space="preserve">avsikt </w:t>
      </w:r>
      <w:r>
        <w:t>a</w:t>
      </w:r>
      <w:r w:rsidRPr="00647B65">
        <w:t xml:space="preserve">tt nå fram till en </w:t>
      </w:r>
      <w:r>
        <w:t xml:space="preserve">överenskommelse om en </w:t>
      </w:r>
      <w:r w:rsidRPr="00647B65">
        <w:t>parti</w:t>
      </w:r>
      <w:r>
        <w:t>e</w:t>
      </w:r>
      <w:r w:rsidRPr="00647B65">
        <w:t>l</w:t>
      </w:r>
      <w:r>
        <w:t>lallmän inriktninggällande</w:t>
      </w:r>
      <w:r w:rsidRPr="00647B65">
        <w:t xml:space="preserve"> ”one-stop-shop”-mekanismen.</w:t>
      </w:r>
    </w:p>
    <w:p w:rsidR="00096478" w:rsidRDefault="00096478" w:rsidP="00BA4E49"/>
    <w:p w:rsidR="00096478" w:rsidRPr="00EB0E45" w:rsidRDefault="00096478" w:rsidP="00EB0E45">
      <w:pPr>
        <w:rPr>
          <w:b/>
          <w:bCs/>
          <w:i/>
        </w:rPr>
      </w:pPr>
      <w:r w:rsidRPr="00EB0E45">
        <w:rPr>
          <w:i/>
        </w:rPr>
        <w:t>Svensk ståndpunkt</w:t>
      </w:r>
    </w:p>
    <w:p w:rsidR="00096478" w:rsidRPr="00EB0E45" w:rsidRDefault="00096478" w:rsidP="00EB0E45">
      <w:pPr>
        <w:rPr>
          <w:bCs/>
        </w:rPr>
      </w:pPr>
      <w:r w:rsidRPr="00EB0E45">
        <w:rPr>
          <w:bCs/>
        </w:rPr>
        <w:t xml:space="preserve">Se vidare i </w:t>
      </w:r>
      <w:r w:rsidRPr="00EB0E45">
        <w:rPr>
          <w:bCs/>
          <w:u w:val="single"/>
        </w:rPr>
        <w:t>bifogad promemoria</w:t>
      </w:r>
      <w:r w:rsidRPr="00EB0E45">
        <w:rPr>
          <w:bCs/>
        </w:rPr>
        <w:t xml:space="preserve">. </w:t>
      </w:r>
    </w:p>
    <w:p w:rsidR="00096478" w:rsidRDefault="00096478" w:rsidP="006E6657">
      <w:pPr>
        <w:rPr>
          <w:b/>
        </w:rPr>
      </w:pPr>
    </w:p>
    <w:p w:rsidR="00096478" w:rsidRDefault="00096478" w:rsidP="006E6657">
      <w:pPr>
        <w:rPr>
          <w:b/>
        </w:rPr>
      </w:pPr>
    </w:p>
    <w:p w:rsidR="00096478" w:rsidRPr="00C64ED1" w:rsidRDefault="00096478" w:rsidP="006E6657">
      <w:r w:rsidRPr="006E6657">
        <w:rPr>
          <w:b/>
        </w:rPr>
        <w:t>12. Förslag till Europaparlamentets och rådets förordning</w:t>
      </w:r>
      <w:r w:rsidRPr="006E6657">
        <w:rPr>
          <w:b/>
          <w:color w:val="000000"/>
        </w:rPr>
        <w:t xml:space="preserve"> om införande av ett europeiskt föreläggande om bevarande av bankkontotillgångar för att underlätta gränsöverskridande skuldindrivning i mål och ärenden av civil eller kommersiell natur</w:t>
      </w:r>
      <w:r w:rsidRPr="00C64ED1">
        <w:t>[</w:t>
      </w:r>
      <w:r w:rsidRPr="00C64ED1">
        <w:rPr>
          <w:bCs/>
        </w:rPr>
        <w:t>första behandlingen]</w:t>
      </w:r>
      <w:r w:rsidRPr="00C64ED1">
        <w:rPr>
          <w:b/>
          <w:bCs/>
        </w:rPr>
        <w:t>(Sr Ask)</w:t>
      </w:r>
    </w:p>
    <w:p w:rsidR="00096478" w:rsidRPr="006E6657" w:rsidRDefault="00096478" w:rsidP="006E6657">
      <w:pPr>
        <w:rPr>
          <w:b/>
        </w:rPr>
      </w:pPr>
      <w:r w:rsidRPr="006E6657">
        <w:rPr>
          <w:b/>
        </w:rPr>
        <w:t>=</w:t>
      </w:r>
      <w:r w:rsidRPr="006E6657">
        <w:rPr>
          <w:b/>
        </w:rPr>
        <w:tab/>
        <w:t>Allmän riktlinje</w:t>
      </w:r>
    </w:p>
    <w:p w:rsidR="00096478" w:rsidRDefault="00096478" w:rsidP="006E6657">
      <w:pPr>
        <w:rPr>
          <w:b/>
          <w:noProof/>
        </w:rPr>
      </w:pPr>
    </w:p>
    <w:p w:rsidR="00096478" w:rsidRPr="004E6101" w:rsidRDefault="00096478" w:rsidP="00EB0E45">
      <w:pPr>
        <w:rPr>
          <w:i/>
        </w:rPr>
      </w:pPr>
      <w:r w:rsidRPr="004E6101">
        <w:rPr>
          <w:i/>
        </w:rPr>
        <w:t>Avsikten med behandlingen i rådet</w:t>
      </w:r>
    </w:p>
    <w:p w:rsidR="00096478" w:rsidRDefault="00096478" w:rsidP="00EB0E45">
      <w:r>
        <w:t xml:space="preserve">Rådet ska fatta beslut om allmän inriktning. </w:t>
      </w:r>
    </w:p>
    <w:p w:rsidR="00096478" w:rsidRDefault="00096478" w:rsidP="00EB0E45"/>
    <w:p w:rsidR="00096478" w:rsidRPr="004E6101" w:rsidRDefault="00096478" w:rsidP="00EB0E45">
      <w:pPr>
        <w:rPr>
          <w:i/>
        </w:rPr>
      </w:pPr>
      <w:r w:rsidRPr="004E6101">
        <w:rPr>
          <w:i/>
        </w:rPr>
        <w:t>Bakgrund</w:t>
      </w:r>
    </w:p>
    <w:p w:rsidR="00096478" w:rsidRDefault="00096478" w:rsidP="00466394">
      <w:r>
        <w:t>Förslaget lades fram av kommissionen i juli 2011. Det innehåller bestäm</w:t>
      </w:r>
      <w:r>
        <w:softHyphen/>
        <w:t>melser som innebär att det inrättas ett själv</w:t>
      </w:r>
      <w:r>
        <w:softHyphen/>
        <w:t>ständigt europeiskt förfar</w:t>
      </w:r>
      <w:r>
        <w:softHyphen/>
        <w:t>ande för kvarstad på bankmedel. Regle</w:t>
      </w:r>
      <w:r>
        <w:softHyphen/>
        <w:t>ringen omfattar också verkställ</w:t>
      </w:r>
      <w:r>
        <w:softHyphen/>
        <w:t>ighet av kvarstadsbeslut som meddelas enligt för</w:t>
      </w:r>
      <w:r>
        <w:softHyphen/>
      </w:r>
      <w:r>
        <w:softHyphen/>
      </w:r>
      <w:r>
        <w:softHyphen/>
      </w:r>
      <w:r>
        <w:softHyphen/>
        <w:t>ord</w:t>
      </w:r>
      <w:r>
        <w:softHyphen/>
        <w:t>ningen. I förslaget finns även bestämmelser om domstols behörig</w:t>
      </w:r>
      <w:r>
        <w:softHyphen/>
        <w:t>het och om rättsmedel. För</w:t>
      </w:r>
      <w:r>
        <w:softHyphen/>
        <w:t>farandet kommer att verka parallellt med medlems</w:t>
      </w:r>
      <w:r>
        <w:softHyphen/>
        <w:t>staternas natio</w:t>
      </w:r>
      <w:r>
        <w:softHyphen/>
        <w:t>nella förfar</w:t>
      </w:r>
      <w:r>
        <w:softHyphen/>
        <w:t>anden. Syftet med för</w:t>
      </w:r>
      <w:r>
        <w:softHyphen/>
        <w:t>slaget är att förbättra förutsätt</w:t>
      </w:r>
      <w:r>
        <w:softHyphen/>
        <w:t>ning</w:t>
      </w:r>
      <w:r>
        <w:softHyphen/>
        <w:t>arna för att driva in skulder över grän</w:t>
      </w:r>
      <w:r>
        <w:softHyphen/>
        <w:t xml:space="preserve">serna, vilket på sikt ska bidra till den ekonomiska tillväxten. Sedan förslaget lades fram har det förhandlats i rådsarbetsgruppen.  </w:t>
      </w:r>
    </w:p>
    <w:p w:rsidR="00096478" w:rsidRDefault="00096478" w:rsidP="00466394"/>
    <w:p w:rsidR="00096478" w:rsidRDefault="00096478" w:rsidP="00466394">
      <w:r>
        <w:t>I december 2012 beslutade rådet om allmänna politiska riktlinjer för det fortsatta förhandlingsarbetet. Rikt</w:t>
      </w:r>
      <w:r>
        <w:softHyphen/>
        <w:t>linjerna som antogs slog fast att det politiska målet är att skapa ett europeiskt förfarande för kvarstad på bank</w:t>
      </w:r>
      <w:r>
        <w:softHyphen/>
        <w:t>medel, att förordningen ska tillämpas på gränsöver</w:t>
      </w:r>
      <w:r>
        <w:softHyphen/>
        <w:t>skrid</w:t>
      </w:r>
      <w:r>
        <w:softHyphen/>
        <w:t>ande förfar</w:t>
      </w:r>
      <w:r>
        <w:softHyphen/>
        <w:t>anden och att sådana förfar</w:t>
      </w:r>
      <w:r>
        <w:softHyphen/>
        <w:t>anden ska ges en klar definition i förslaget, att över</w:t>
      </w:r>
      <w:r>
        <w:softHyphen/>
        <w:t>raskningseffekten är viktig, dvs. att gäldenären inte ska höras innan kvar</w:t>
      </w:r>
      <w:r>
        <w:softHyphen/>
        <w:t>staden genomförs, att för</w:t>
      </w:r>
      <w:r>
        <w:softHyphen/>
        <w:t>ordningen måste innehålla ett adekvat skydd för gäldenären och att det ska finnas en god balans mellan part</w:t>
      </w:r>
      <w:r>
        <w:softHyphen/>
        <w:t>ernas olika intressen. I sist</w:t>
      </w:r>
      <w:r>
        <w:softHyphen/>
        <w:t>nämnda del specificerades hur balansen kan uppnås, bl.a. lyftes fram skade</w:t>
      </w:r>
      <w:r>
        <w:softHyphen/>
      </w:r>
      <w:r>
        <w:softHyphen/>
      </w:r>
      <w:r>
        <w:softHyphen/>
        <w:t>stånds</w:t>
      </w:r>
      <w:r>
        <w:softHyphen/>
        <w:t>skyldighet för fordringsägaren och krav på att ford</w:t>
      </w:r>
      <w:r>
        <w:softHyphen/>
        <w:t>rings</w:t>
      </w:r>
      <w:r>
        <w:softHyphen/>
        <w:t xml:space="preserve">ägaren ska ställa säkerhet. </w:t>
      </w:r>
    </w:p>
    <w:p w:rsidR="00096478" w:rsidRDefault="00096478" w:rsidP="00466394"/>
    <w:p w:rsidR="00096478" w:rsidRDefault="00096478" w:rsidP="00466394">
      <w:r>
        <w:t>På rådets möte i juni i år antogs mer preciserade allmänna riktlinjer för det fortsatta arbetet med för</w:t>
      </w:r>
      <w:r>
        <w:softHyphen/>
        <w:t>ord</w:t>
      </w:r>
      <w:r>
        <w:softHyphen/>
        <w:t xml:space="preserve">ningstexten när det gäller balansen mellan parternas olika intressen, bl.a. slogs fast att det ska finnas en bestämmelse om fordringsägarens skadeståndsskyldighet gentemot gäldenären och att fordringsägaren som huvudregel ska ställa säkerhet innan han eller hon kan få ett kvarstadsbeslut utfärdat. </w:t>
      </w:r>
    </w:p>
    <w:p w:rsidR="00096478" w:rsidRDefault="00096478" w:rsidP="00466394"/>
    <w:p w:rsidR="00096478" w:rsidRDefault="00096478" w:rsidP="00466394">
      <w:r>
        <w:t>Arbetet har under det litauiska ordförandeskapet fortsatt med hög intensitet i rådsarbetsgrupp och förslaget behandlas nu i rådet för ett beslut om allmän inriktning av den operativa texten och vissa beaktandesatser (alltså exklusive flertalet beaktandesatser och bilagor).</w:t>
      </w:r>
    </w:p>
    <w:p w:rsidR="00096478" w:rsidRDefault="00096478" w:rsidP="00EB0E45"/>
    <w:p w:rsidR="00096478" w:rsidRPr="00EB0E45" w:rsidRDefault="00096478" w:rsidP="00EB0E45">
      <w:pPr>
        <w:rPr>
          <w:b/>
          <w:bCs/>
          <w:i/>
        </w:rPr>
      </w:pPr>
      <w:r w:rsidRPr="00EB0E45">
        <w:rPr>
          <w:i/>
        </w:rPr>
        <w:t>Svensk ståndpunkt</w:t>
      </w:r>
    </w:p>
    <w:p w:rsidR="00096478" w:rsidRPr="00EB0E45" w:rsidRDefault="00096478" w:rsidP="00EB0E45">
      <w:pPr>
        <w:rPr>
          <w:bCs/>
        </w:rPr>
      </w:pPr>
      <w:r w:rsidRPr="00EB0E45">
        <w:rPr>
          <w:bCs/>
        </w:rPr>
        <w:t xml:space="preserve">Se vidare i </w:t>
      </w:r>
      <w:r w:rsidRPr="00EB0E45">
        <w:rPr>
          <w:bCs/>
          <w:u w:val="single"/>
        </w:rPr>
        <w:t>bifogad promemoria</w:t>
      </w:r>
      <w:r w:rsidRPr="00EB0E45">
        <w:rPr>
          <w:bCs/>
        </w:rPr>
        <w:t xml:space="preserve">. </w:t>
      </w:r>
    </w:p>
    <w:p w:rsidR="00096478" w:rsidRDefault="00096478" w:rsidP="006E6657">
      <w:pPr>
        <w:rPr>
          <w:b/>
          <w:noProof/>
        </w:rPr>
      </w:pPr>
    </w:p>
    <w:p w:rsidR="00096478" w:rsidRDefault="00096478" w:rsidP="006E6657">
      <w:pPr>
        <w:rPr>
          <w:b/>
          <w:noProof/>
        </w:rPr>
      </w:pPr>
    </w:p>
    <w:p w:rsidR="00096478" w:rsidRPr="006E6657" w:rsidRDefault="00096478" w:rsidP="006E6657">
      <w:pPr>
        <w:rPr>
          <w:b/>
        </w:rPr>
      </w:pPr>
      <w:r w:rsidRPr="006E6657">
        <w:rPr>
          <w:b/>
          <w:noProof/>
        </w:rPr>
        <w:t xml:space="preserve">13. </w:t>
      </w:r>
      <w:r w:rsidRPr="006E6657">
        <w:rPr>
          <w:b/>
        </w:rPr>
        <w:t>Förslag till Europaparlamentets och rådets förordning</w:t>
      </w:r>
      <w:r w:rsidRPr="006E6657">
        <w:rPr>
          <w:b/>
          <w:noProof/>
        </w:rPr>
        <w:t xml:space="preserve"> om ändring av rådets förordning (EG) nr 1346/2000 om insolvensförfaranden </w:t>
      </w:r>
      <w:r w:rsidRPr="00C64ED1">
        <w:t>[</w:t>
      </w:r>
      <w:r w:rsidRPr="00C64ED1">
        <w:rPr>
          <w:bCs/>
        </w:rPr>
        <w:t>första behandlingen]</w:t>
      </w:r>
      <w:r w:rsidRPr="00C64ED1">
        <w:rPr>
          <w:b/>
          <w:bCs/>
        </w:rPr>
        <w:t xml:space="preserve"> (Sr Ask)</w:t>
      </w:r>
    </w:p>
    <w:p w:rsidR="00096478" w:rsidRPr="006E6657" w:rsidRDefault="00096478" w:rsidP="006E6657">
      <w:pPr>
        <w:rPr>
          <w:b/>
        </w:rPr>
      </w:pPr>
      <w:r w:rsidRPr="006E6657">
        <w:rPr>
          <w:b/>
        </w:rPr>
        <w:t>=</w:t>
      </w:r>
      <w:r w:rsidRPr="006E6657">
        <w:rPr>
          <w:b/>
        </w:rPr>
        <w:tab/>
        <w:t>Riktlinjedebatt</w:t>
      </w:r>
    </w:p>
    <w:p w:rsidR="00096478" w:rsidRDefault="00096478" w:rsidP="006E6657">
      <w:pPr>
        <w:rPr>
          <w:b/>
        </w:rPr>
      </w:pPr>
    </w:p>
    <w:p w:rsidR="00096478" w:rsidRPr="004E6101" w:rsidRDefault="00096478" w:rsidP="00EB0E45">
      <w:pPr>
        <w:rPr>
          <w:i/>
        </w:rPr>
      </w:pPr>
      <w:r w:rsidRPr="004E6101">
        <w:rPr>
          <w:i/>
        </w:rPr>
        <w:t>Avsikten med behandlingen i rådet</w:t>
      </w:r>
    </w:p>
    <w:p w:rsidR="00096478" w:rsidRDefault="00096478" w:rsidP="00EB0E45">
      <w:r>
        <w:t xml:space="preserve">Riktlinjedebatt. </w:t>
      </w:r>
    </w:p>
    <w:p w:rsidR="00096478" w:rsidRDefault="00096478" w:rsidP="00EB0E45"/>
    <w:p w:rsidR="00096478" w:rsidRPr="004E6101" w:rsidRDefault="00096478" w:rsidP="00EB0E45">
      <w:pPr>
        <w:rPr>
          <w:i/>
        </w:rPr>
      </w:pPr>
      <w:r w:rsidRPr="004E6101">
        <w:rPr>
          <w:i/>
        </w:rPr>
        <w:t>Bakgrund</w:t>
      </w:r>
    </w:p>
    <w:p w:rsidR="00096478" w:rsidRDefault="00096478" w:rsidP="00BA4E49">
      <w:pPr>
        <w:pStyle w:val="RKnormal"/>
      </w:pPr>
      <w:r w:rsidRPr="005A4C1D">
        <w:t>Kommissionen lade i december 2012 fram ett förslag till ändringar i EU:s insolvensförordning</w:t>
      </w:r>
      <w:r>
        <w:t xml:space="preserve"> (insolvensförordningen)</w:t>
      </w:r>
      <w:r w:rsidRPr="005A4C1D">
        <w:t>. Syftet med förslaget är att anpassa insolven</w:t>
      </w:r>
      <w:r>
        <w:t>s</w:t>
      </w:r>
      <w:r w:rsidRPr="005A4C1D">
        <w:softHyphen/>
        <w:t>förordningen för att möta behovet av ett modernt och företags</w:t>
      </w:r>
      <w:r w:rsidRPr="005A4C1D">
        <w:softHyphen/>
        <w:t xml:space="preserve">vänligt klimat och att effektivisera </w:t>
      </w:r>
      <w:r>
        <w:t>hanteringen av</w:t>
      </w:r>
      <w:r w:rsidRPr="005A4C1D">
        <w:t xml:space="preserve"> insolvens</w:t>
      </w:r>
      <w:r w:rsidRPr="005A4C1D">
        <w:softHyphen/>
        <w:t>förfaranden</w:t>
      </w:r>
      <w:r>
        <w:t xml:space="preserve"> med g</w:t>
      </w:r>
      <w:r w:rsidRPr="005A4C1D">
        <w:t>räns</w:t>
      </w:r>
      <w:r w:rsidRPr="005A4C1D">
        <w:softHyphen/>
        <w:t>överskridande</w:t>
      </w:r>
      <w:r>
        <w:t xml:space="preserve"> inslag</w:t>
      </w:r>
      <w:r w:rsidRPr="005A4C1D">
        <w:t>. För</w:t>
      </w:r>
      <w:r w:rsidRPr="005A4C1D">
        <w:softHyphen/>
        <w:t>slagets inriktning har påverkats av den ekonomiska krisen och gäldenärers möjlighet till ekonomisk åter</w:t>
      </w:r>
      <w:r w:rsidRPr="005A4C1D">
        <w:softHyphen/>
        <w:t xml:space="preserve">hämtning är i fokus. Förslaget förespråkar vad som kan kallas en andra-chans-kultur för gäldenärer. Förslaget har sedan det lades fram förhandlats på tjänstemannanivå i rådet och </w:t>
      </w:r>
      <w:r>
        <w:t>andragenomgången</w:t>
      </w:r>
      <w:r w:rsidRPr="005A4C1D">
        <w:t xml:space="preserve"> av förslaget har nyligen avslutats. </w:t>
      </w:r>
    </w:p>
    <w:p w:rsidR="00096478" w:rsidRPr="005A4C1D" w:rsidRDefault="00096478" w:rsidP="00BA4E49">
      <w:pPr>
        <w:pStyle w:val="RKnormal"/>
      </w:pPr>
    </w:p>
    <w:p w:rsidR="00096478" w:rsidRDefault="00096478" w:rsidP="00BA4E49">
      <w:pPr>
        <w:pStyle w:val="RKnormal"/>
      </w:pPr>
      <w:r>
        <w:t xml:space="preserve">Förslaget utgör en av nyckelåtgärderna i den andra inremarknadsakten (SMA II), vilket bl.a. innebär att det finns ett politiskt åtagande att bedriva förhandlingsarbetet med viss skyndsamhet. </w:t>
      </w:r>
    </w:p>
    <w:p w:rsidR="00096478" w:rsidRDefault="00096478" w:rsidP="00BA4E49">
      <w:pPr>
        <w:pStyle w:val="RKnormal"/>
      </w:pPr>
    </w:p>
    <w:p w:rsidR="00096478" w:rsidRPr="007F5C4A" w:rsidRDefault="00096478" w:rsidP="00BA4E49">
      <w:pPr>
        <w:pStyle w:val="RKnormal"/>
      </w:pPr>
      <w:r w:rsidRPr="007F5C4A">
        <w:t>I juni 2013 beslutade rådet om allmänna politiska riktlinjer för det fortsatta förhandlingsarbetet. Rikt</w:t>
      </w:r>
      <w:r w:rsidRPr="007F5C4A">
        <w:softHyphen/>
        <w:t>linjerna som antogs slog fast att</w:t>
      </w:r>
    </w:p>
    <w:p w:rsidR="00096478" w:rsidRDefault="00096478" w:rsidP="00BA4E49">
      <w:pPr>
        <w:pStyle w:val="RKnormal"/>
        <w:rPr>
          <w:rStyle w:val="RKnormalChar"/>
          <w:szCs w:val="24"/>
          <w:lang w:val="sv-SE"/>
        </w:rPr>
      </w:pPr>
      <w:r>
        <w:rPr>
          <w:szCs w:val="24"/>
        </w:rPr>
        <w:t>r</w:t>
      </w:r>
      <w:r w:rsidRPr="007F5C4A">
        <w:rPr>
          <w:szCs w:val="24"/>
        </w:rPr>
        <w:t xml:space="preserve">ådet </w:t>
      </w:r>
      <w:r>
        <w:rPr>
          <w:szCs w:val="24"/>
        </w:rPr>
        <w:t>skulle</w:t>
      </w:r>
      <w:r w:rsidRPr="007F5C4A">
        <w:rPr>
          <w:rStyle w:val="hps"/>
          <w:szCs w:val="24"/>
        </w:rPr>
        <w:t>fortsätta att arbeta fören lämpligutvidgning av</w:t>
      </w:r>
      <w:r w:rsidRPr="007F5C4A">
        <w:rPr>
          <w:szCs w:val="24"/>
        </w:rPr>
        <w:t xml:space="preserve"> förordningens </w:t>
      </w:r>
      <w:r w:rsidRPr="007F5C4A">
        <w:rPr>
          <w:rStyle w:val="hps"/>
          <w:szCs w:val="24"/>
        </w:rPr>
        <w:t xml:space="preserve">tillämpningsområde, </w:t>
      </w:r>
      <w:r w:rsidRPr="007F5C4A">
        <w:rPr>
          <w:rStyle w:val="RKnormalChar"/>
          <w:szCs w:val="24"/>
          <w:lang w:val="sv-SE"/>
        </w:rPr>
        <w:t>att behörigheten att inleda insolvensförfaranden även fortsättningsvis ska tillkomma myndigheterna i den medlemsstat där gäldenärens huvudsakliga intressen finns, att medlemsstaterna ska inrätta nationella insolvens</w:t>
      </w:r>
      <w:r w:rsidRPr="007F5C4A">
        <w:rPr>
          <w:rStyle w:val="RKnormalChar"/>
          <w:szCs w:val="24"/>
          <w:lang w:val="sv-SE"/>
        </w:rPr>
        <w:softHyphen/>
      </w:r>
      <w:r w:rsidRPr="007F5C4A">
        <w:rPr>
          <w:rStyle w:val="RKnormalChar"/>
          <w:szCs w:val="24"/>
          <w:lang w:val="sv-SE"/>
        </w:rPr>
        <w:softHyphen/>
        <w:t xml:space="preserve">register och att dessa register ska kopplas samman och göras tillgängliga via den europeiska e-juridikportalen samt att </w:t>
      </w:r>
      <w:r>
        <w:rPr>
          <w:szCs w:val="24"/>
        </w:rPr>
        <w:t>r</w:t>
      </w:r>
      <w:r w:rsidRPr="007F5C4A">
        <w:rPr>
          <w:szCs w:val="24"/>
        </w:rPr>
        <w:t xml:space="preserve">ådet </w:t>
      </w:r>
      <w:r>
        <w:rPr>
          <w:szCs w:val="24"/>
        </w:rPr>
        <w:t>skulle</w:t>
      </w:r>
      <w:r w:rsidRPr="007F5C4A">
        <w:rPr>
          <w:rStyle w:val="hps"/>
          <w:szCs w:val="24"/>
        </w:rPr>
        <w:t>fortsätta att arbeta för</w:t>
      </w:r>
      <w:r>
        <w:rPr>
          <w:szCs w:val="24"/>
        </w:rPr>
        <w:t xml:space="preserve">att </w:t>
      </w:r>
      <w:r>
        <w:rPr>
          <w:rStyle w:val="RKnormalChar"/>
          <w:szCs w:val="24"/>
          <w:lang w:val="sv-SE"/>
        </w:rPr>
        <w:t xml:space="preserve">utveckla </w:t>
      </w:r>
      <w:r w:rsidRPr="007F5C4A">
        <w:rPr>
          <w:rStyle w:val="RKnormalChar"/>
          <w:szCs w:val="24"/>
          <w:lang w:val="sv-SE"/>
        </w:rPr>
        <w:t>bestämmelser i förordningen som syftar till att förbättra samordningen av insolvensför</w:t>
      </w:r>
      <w:r w:rsidRPr="007F5C4A">
        <w:rPr>
          <w:rStyle w:val="RKnormalChar"/>
          <w:szCs w:val="24"/>
          <w:lang w:val="sv-SE"/>
        </w:rPr>
        <w:softHyphen/>
        <w:t xml:space="preserve">faranden avseende företag i en koncern. </w:t>
      </w:r>
    </w:p>
    <w:p w:rsidR="00096478" w:rsidRDefault="00096478" w:rsidP="00BA4E49">
      <w:pPr>
        <w:pStyle w:val="RKnormal"/>
      </w:pPr>
    </w:p>
    <w:p w:rsidR="00096478" w:rsidRDefault="00096478" w:rsidP="00BA4E49">
      <w:pPr>
        <w:pStyle w:val="RKnormal"/>
      </w:pPr>
      <w:r>
        <w:rPr>
          <w:rStyle w:val="RKnormalChar"/>
          <w:szCs w:val="24"/>
          <w:lang w:val="sv-SE"/>
        </w:rPr>
        <w:t xml:space="preserve">Civilutskottet har efter överläggning med regeringen i september i år ställt sig bakom regeringens förslag till svensk ståndpunkt. </w:t>
      </w:r>
    </w:p>
    <w:p w:rsidR="00096478" w:rsidRDefault="00096478" w:rsidP="00BA4E49">
      <w:pPr>
        <w:pStyle w:val="RKnormal"/>
      </w:pPr>
    </w:p>
    <w:p w:rsidR="00096478" w:rsidRPr="005A4C1D" w:rsidRDefault="00096478" w:rsidP="00BA4E49">
      <w:r w:rsidRPr="007F5C4A">
        <w:t>Arbetet har under det litauiska ordförandeskapet fortsatt med hög intensitet i rådsarbetsgrupp och förslaget behandlas nu i rådet för en riktlinjedebatt.</w:t>
      </w:r>
    </w:p>
    <w:p w:rsidR="00096478" w:rsidRDefault="00096478" w:rsidP="00EB0E45"/>
    <w:p w:rsidR="00096478" w:rsidRPr="00EB0E45" w:rsidRDefault="00096478" w:rsidP="00EB0E45">
      <w:pPr>
        <w:rPr>
          <w:b/>
          <w:bCs/>
          <w:i/>
        </w:rPr>
      </w:pPr>
      <w:r w:rsidRPr="00EB0E45">
        <w:rPr>
          <w:i/>
        </w:rPr>
        <w:t>Svensk ståndpunkt</w:t>
      </w:r>
    </w:p>
    <w:p w:rsidR="00096478" w:rsidRPr="00EB0E45" w:rsidRDefault="00096478" w:rsidP="00EB0E45">
      <w:pPr>
        <w:rPr>
          <w:bCs/>
        </w:rPr>
      </w:pPr>
      <w:r w:rsidRPr="00EB0E45">
        <w:rPr>
          <w:bCs/>
        </w:rPr>
        <w:t xml:space="preserve">Se vidare i </w:t>
      </w:r>
      <w:r w:rsidRPr="00EB0E45">
        <w:rPr>
          <w:bCs/>
          <w:u w:val="single"/>
        </w:rPr>
        <w:t>bifogad promemoria</w:t>
      </w:r>
      <w:r w:rsidRPr="00EB0E45">
        <w:rPr>
          <w:bCs/>
        </w:rPr>
        <w:t xml:space="preserve">. </w:t>
      </w:r>
    </w:p>
    <w:p w:rsidR="00096478" w:rsidRDefault="00096478" w:rsidP="006E6657">
      <w:pPr>
        <w:rPr>
          <w:b/>
        </w:rPr>
      </w:pPr>
    </w:p>
    <w:p w:rsidR="00096478" w:rsidRDefault="00096478" w:rsidP="006E6657">
      <w:pPr>
        <w:rPr>
          <w:b/>
        </w:rPr>
      </w:pPr>
    </w:p>
    <w:p w:rsidR="00096478" w:rsidRPr="006E6657" w:rsidRDefault="00096478" w:rsidP="006E6657">
      <w:pPr>
        <w:rPr>
          <w:b/>
          <w:bCs/>
          <w:color w:val="000000"/>
          <w:u w:val="single"/>
        </w:rPr>
      </w:pPr>
      <w:r w:rsidRPr="006E6657">
        <w:rPr>
          <w:b/>
        </w:rPr>
        <w:t>14. Förslag till Europaparlamentets och rådets förordning</w:t>
      </w:r>
      <w:r w:rsidRPr="006E6657">
        <w:rPr>
          <w:b/>
          <w:noProof/>
        </w:rPr>
        <w:t xml:space="preserve"> om ändring av förordning (EU) nr 1215/2012 om domstols behörighet och om erkännande och verkställighet av domar på privaträttens område</w:t>
      </w:r>
      <w:r w:rsidRPr="00C64ED1">
        <w:t>[</w:t>
      </w:r>
      <w:r w:rsidRPr="00C64ED1">
        <w:rPr>
          <w:bCs/>
        </w:rPr>
        <w:t>första behandlingen]</w:t>
      </w:r>
      <w:r w:rsidRPr="00C64ED1">
        <w:rPr>
          <w:b/>
          <w:bCs/>
        </w:rPr>
        <w:t>(Sr Ask)</w:t>
      </w:r>
    </w:p>
    <w:p w:rsidR="00096478" w:rsidRPr="006E6657" w:rsidRDefault="00096478" w:rsidP="006E6657">
      <w:pPr>
        <w:rPr>
          <w:b/>
        </w:rPr>
      </w:pPr>
      <w:r w:rsidRPr="006E6657">
        <w:rPr>
          <w:b/>
        </w:rPr>
        <w:t>=</w:t>
      </w:r>
      <w:r w:rsidRPr="006E6657">
        <w:rPr>
          <w:b/>
        </w:rPr>
        <w:tab/>
        <w:t>Allmän riktlinje</w:t>
      </w:r>
    </w:p>
    <w:p w:rsidR="00096478" w:rsidRDefault="00096478" w:rsidP="006E6657">
      <w:pPr>
        <w:rPr>
          <w:b/>
          <w:bCs/>
        </w:rPr>
      </w:pPr>
    </w:p>
    <w:p w:rsidR="00096478" w:rsidRPr="004E6101" w:rsidRDefault="00096478" w:rsidP="00EB0E45">
      <w:pPr>
        <w:rPr>
          <w:i/>
        </w:rPr>
      </w:pPr>
      <w:r w:rsidRPr="004E6101">
        <w:rPr>
          <w:i/>
        </w:rPr>
        <w:t>Avsikten med behandlingen i rådet</w:t>
      </w:r>
    </w:p>
    <w:p w:rsidR="00096478" w:rsidRDefault="00096478" w:rsidP="00466394">
      <w:pPr>
        <w:pStyle w:val="RKnormal"/>
        <w:rPr>
          <w:szCs w:val="24"/>
        </w:rPr>
      </w:pPr>
      <w:r>
        <w:rPr>
          <w:szCs w:val="24"/>
        </w:rPr>
        <w:t>R</w:t>
      </w:r>
      <w:r w:rsidRPr="007E7E9A">
        <w:rPr>
          <w:szCs w:val="24"/>
        </w:rPr>
        <w:t xml:space="preserve">ådet </w:t>
      </w:r>
      <w:r>
        <w:rPr>
          <w:szCs w:val="24"/>
        </w:rPr>
        <w:t>ska fatta</w:t>
      </w:r>
      <w:r w:rsidRPr="007E7E9A">
        <w:rPr>
          <w:szCs w:val="24"/>
        </w:rPr>
        <w:t xml:space="preserve"> beslut om allmän inriktning.</w:t>
      </w:r>
    </w:p>
    <w:p w:rsidR="00096478" w:rsidRDefault="00096478" w:rsidP="00EB0E45"/>
    <w:p w:rsidR="00096478" w:rsidRPr="004E6101" w:rsidRDefault="00096478" w:rsidP="00EB0E45">
      <w:pPr>
        <w:rPr>
          <w:i/>
        </w:rPr>
      </w:pPr>
      <w:r w:rsidRPr="004E6101">
        <w:rPr>
          <w:i/>
        </w:rPr>
        <w:t>Bakgrund</w:t>
      </w:r>
    </w:p>
    <w:p w:rsidR="00096478" w:rsidRPr="00831FAF" w:rsidRDefault="00096478" w:rsidP="00466394">
      <w:pPr>
        <w:pStyle w:val="RKnormal"/>
      </w:pPr>
      <w:r w:rsidRPr="00831FAF">
        <w:t>I Bryssel I-förordningen, som är tillämplig på privaträttens område, finns regler om vilken domstol som ska pröva en tvist och om hur det ska undvikas att samma tvist prövas i flera domstolar. Förordningen innehåller också regler om hur en dom ska kunna verkställas i en annan medlemsstat.</w:t>
      </w:r>
    </w:p>
    <w:p w:rsidR="00096478" w:rsidRPr="00831FAF" w:rsidRDefault="00096478" w:rsidP="00466394">
      <w:pPr>
        <w:pStyle w:val="RKnormal"/>
      </w:pPr>
    </w:p>
    <w:p w:rsidR="00096478" w:rsidRDefault="00096478" w:rsidP="00466394">
      <w:pPr>
        <w:pStyle w:val="RKnormal"/>
      </w:pPr>
      <w:r w:rsidRPr="00831FAF">
        <w:t xml:space="preserve">I februari 2013 </w:t>
      </w:r>
      <w:r>
        <w:t>undertecknadedet stora flertalet EU-medlemsstater</w:t>
      </w:r>
      <w:r w:rsidRPr="00831FAF">
        <w:t xml:space="preserve"> ett mellanstatligt avtal om att inrätta en enhetlig europeisk patentdomstol. Domstolen kommer att vara exklusivt behörig att </w:t>
      </w:r>
      <w:r>
        <w:t>pröva vissa tvister</w:t>
      </w:r>
      <w:r w:rsidRPr="00831FAF">
        <w:t xml:space="preserve"> om europeiska patent. </w:t>
      </w:r>
      <w:r>
        <w:t xml:space="preserve">För svensk del kommer avtalet att innebära att de aktuella patentmålen, som i dag i förekommande fall i första instans handläggs i Stockholms tingsrätt, i stället ska avgöras av den enhetliga europeiska patentdomstolen.  </w:t>
      </w:r>
    </w:p>
    <w:p w:rsidR="00096478" w:rsidRDefault="00096478" w:rsidP="00466394">
      <w:pPr>
        <w:pStyle w:val="RKnormal"/>
      </w:pPr>
    </w:p>
    <w:p w:rsidR="00096478" w:rsidRDefault="00096478" w:rsidP="00466394">
      <w:pPr>
        <w:pStyle w:val="RKnormal"/>
        <w:rPr>
          <w:szCs w:val="24"/>
        </w:rPr>
      </w:pPr>
      <w:r w:rsidRPr="00831FAF">
        <w:t xml:space="preserve">För att domstolsavtalet ska träda i kraft krävsatt </w:t>
      </w:r>
      <w:r>
        <w:t>vissa</w:t>
      </w:r>
      <w:r w:rsidRPr="00831FAF">
        <w:t xml:space="preserve"> ändringar görs i Bryssel I-förordningen och att ändringar</w:t>
      </w:r>
      <w:r>
        <w:t>na i förordningen</w:t>
      </w:r>
      <w:r w:rsidRPr="00831FAF">
        <w:t xml:space="preserve"> trä</w:t>
      </w:r>
      <w:r>
        <w:t xml:space="preserve">der i kraft. Därför </w:t>
      </w:r>
      <w:r w:rsidRPr="00831FAF">
        <w:t>föreslås</w:t>
      </w:r>
      <w:r>
        <w:t xml:space="preserve"> nu ändringar av </w:t>
      </w:r>
      <w:r w:rsidRPr="00831FAF">
        <w:t>väsentligen teknisk</w:t>
      </w:r>
      <w:r>
        <w:t>t</w:t>
      </w:r>
      <w:r w:rsidRPr="00831FAF">
        <w:t xml:space="preserve"> slag</w:t>
      </w:r>
      <w:r>
        <w:t xml:space="preserve"> i Bryssel I-förordningen. </w:t>
      </w:r>
      <w:r w:rsidRPr="007E7E9A">
        <w:rPr>
          <w:szCs w:val="24"/>
        </w:rPr>
        <w:t>Förslaget behandlas nu i rådet för ett beslut om allmän inriktning.</w:t>
      </w:r>
    </w:p>
    <w:p w:rsidR="00096478" w:rsidRDefault="00096478" w:rsidP="006E6657"/>
    <w:p w:rsidR="00096478" w:rsidRPr="00EB0E45" w:rsidRDefault="00096478" w:rsidP="006E6657">
      <w:pPr>
        <w:rPr>
          <w:b/>
          <w:bCs/>
          <w:i/>
        </w:rPr>
      </w:pPr>
      <w:r w:rsidRPr="00EB0E45">
        <w:rPr>
          <w:i/>
        </w:rPr>
        <w:t>Svensk ståndpunkt</w:t>
      </w:r>
    </w:p>
    <w:p w:rsidR="00096478" w:rsidRDefault="00096478" w:rsidP="006E6657">
      <w:pPr>
        <w:rPr>
          <w:bCs/>
        </w:rPr>
      </w:pPr>
      <w:r>
        <w:rPr>
          <w:bCs/>
        </w:rPr>
        <w:t xml:space="preserve">Sverige kan ställa sig bakom förslaget. </w:t>
      </w:r>
    </w:p>
    <w:p w:rsidR="00096478" w:rsidRDefault="00096478" w:rsidP="006E6657">
      <w:pPr>
        <w:rPr>
          <w:bCs/>
        </w:rPr>
      </w:pPr>
    </w:p>
    <w:p w:rsidR="00096478" w:rsidRPr="00EB0E45" w:rsidRDefault="00096478" w:rsidP="006E6657">
      <w:pPr>
        <w:rPr>
          <w:bCs/>
        </w:rPr>
      </w:pPr>
      <w:r>
        <w:rPr>
          <w:bCs/>
        </w:rPr>
        <w:t xml:space="preserve">Se vidare i </w:t>
      </w:r>
      <w:r w:rsidRPr="00466394">
        <w:rPr>
          <w:bCs/>
          <w:u w:val="single"/>
        </w:rPr>
        <w:t>bifogad promemoria</w:t>
      </w:r>
      <w:r>
        <w:rPr>
          <w:bCs/>
        </w:rPr>
        <w:t xml:space="preserve">. </w:t>
      </w:r>
    </w:p>
    <w:p w:rsidR="00096478" w:rsidRDefault="00096478" w:rsidP="006E6657">
      <w:pPr>
        <w:rPr>
          <w:b/>
          <w:bCs/>
        </w:rPr>
      </w:pPr>
    </w:p>
    <w:p w:rsidR="00096478" w:rsidRDefault="00096478" w:rsidP="006E6657">
      <w:pPr>
        <w:rPr>
          <w:b/>
          <w:bCs/>
        </w:rPr>
      </w:pPr>
    </w:p>
    <w:p w:rsidR="00096478" w:rsidRPr="006E6657" w:rsidRDefault="00096478" w:rsidP="006E6657">
      <w:pPr>
        <w:rPr>
          <w:b/>
          <w:bCs/>
        </w:rPr>
      </w:pPr>
      <w:r>
        <w:rPr>
          <w:b/>
          <w:bCs/>
        </w:rPr>
        <w:t>15.</w:t>
      </w:r>
      <w:r w:rsidRPr="006E6657">
        <w:rPr>
          <w:b/>
        </w:rPr>
        <w:t xml:space="preserve">Förslag till Europaparlamentets och rådets förordning om en gemensam europeisk köplag </w:t>
      </w:r>
      <w:r w:rsidRPr="00C64ED1">
        <w:rPr>
          <w:bCs/>
        </w:rPr>
        <w:t>(första behandlingen)</w:t>
      </w:r>
      <w:r w:rsidRPr="00C64ED1">
        <w:rPr>
          <w:b/>
          <w:bCs/>
        </w:rPr>
        <w:t>(Sr Ask)</w:t>
      </w:r>
    </w:p>
    <w:p w:rsidR="00096478" w:rsidRPr="006E6657" w:rsidRDefault="00096478" w:rsidP="006E6657">
      <w:pPr>
        <w:rPr>
          <w:b/>
        </w:rPr>
      </w:pPr>
      <w:r w:rsidRPr="006E6657">
        <w:rPr>
          <w:b/>
        </w:rPr>
        <w:t>=</w:t>
      </w:r>
      <w:r w:rsidRPr="006E6657">
        <w:rPr>
          <w:b/>
        </w:rPr>
        <w:tab/>
        <w:t>Information från ordförandeskapet</w:t>
      </w:r>
    </w:p>
    <w:p w:rsidR="00096478" w:rsidRDefault="00096478" w:rsidP="006E6657">
      <w:pPr>
        <w:rPr>
          <w:b/>
        </w:rPr>
      </w:pPr>
    </w:p>
    <w:p w:rsidR="00096478" w:rsidRPr="004E6101" w:rsidRDefault="00096478" w:rsidP="00EB0E45">
      <w:pPr>
        <w:rPr>
          <w:i/>
        </w:rPr>
      </w:pPr>
      <w:r w:rsidRPr="004E6101">
        <w:rPr>
          <w:i/>
        </w:rPr>
        <w:t>Avsikten med behandlingen i rådet</w:t>
      </w:r>
    </w:p>
    <w:p w:rsidR="00096478" w:rsidRDefault="00096478" w:rsidP="00EB0E45">
      <w:r>
        <w:t xml:space="preserve">Information från ordförandeskapet. </w:t>
      </w:r>
    </w:p>
    <w:p w:rsidR="00096478" w:rsidRDefault="00096478" w:rsidP="00EB0E45"/>
    <w:p w:rsidR="00096478" w:rsidRPr="004E6101" w:rsidRDefault="00096478" w:rsidP="00EB0E45">
      <w:pPr>
        <w:rPr>
          <w:i/>
        </w:rPr>
      </w:pPr>
      <w:r w:rsidRPr="004E6101">
        <w:rPr>
          <w:i/>
        </w:rPr>
        <w:t>Bakgrund</w:t>
      </w:r>
    </w:p>
    <w:p w:rsidR="00096478" w:rsidRPr="004C4B9D" w:rsidRDefault="00096478" w:rsidP="00BA4E49">
      <w:pPr>
        <w:pStyle w:val="RKnormal"/>
        <w:ind w:right="-284"/>
      </w:pPr>
      <w:r w:rsidRPr="004C4B9D">
        <w:t>Förslaget ska ses i ljuset av det omfattande arbete rörande europeisk kontraktsrätt som pågått under flera års tid. År 2008 och 2009 presen</w:t>
      </w:r>
      <w:r>
        <w:softHyphen/>
      </w:r>
      <w:r w:rsidRPr="004C4B9D">
        <w:t>terades ett omfattande utkast till en referensram för europeisk kontrakts</w:t>
      </w:r>
      <w:r>
        <w:softHyphen/>
      </w:r>
      <w:r w:rsidRPr="004C4B9D">
        <w:t xml:space="preserve">rätt, Draft Common Frame of Reference (DCFR), som kommissionen låtit en grupp akademiker utarbeta. DCFR innehåller bl.a. modellregler och komparativa analyser. Kommissionen följde upp detta genom att den 1 juli 2010 presentera en Grönbok om politiska alternativ för främjande av en europeisk avtalsrätt för konsumenter och företag, KOM (2010) 348. </w:t>
      </w:r>
    </w:p>
    <w:p w:rsidR="00096478" w:rsidRDefault="00096478" w:rsidP="00BA4E49">
      <w:pPr>
        <w:pStyle w:val="RKnormal"/>
      </w:pPr>
    </w:p>
    <w:p w:rsidR="00096478" w:rsidRDefault="00096478" w:rsidP="00BA4E49">
      <w:pPr>
        <w:pStyle w:val="RKnormal"/>
      </w:pPr>
      <w:r w:rsidRPr="004C4B9D">
        <w:t>Kommissionens förslag presenterades den 11 oktober 2011.</w:t>
      </w:r>
      <w:r>
        <w:t xml:space="preserve"> Vid rådsmötet väntas ordförandeskapet lämna information om läget i förhandlingarna.</w:t>
      </w:r>
    </w:p>
    <w:p w:rsidR="00096478" w:rsidRDefault="00096478" w:rsidP="00BA4E49">
      <w:pPr>
        <w:pStyle w:val="RKnormal"/>
      </w:pPr>
    </w:p>
    <w:p w:rsidR="00096478" w:rsidRDefault="00096478" w:rsidP="00BA4E49">
      <w:pPr>
        <w:pStyle w:val="RKnormal"/>
      </w:pPr>
      <w:r>
        <w:t xml:space="preserve">Se vidare i </w:t>
      </w:r>
      <w:r w:rsidRPr="00BA4E49">
        <w:rPr>
          <w:u w:val="single"/>
        </w:rPr>
        <w:t>bifogad promemoria</w:t>
      </w:r>
      <w:r>
        <w:t xml:space="preserve">. </w:t>
      </w:r>
    </w:p>
    <w:p w:rsidR="00096478" w:rsidRDefault="00096478" w:rsidP="00BA4E49">
      <w:pPr>
        <w:pStyle w:val="RKnormal"/>
      </w:pPr>
    </w:p>
    <w:p w:rsidR="00096478" w:rsidRDefault="00096478" w:rsidP="006E6657">
      <w:pPr>
        <w:rPr>
          <w:b/>
        </w:rPr>
      </w:pPr>
    </w:p>
    <w:p w:rsidR="00096478" w:rsidRPr="006E6657" w:rsidRDefault="00096478" w:rsidP="006E6657">
      <w:pPr>
        <w:rPr>
          <w:b/>
        </w:rPr>
      </w:pPr>
      <w:r>
        <w:rPr>
          <w:b/>
        </w:rPr>
        <w:t xml:space="preserve">16. </w:t>
      </w:r>
      <w:r w:rsidRPr="006E6657">
        <w:rPr>
          <w:b/>
        </w:rPr>
        <w:t>Övriga frågor</w:t>
      </w:r>
      <w:r>
        <w:rPr>
          <w:b/>
        </w:rPr>
        <w:t xml:space="preserve"> (Sr Ask)</w:t>
      </w:r>
    </w:p>
    <w:p w:rsidR="00096478" w:rsidRPr="006E6657" w:rsidRDefault="00096478" w:rsidP="006E6657">
      <w:pPr>
        <w:rPr>
          <w:b/>
        </w:rPr>
      </w:pPr>
      <w:r w:rsidRPr="006E6657">
        <w:rPr>
          <w:b/>
        </w:rPr>
        <w:t>=</w:t>
      </w:r>
      <w:r w:rsidRPr="006E6657">
        <w:rPr>
          <w:b/>
        </w:rPr>
        <w:tab/>
        <w:t>Information från ordförandeskapet om aktuella lagstiftningsförslag</w:t>
      </w:r>
    </w:p>
    <w:p w:rsidR="00096478" w:rsidRDefault="00096478" w:rsidP="006E6657">
      <w:pPr>
        <w:rPr>
          <w:b/>
          <w:bCs/>
          <w:i/>
          <w:iCs/>
          <w:u w:val="single"/>
        </w:rPr>
      </w:pPr>
    </w:p>
    <w:p w:rsidR="00096478" w:rsidRPr="004E6101" w:rsidRDefault="00096478" w:rsidP="006E6657">
      <w:pPr>
        <w:rPr>
          <w:i/>
        </w:rPr>
      </w:pPr>
      <w:r w:rsidRPr="004E6101">
        <w:rPr>
          <w:i/>
        </w:rPr>
        <w:t>Avsikten med behandlingen i rådet</w:t>
      </w:r>
    </w:p>
    <w:p w:rsidR="00096478" w:rsidRDefault="00096478" w:rsidP="006E6657">
      <w:r>
        <w:t>Information från ordförandeskapet om aktuella lagstiftningsförslag.</w:t>
      </w:r>
    </w:p>
    <w:p w:rsidR="00096478" w:rsidRDefault="00096478" w:rsidP="006E6657"/>
    <w:p w:rsidR="00096478" w:rsidRPr="004E6101" w:rsidRDefault="00096478" w:rsidP="006E6657">
      <w:pPr>
        <w:rPr>
          <w:i/>
        </w:rPr>
      </w:pPr>
      <w:r w:rsidRPr="004E6101">
        <w:rPr>
          <w:i/>
        </w:rPr>
        <w:t>Bakgrund</w:t>
      </w:r>
    </w:p>
    <w:p w:rsidR="00096478" w:rsidRDefault="00096478" w:rsidP="006E6657">
      <w:r>
        <w:t>Ordförandeskapet har ännu inte meddelat något om dagordningspunktens innehåll.</w:t>
      </w:r>
    </w:p>
    <w:p w:rsidR="00096478" w:rsidRDefault="00096478" w:rsidP="006E6657">
      <w:pPr>
        <w:rPr>
          <w:b/>
        </w:rPr>
      </w:pPr>
    </w:p>
    <w:p w:rsidR="00096478" w:rsidRDefault="00096478" w:rsidP="006E6657">
      <w:pPr>
        <w:rPr>
          <w:b/>
          <w:bCs/>
          <w:i/>
          <w:iCs/>
          <w:u w:val="single"/>
        </w:rPr>
      </w:pPr>
    </w:p>
    <w:p w:rsidR="00096478" w:rsidRDefault="00096478" w:rsidP="006E6657">
      <w:pPr>
        <w:rPr>
          <w:b/>
          <w:bCs/>
          <w:i/>
          <w:iCs/>
          <w:u w:val="single"/>
        </w:rPr>
      </w:pPr>
      <w:r w:rsidRPr="006E6657">
        <w:rPr>
          <w:b/>
          <w:bCs/>
          <w:i/>
          <w:iCs/>
          <w:u w:val="single"/>
        </w:rPr>
        <w:t>Icke lagstiftande verksamhet</w:t>
      </w:r>
    </w:p>
    <w:p w:rsidR="00096478" w:rsidRPr="006E6657" w:rsidRDefault="00096478" w:rsidP="006E6657">
      <w:pPr>
        <w:rPr>
          <w:b/>
          <w:bCs/>
          <w:i/>
          <w:iCs/>
          <w:u w:val="single"/>
        </w:rPr>
      </w:pPr>
    </w:p>
    <w:p w:rsidR="00096478" w:rsidRPr="006E6657" w:rsidRDefault="00096478" w:rsidP="006E6657">
      <w:pPr>
        <w:rPr>
          <w:b/>
        </w:rPr>
      </w:pPr>
      <w:r>
        <w:rPr>
          <w:b/>
        </w:rPr>
        <w:t xml:space="preserve">17. </w:t>
      </w:r>
      <w:r w:rsidRPr="006E6657">
        <w:rPr>
          <w:b/>
        </w:rPr>
        <w:t>Presentation av de rättsliga aspekterna av den europeiska planeringsterminen 2014, inklusive resultattavlan på det rättsliga området</w:t>
      </w:r>
      <w:r>
        <w:rPr>
          <w:b/>
        </w:rPr>
        <w:t xml:space="preserve"> (Sr Ask)</w:t>
      </w:r>
    </w:p>
    <w:p w:rsidR="00096478" w:rsidRPr="006E6657" w:rsidRDefault="00096478" w:rsidP="006E6657">
      <w:pPr>
        <w:rPr>
          <w:b/>
          <w:bCs/>
          <w:color w:val="000000"/>
        </w:rPr>
      </w:pPr>
      <w:r w:rsidRPr="006E6657">
        <w:rPr>
          <w:b/>
        </w:rPr>
        <w:t>=</w:t>
      </w:r>
      <w:r w:rsidRPr="006E6657">
        <w:rPr>
          <w:b/>
        </w:rPr>
        <w:tab/>
        <w:t>Föredragning av kommissionen och diskussion</w:t>
      </w:r>
    </w:p>
    <w:p w:rsidR="00096478" w:rsidRDefault="00096478" w:rsidP="006E6657">
      <w:pPr>
        <w:rPr>
          <w:b/>
        </w:rPr>
      </w:pPr>
    </w:p>
    <w:p w:rsidR="00096478" w:rsidRPr="004E6101" w:rsidRDefault="00096478" w:rsidP="0025009D">
      <w:pPr>
        <w:rPr>
          <w:i/>
        </w:rPr>
      </w:pPr>
      <w:r w:rsidRPr="004E6101">
        <w:rPr>
          <w:i/>
        </w:rPr>
        <w:t>Avsikten med behandlingen i rådet</w:t>
      </w:r>
    </w:p>
    <w:p w:rsidR="00096478" w:rsidRDefault="00096478" w:rsidP="0025009D">
      <w:pPr>
        <w:pStyle w:val="RKnormal"/>
      </w:pPr>
      <w:r>
        <w:t>Informations- och diskussionspunkt.</w:t>
      </w:r>
    </w:p>
    <w:p w:rsidR="00096478" w:rsidRDefault="00096478" w:rsidP="0025009D">
      <w:pPr>
        <w:pStyle w:val="RKnormal"/>
      </w:pPr>
    </w:p>
    <w:p w:rsidR="00096478" w:rsidRPr="00B25D92" w:rsidRDefault="00096478" w:rsidP="00B25D92">
      <w:pPr>
        <w:pStyle w:val="EntRefer"/>
        <w:jc w:val="both"/>
        <w:rPr>
          <w:rFonts w:ascii="OrigGarmnd BT" w:hAnsi="OrigGarmnd BT"/>
          <w:b w:val="0"/>
          <w:lang w:val="sv-SE"/>
        </w:rPr>
      </w:pPr>
      <w:r w:rsidRPr="00B25D92">
        <w:rPr>
          <w:rFonts w:ascii="OrigGarmnd BT" w:hAnsi="OrigGarmnd BT"/>
          <w:b w:val="0"/>
          <w:i/>
          <w:lang w:val="sv-SE"/>
        </w:rPr>
        <w:t>Dokument</w:t>
      </w:r>
      <w:r w:rsidRPr="00B25D92">
        <w:rPr>
          <w:rFonts w:ascii="OrigGarmnd BT" w:hAnsi="OrigGarmnd BT"/>
          <w:b w:val="0"/>
          <w:lang w:val="sv-SE"/>
        </w:rPr>
        <w:t>: 16623/13 JAI 1041 FREMP 191 JUSTCIV 276 COPEN 212 DROIPEN 145 JAIEX 97</w:t>
      </w:r>
      <w:r>
        <w:rPr>
          <w:rFonts w:ascii="OrigGarmnd BT" w:hAnsi="OrigGarmnd BT"/>
          <w:b w:val="0"/>
          <w:lang w:val="sv-SE"/>
        </w:rPr>
        <w:t xml:space="preserve"> (bifogas)</w:t>
      </w:r>
    </w:p>
    <w:p w:rsidR="00096478" w:rsidRPr="00B25D92" w:rsidRDefault="00096478" w:rsidP="004D24C8">
      <w:pPr>
        <w:pStyle w:val="EntRefer"/>
        <w:jc w:val="both"/>
        <w:rPr>
          <w:rFonts w:ascii="OrigGarmnd BT" w:hAnsi="OrigGarmnd BT"/>
          <w:b w:val="0"/>
          <w:lang w:val="sv-SE"/>
        </w:rPr>
      </w:pPr>
    </w:p>
    <w:p w:rsidR="00096478" w:rsidRDefault="00096478" w:rsidP="0025009D">
      <w:pPr>
        <w:pStyle w:val="RKnormal"/>
      </w:pPr>
      <w:r w:rsidRPr="004D24C8">
        <w:rPr>
          <w:i/>
        </w:rPr>
        <w:t>Tidigare dokument</w:t>
      </w:r>
      <w:r>
        <w:t>: Fakta-PM Justitiedepartementet 2012/13:FPM95 (resultattavlan för rättsskipning i EU)</w:t>
      </w:r>
    </w:p>
    <w:p w:rsidR="00096478" w:rsidRDefault="00096478" w:rsidP="0025009D">
      <w:pPr>
        <w:pStyle w:val="RKnormal"/>
      </w:pPr>
    </w:p>
    <w:p w:rsidR="00096478" w:rsidRPr="00B92964" w:rsidRDefault="00096478" w:rsidP="0025009D">
      <w:pPr>
        <w:pStyle w:val="RKnormal"/>
        <w:rPr>
          <w:i/>
        </w:rPr>
      </w:pPr>
      <w:r w:rsidRPr="00B92964">
        <w:rPr>
          <w:i/>
        </w:rPr>
        <w:t>Bakgrund</w:t>
      </w:r>
    </w:p>
    <w:p w:rsidR="00096478" w:rsidRDefault="00096478" w:rsidP="004D24C8">
      <w:pPr>
        <w:pStyle w:val="RKnormal"/>
        <w:rPr>
          <w:b/>
        </w:rPr>
      </w:pPr>
      <w:r>
        <w:t>Enligt dagordningen avser ordförandeskapet och kommissionen presentera arbetet med resultattavlanför rättsskipning i EU inom ramen för den europeiska planeringsterminen 2014, för att följas av en diskussion vid rådsmötet. Bakgrundsunderlag inklusive svensk ståndpunkt kompletteras på grund av sent inkommet dokument.</w:t>
      </w:r>
    </w:p>
    <w:p w:rsidR="00096478" w:rsidRDefault="00096478" w:rsidP="006E6657">
      <w:pPr>
        <w:rPr>
          <w:b/>
        </w:rPr>
      </w:pPr>
    </w:p>
    <w:p w:rsidR="00096478" w:rsidRDefault="00096478" w:rsidP="006E6657">
      <w:pPr>
        <w:rPr>
          <w:b/>
        </w:rPr>
      </w:pPr>
    </w:p>
    <w:p w:rsidR="00096478" w:rsidRPr="006E6657" w:rsidRDefault="00096478" w:rsidP="006E6657">
      <w:pPr>
        <w:rPr>
          <w:b/>
        </w:rPr>
      </w:pPr>
      <w:r>
        <w:rPr>
          <w:b/>
        </w:rPr>
        <w:t xml:space="preserve">18. </w:t>
      </w:r>
      <w:r w:rsidRPr="006E6657">
        <w:rPr>
          <w:b/>
        </w:rPr>
        <w:t>Rådets slutsatser om utvärderingen av Europeiska unionens byrå för grundläggande rättigheter</w:t>
      </w:r>
      <w:r>
        <w:rPr>
          <w:b/>
        </w:rPr>
        <w:t xml:space="preserve"> (Sr Ullenhag)</w:t>
      </w:r>
    </w:p>
    <w:p w:rsidR="00096478" w:rsidRPr="006E6657" w:rsidRDefault="00096478" w:rsidP="006E6657">
      <w:pPr>
        <w:rPr>
          <w:b/>
        </w:rPr>
      </w:pPr>
      <w:r w:rsidRPr="006E6657">
        <w:rPr>
          <w:b/>
        </w:rPr>
        <w:t>=</w:t>
      </w:r>
      <w:r w:rsidRPr="006E6657">
        <w:rPr>
          <w:b/>
        </w:rPr>
        <w:tab/>
        <w:t>Antagande</w:t>
      </w:r>
    </w:p>
    <w:p w:rsidR="00096478" w:rsidRDefault="00096478" w:rsidP="00024CD9">
      <w:pPr>
        <w:pStyle w:val="RKnormal"/>
        <w:rPr>
          <w:b/>
          <w:bCs/>
        </w:rPr>
      </w:pPr>
    </w:p>
    <w:p w:rsidR="00096478" w:rsidRPr="00024CD9" w:rsidRDefault="00096478" w:rsidP="00024CD9">
      <w:pPr>
        <w:pStyle w:val="RKnormal"/>
        <w:rPr>
          <w:bCs/>
          <w:i/>
        </w:rPr>
      </w:pPr>
      <w:r w:rsidRPr="00024CD9">
        <w:rPr>
          <w:bCs/>
          <w:i/>
        </w:rPr>
        <w:t xml:space="preserve">Avsikten med behandlingen i rådet </w:t>
      </w:r>
    </w:p>
    <w:p w:rsidR="00096478" w:rsidRDefault="00096478" w:rsidP="00024CD9">
      <w:pPr>
        <w:pStyle w:val="RKnormal"/>
      </w:pPr>
      <w:r>
        <w:t>Antagande av rådets slutsatser om utvärderingen av Europeiska unionens byrå för grundläggande rättigheter</w:t>
      </w:r>
    </w:p>
    <w:p w:rsidR="00096478" w:rsidRDefault="00096478" w:rsidP="00024CD9">
      <w:pPr>
        <w:pStyle w:val="RKnormal"/>
      </w:pPr>
    </w:p>
    <w:p w:rsidR="00096478" w:rsidRDefault="00096478" w:rsidP="00024CD9">
      <w:pPr>
        <w:pStyle w:val="RKnormal"/>
      </w:pPr>
    </w:p>
    <w:p w:rsidR="00096478" w:rsidRDefault="00096478" w:rsidP="00024CD9">
      <w:pPr>
        <w:pStyle w:val="RKnormal"/>
      </w:pPr>
    </w:p>
    <w:p w:rsidR="00096478" w:rsidRDefault="00096478" w:rsidP="00024CD9">
      <w:pPr>
        <w:pStyle w:val="RKnormal"/>
      </w:pPr>
      <w:r>
        <w:rPr>
          <w:i/>
        </w:rPr>
        <w:t>Dokument</w:t>
      </w:r>
      <w:r>
        <w:t xml:space="preserve">: </w:t>
      </w:r>
    </w:p>
    <w:p w:rsidR="00096478" w:rsidRDefault="00096478" w:rsidP="00024CD9">
      <w:pPr>
        <w:pStyle w:val="RKnormal"/>
      </w:pPr>
      <w:r>
        <w:t>16183/13 FREMP 182 JAI 1007 COHOM 252 (bifogas)</w:t>
      </w:r>
      <w:r>
        <w:br/>
      </w:r>
    </w:p>
    <w:p w:rsidR="00096478" w:rsidRDefault="00096478" w:rsidP="00024CD9">
      <w:pPr>
        <w:pStyle w:val="RKnormal"/>
        <w:rPr>
          <w:b/>
          <w:bCs/>
        </w:rPr>
      </w:pPr>
      <w:r>
        <w:rPr>
          <w:i/>
        </w:rPr>
        <w:t>Tidigare behandling i nämnden</w:t>
      </w:r>
      <w:r>
        <w:t>:</w:t>
      </w:r>
    </w:p>
    <w:p w:rsidR="00096478" w:rsidRDefault="00096478" w:rsidP="00024CD9">
      <w:pPr>
        <w:pStyle w:val="RKnormal"/>
      </w:pPr>
      <w:r>
        <w:t>Ingen tidigare behandling i nämnden.</w:t>
      </w:r>
    </w:p>
    <w:p w:rsidR="00096478" w:rsidRDefault="00096478" w:rsidP="00024CD9">
      <w:pPr>
        <w:pStyle w:val="RKnormal"/>
      </w:pPr>
      <w:r>
        <w:t xml:space="preserve">Förslaget har behandlats i KU den 12 september 2013.  </w:t>
      </w:r>
    </w:p>
    <w:p w:rsidR="00096478" w:rsidRDefault="00096478" w:rsidP="00024CD9">
      <w:pPr>
        <w:pStyle w:val="RKnormal"/>
      </w:pPr>
    </w:p>
    <w:p w:rsidR="00096478" w:rsidRPr="00024CD9" w:rsidRDefault="00096478" w:rsidP="00024CD9">
      <w:pPr>
        <w:pStyle w:val="RKnormal"/>
        <w:rPr>
          <w:bCs/>
          <w:i/>
        </w:rPr>
      </w:pPr>
      <w:r w:rsidRPr="00024CD9">
        <w:rPr>
          <w:bCs/>
          <w:i/>
        </w:rPr>
        <w:t>Bakgrund</w:t>
      </w:r>
    </w:p>
    <w:p w:rsidR="00096478" w:rsidRDefault="00096478" w:rsidP="00024CD9">
      <w:pPr>
        <w:pStyle w:val="RKnormal"/>
      </w:pPr>
      <w:r>
        <w:t xml:space="preserve">Europeiska unionens byrå för grundläggande rättigheter (FRA) blev operativ den 1 mars 2007 och har till uppdrag att ge gemenskapens och medlemsstaternas berörda institutioner och organ stöd och kunskap i frågor om grundläggande rättigheter.  </w:t>
      </w:r>
    </w:p>
    <w:p w:rsidR="00096478" w:rsidRDefault="00096478" w:rsidP="00024CD9">
      <w:pPr>
        <w:pStyle w:val="RKnormal"/>
      </w:pPr>
    </w:p>
    <w:p w:rsidR="00096478" w:rsidRDefault="00096478" w:rsidP="00024CD9">
      <w:pPr>
        <w:pStyle w:val="RKnormal"/>
      </w:pPr>
      <w:r>
        <w:t>Förslaget till rådslutsatser har tagits fram med anledning av femårsutvärderingen av FRA:s verksamhet. Slutsatserna baseras på en rapport från den utvärdering som har gjorts och på de rekommendationer som FRA:s styrelse har lämnat med anledning av utvärderingen. Slutsatserna ska utgöra ett inspel till Europeiska kommissionens överväganden om eventuella ändringar i FRA:s mandat till följd av utvärderingen.</w:t>
      </w:r>
    </w:p>
    <w:p w:rsidR="00096478" w:rsidRDefault="00096478" w:rsidP="00024CD9">
      <w:pPr>
        <w:pStyle w:val="RKnormal"/>
      </w:pPr>
    </w:p>
    <w:p w:rsidR="00096478" w:rsidRDefault="00096478" w:rsidP="00024CD9">
      <w:pPr>
        <w:tabs>
          <w:tab w:val="left" w:pos="709"/>
          <w:tab w:val="left" w:pos="2835"/>
        </w:tabs>
        <w:spacing w:line="240" w:lineRule="atLeast"/>
      </w:pPr>
      <w:r>
        <w:t xml:space="preserve">Av förslaget framgår bl.a. att rådet välkomnar utvärderingen, och gällande FRA:s  mandat, att rådet noterar idén att FRA skulle kunna lämna yttranden på eget initiativ och att rådet har i åtanke att frågan om FRA:s mandat gällande polisiärt och straffrättsligt samarbete skulle diskuteras när utvärderingen hade slutförts. Rådet understryker vidare att samarbetet mellan FRA och medlemsstaterna kan förbättras och noterar att FRA skulle stå till förfogande för en grupp medlemsstater när det gäller expertis om grundläggande rättigheter samt konstaterar att det behövs en ökad medvetenhet om FRA:s arbete. Gällande FRA:s roll i granskning av medlemsstaterna enligt art 7 FEU, avvaktar rådet den pågående diskussionen om granskning av mänskliga rättigheter och rättsstatsprincipen. </w:t>
      </w:r>
    </w:p>
    <w:p w:rsidR="00096478" w:rsidRDefault="00096478" w:rsidP="00024CD9">
      <w:pPr>
        <w:pStyle w:val="RKnormal"/>
        <w:rPr>
          <w:b/>
          <w:bCs/>
        </w:rPr>
      </w:pPr>
    </w:p>
    <w:p w:rsidR="00096478" w:rsidRPr="00024CD9" w:rsidRDefault="00096478" w:rsidP="00024CD9">
      <w:pPr>
        <w:pStyle w:val="RKnormal"/>
        <w:rPr>
          <w:bCs/>
          <w:i/>
        </w:rPr>
      </w:pPr>
      <w:r w:rsidRPr="00024CD9">
        <w:rPr>
          <w:bCs/>
          <w:i/>
        </w:rPr>
        <w:t>Svensk ståndpunkt</w:t>
      </w:r>
    </w:p>
    <w:p w:rsidR="00096478" w:rsidRDefault="00096478" w:rsidP="00024CD9">
      <w:pPr>
        <w:pStyle w:val="RKnormal"/>
      </w:pPr>
      <w:r>
        <w:rPr>
          <w:lang w:eastAsia="sv-SE"/>
        </w:rPr>
        <w:t>Regeringen föreslår att Sverige stödjer ett antagande av rådslutsaterna.</w:t>
      </w:r>
    </w:p>
    <w:p w:rsidR="00096478" w:rsidRDefault="00096478" w:rsidP="00024CD9">
      <w:pPr>
        <w:pStyle w:val="RKnormal"/>
      </w:pPr>
    </w:p>
    <w:p w:rsidR="00096478" w:rsidRDefault="00096478" w:rsidP="00024CD9">
      <w:pPr>
        <w:pStyle w:val="RKnormal"/>
      </w:pPr>
    </w:p>
    <w:p w:rsidR="00096478" w:rsidRDefault="00096478" w:rsidP="006E6657">
      <w:pPr>
        <w:rPr>
          <w:b/>
        </w:rPr>
      </w:pPr>
      <w:r>
        <w:rPr>
          <w:b/>
        </w:rPr>
        <w:t xml:space="preserve">19. </w:t>
      </w:r>
      <w:r w:rsidRPr="006E6657">
        <w:rPr>
          <w:b/>
        </w:rPr>
        <w:t>Rådets slutsatser om rapporten om EU-medborgarskapet 2013</w:t>
      </w:r>
    </w:p>
    <w:p w:rsidR="00096478" w:rsidRPr="006E6657" w:rsidRDefault="00096478" w:rsidP="006E6657">
      <w:pPr>
        <w:rPr>
          <w:b/>
        </w:rPr>
      </w:pPr>
      <w:r>
        <w:rPr>
          <w:b/>
        </w:rPr>
        <w:t>(Sr Ullenhag)</w:t>
      </w:r>
    </w:p>
    <w:p w:rsidR="00096478" w:rsidRPr="006E6657" w:rsidRDefault="00096478" w:rsidP="006E6657">
      <w:pPr>
        <w:rPr>
          <w:b/>
        </w:rPr>
      </w:pPr>
      <w:r w:rsidRPr="006E6657">
        <w:rPr>
          <w:b/>
        </w:rPr>
        <w:t>=</w:t>
      </w:r>
      <w:r w:rsidRPr="006E6657">
        <w:rPr>
          <w:b/>
        </w:rPr>
        <w:tab/>
        <w:t>Antagande</w:t>
      </w:r>
    </w:p>
    <w:p w:rsidR="00096478" w:rsidRDefault="00096478" w:rsidP="00024CD9">
      <w:pPr>
        <w:pStyle w:val="RKnormal"/>
        <w:rPr>
          <w:b/>
          <w:bCs/>
        </w:rPr>
      </w:pPr>
    </w:p>
    <w:p w:rsidR="00096478" w:rsidRDefault="00096478" w:rsidP="00024CD9">
      <w:pPr>
        <w:pStyle w:val="RKnormal"/>
        <w:rPr>
          <w:i/>
        </w:rPr>
      </w:pPr>
      <w:r>
        <w:rPr>
          <w:i/>
        </w:rPr>
        <w:t>Avsikten med behandlingen i rådet</w:t>
      </w:r>
    </w:p>
    <w:p w:rsidR="00096478" w:rsidRPr="00024CD9" w:rsidRDefault="00096478" w:rsidP="00024CD9">
      <w:pPr>
        <w:pStyle w:val="RKnormal"/>
      </w:pPr>
      <w:r w:rsidRPr="00024CD9">
        <w:t>Antagande av rådets slutsatser om rapporten om EU-medborgarskapet 2013</w:t>
      </w:r>
    </w:p>
    <w:p w:rsidR="00096478" w:rsidRDefault="00096478" w:rsidP="00024CD9">
      <w:pPr>
        <w:pStyle w:val="RKnormal"/>
        <w:rPr>
          <w:i/>
        </w:rPr>
      </w:pPr>
    </w:p>
    <w:p w:rsidR="00096478" w:rsidRDefault="00096478" w:rsidP="00024CD9">
      <w:pPr>
        <w:pStyle w:val="RKnormal"/>
        <w:rPr>
          <w:i/>
        </w:rPr>
      </w:pPr>
    </w:p>
    <w:p w:rsidR="00096478" w:rsidRDefault="00096478" w:rsidP="00024CD9">
      <w:pPr>
        <w:pStyle w:val="RKnormal"/>
        <w:rPr>
          <w:i/>
        </w:rPr>
      </w:pPr>
    </w:p>
    <w:p w:rsidR="00096478" w:rsidRDefault="00096478" w:rsidP="00024CD9">
      <w:pPr>
        <w:pStyle w:val="RKnormal"/>
      </w:pPr>
      <w:r w:rsidRPr="00934AF7">
        <w:rPr>
          <w:i/>
        </w:rPr>
        <w:t>Dokument</w:t>
      </w:r>
      <w:r>
        <w:t xml:space="preserve">: </w:t>
      </w:r>
    </w:p>
    <w:p w:rsidR="00096478" w:rsidRDefault="00096478" w:rsidP="00024CD9">
      <w:pPr>
        <w:pStyle w:val="RKnormal"/>
      </w:pPr>
      <w:r w:rsidRPr="00EC26CF">
        <w:t>16187/13 FREMP 183 JAI 1008 COCON 56 COHOM 254 CULT 122 COPEN 203 DROIPEN 139 EJUSTICE 97 FISC 219 JUSTCIV 270 MI 1030 POLGEN 221 SOC 935 TRANS 589</w:t>
      </w:r>
      <w:r>
        <w:t xml:space="preserve"> (bifogas)</w:t>
      </w:r>
    </w:p>
    <w:p w:rsidR="00096478" w:rsidRDefault="00096478" w:rsidP="00024CD9">
      <w:pPr>
        <w:pStyle w:val="RKnormal"/>
      </w:pPr>
    </w:p>
    <w:p w:rsidR="00096478" w:rsidRDefault="00096478" w:rsidP="00024CD9">
      <w:pPr>
        <w:pStyle w:val="RKnormal"/>
        <w:rPr>
          <w:b/>
          <w:bCs/>
        </w:rPr>
      </w:pPr>
      <w:r w:rsidRPr="005872FB">
        <w:rPr>
          <w:i/>
        </w:rPr>
        <w:t>Tidigare behandling i nämnden</w:t>
      </w:r>
      <w:r>
        <w:t>:</w:t>
      </w:r>
      <w:r>
        <w:rPr>
          <w:b/>
          <w:bCs/>
        </w:rPr>
        <w:br/>
        <w:t>-</w:t>
      </w:r>
    </w:p>
    <w:p w:rsidR="00096478" w:rsidRDefault="00096478" w:rsidP="00024CD9">
      <w:pPr>
        <w:pStyle w:val="RKnormal"/>
      </w:pPr>
    </w:p>
    <w:p w:rsidR="00096478" w:rsidRPr="00024CD9" w:rsidRDefault="00096478" w:rsidP="00024CD9">
      <w:pPr>
        <w:pStyle w:val="RKnormal"/>
        <w:rPr>
          <w:bCs/>
          <w:i/>
        </w:rPr>
      </w:pPr>
      <w:r w:rsidRPr="00024CD9">
        <w:rPr>
          <w:bCs/>
          <w:i/>
        </w:rPr>
        <w:t>Bakgrund</w:t>
      </w:r>
    </w:p>
    <w:p w:rsidR="00096478" w:rsidRPr="00EC26CF" w:rsidRDefault="00096478" w:rsidP="00024CD9">
      <w:r w:rsidRPr="00EC26CF">
        <w:t xml:space="preserve">Mot bakgrund av Europaåret för medborgarna 2013, presenterade kommissionen den 15 maj 2013 ett meddelande och en rapport om den viktigaste utvecklingen när det gäller EU-medborgarskapet 2013. Som svar på detta har </w:t>
      </w:r>
      <w:r>
        <w:t>litauiska ordförandeskapet l</w:t>
      </w:r>
      <w:r w:rsidRPr="00EC26CF">
        <w:t xml:space="preserve">ämnat </w:t>
      </w:r>
      <w:r>
        <w:t xml:space="preserve">ett </w:t>
      </w:r>
      <w:r w:rsidRPr="00EC26CF">
        <w:t xml:space="preserve">förslag på rådslutsatser. I förslaget behandlas fem områden, nämligen att eliminera hinder för arbetstagare, studerande och praktikanter i EU, att eliminera administrativa hinder, och hinder för </w:t>
      </w:r>
      <w:r>
        <w:t xml:space="preserve">handel </w:t>
      </w:r>
      <w:r w:rsidRPr="00EC26CF">
        <w:t>inom EU liksom att stärka medborgarnas processuella rättigheter och att stärka och utveckla EU-medborgares möjligheter att delta i det demokratiska och politiska livet i EU. I förslaget till slutsatser uppmanar rådet</w:t>
      </w:r>
      <w:r>
        <w:t xml:space="preserve"> kommissionen</w:t>
      </w:r>
      <w:r w:rsidRPr="00EC26CF">
        <w:t xml:space="preserve"> att implementera de åtgärder som anges i rapporten och </w:t>
      </w:r>
      <w:r>
        <w:t>medlemsländerna</w:t>
      </w:r>
      <w:r w:rsidRPr="00EC26CF">
        <w:t xml:space="preserve"> till att bidra till detta arbete. </w:t>
      </w:r>
    </w:p>
    <w:p w:rsidR="00096478" w:rsidRDefault="00096478" w:rsidP="00024CD9">
      <w:pPr>
        <w:pStyle w:val="RKnormal"/>
        <w:rPr>
          <w:b/>
          <w:bCs/>
        </w:rPr>
      </w:pPr>
    </w:p>
    <w:p w:rsidR="00096478" w:rsidRPr="00024CD9" w:rsidRDefault="00096478" w:rsidP="00024CD9">
      <w:pPr>
        <w:pStyle w:val="RKnormal"/>
        <w:rPr>
          <w:bCs/>
          <w:i/>
        </w:rPr>
      </w:pPr>
      <w:r w:rsidRPr="00024CD9">
        <w:rPr>
          <w:bCs/>
          <w:i/>
        </w:rPr>
        <w:t>Svensk ståndpunkt</w:t>
      </w:r>
    </w:p>
    <w:p w:rsidR="00096478" w:rsidRDefault="00096478" w:rsidP="00024CD9">
      <w:pPr>
        <w:pStyle w:val="RKnormal"/>
      </w:pPr>
      <w:r w:rsidRPr="00906898">
        <w:rPr>
          <w:lang w:eastAsia="sv-SE"/>
        </w:rPr>
        <w:t>Regeringen</w:t>
      </w:r>
      <w:r>
        <w:rPr>
          <w:lang w:eastAsia="sv-SE"/>
        </w:rPr>
        <w:t xml:space="preserve"> föreslår att Sverigestödjer ett antagande av rådslutsaterna.</w:t>
      </w:r>
    </w:p>
    <w:p w:rsidR="00096478" w:rsidRDefault="00096478" w:rsidP="00024CD9">
      <w:pPr>
        <w:pStyle w:val="RKnormal"/>
      </w:pPr>
    </w:p>
    <w:p w:rsidR="00096478" w:rsidRDefault="00096478" w:rsidP="00024CD9">
      <w:pPr>
        <w:pStyle w:val="RKnormal"/>
      </w:pPr>
    </w:p>
    <w:p w:rsidR="00096478" w:rsidRPr="006E6657" w:rsidRDefault="00096478" w:rsidP="006E6657">
      <w:pPr>
        <w:rPr>
          <w:b/>
          <w:lang w:eastAsia="hu-HU"/>
        </w:rPr>
      </w:pPr>
      <w:r>
        <w:rPr>
          <w:b/>
          <w:lang w:eastAsia="hu-HU"/>
        </w:rPr>
        <w:t xml:space="preserve">20. </w:t>
      </w:r>
      <w:r w:rsidRPr="006E6657">
        <w:rPr>
          <w:b/>
        </w:rPr>
        <w:t xml:space="preserve">Rådets slutsatser om </w:t>
      </w:r>
      <w:r w:rsidRPr="006E6657">
        <w:rPr>
          <w:b/>
          <w:lang w:eastAsia="hu-HU"/>
        </w:rPr>
        <w:t>bekämpning av hatbrott</w:t>
      </w:r>
      <w:r>
        <w:rPr>
          <w:b/>
          <w:lang w:eastAsia="hu-HU"/>
        </w:rPr>
        <w:t xml:space="preserve"> (Sr Ask)</w:t>
      </w:r>
    </w:p>
    <w:p w:rsidR="00096478" w:rsidRDefault="00096478" w:rsidP="006E6657">
      <w:pPr>
        <w:rPr>
          <w:b/>
        </w:rPr>
      </w:pPr>
      <w:r w:rsidRPr="006E6657">
        <w:rPr>
          <w:b/>
        </w:rPr>
        <w:t>=</w:t>
      </w:r>
      <w:r w:rsidRPr="006E6657">
        <w:rPr>
          <w:b/>
        </w:rPr>
        <w:tab/>
        <w:t>Antagande</w:t>
      </w:r>
    </w:p>
    <w:p w:rsidR="00096478" w:rsidRPr="006E6657" w:rsidRDefault="00096478" w:rsidP="006E6657">
      <w:pPr>
        <w:rPr>
          <w:b/>
        </w:rPr>
      </w:pPr>
    </w:p>
    <w:p w:rsidR="00096478" w:rsidRPr="00E72B33" w:rsidRDefault="00096478" w:rsidP="00E72B33">
      <w:pPr>
        <w:widowControl w:val="0"/>
        <w:rPr>
          <w:rFonts w:cs="Helvetica"/>
          <w:i/>
        </w:rPr>
      </w:pPr>
      <w:r w:rsidRPr="00E72B33">
        <w:rPr>
          <w:rFonts w:cs="Helvetica"/>
          <w:i/>
        </w:rPr>
        <w:t>Avsikten med behandlingen i rådet</w:t>
      </w:r>
    </w:p>
    <w:p w:rsidR="00096478" w:rsidRPr="00C15524" w:rsidRDefault="00096478" w:rsidP="00E72B33">
      <w:pPr>
        <w:widowControl w:val="0"/>
        <w:rPr>
          <w:rFonts w:cs="Helvetica"/>
        </w:rPr>
      </w:pPr>
      <w:r>
        <w:rPr>
          <w:rFonts w:cs="Helvetica"/>
        </w:rPr>
        <w:t>Antagande av</w:t>
      </w:r>
      <w:r w:rsidRPr="00C15524">
        <w:rPr>
          <w:rFonts w:cs="Helvetica"/>
        </w:rPr>
        <w:t xml:space="preserve"> rådslutsatser om att bekämpa hatbrott inom </w:t>
      </w:r>
      <w:r>
        <w:rPr>
          <w:rFonts w:cs="Helvetica"/>
        </w:rPr>
        <w:t>EU</w:t>
      </w:r>
      <w:r w:rsidRPr="00C15524">
        <w:rPr>
          <w:rFonts w:cs="Helvetica"/>
        </w:rPr>
        <w:t>.</w:t>
      </w:r>
    </w:p>
    <w:p w:rsidR="00096478" w:rsidRPr="00C15524" w:rsidRDefault="00096478" w:rsidP="00E72B33">
      <w:pPr>
        <w:widowControl w:val="0"/>
        <w:rPr>
          <w:rFonts w:cs="Helvetica"/>
        </w:rPr>
      </w:pPr>
    </w:p>
    <w:p w:rsidR="00096478" w:rsidRPr="00A80094" w:rsidRDefault="00096478" w:rsidP="00E72B33">
      <w:pPr>
        <w:widowControl w:val="0"/>
        <w:rPr>
          <w:rFonts w:cs="Helvetica"/>
        </w:rPr>
      </w:pPr>
      <w:r w:rsidRPr="00E72B33">
        <w:rPr>
          <w:rFonts w:cs="Helvetica"/>
          <w:i/>
        </w:rPr>
        <w:t>Dokument:</w:t>
      </w:r>
      <w:r>
        <w:rPr>
          <w:rFonts w:cs="Helvetica"/>
        </w:rPr>
        <w:t>D</w:t>
      </w:r>
      <w:r w:rsidRPr="00A80094">
        <w:rPr>
          <w:rFonts w:cs="Helvetica"/>
        </w:rPr>
        <w:t>et har ännu inte presenterats något dokument för behandlingen i rådet.</w:t>
      </w:r>
    </w:p>
    <w:p w:rsidR="00096478" w:rsidRPr="00C15524" w:rsidRDefault="00096478" w:rsidP="00E72B33">
      <w:pPr>
        <w:widowControl w:val="0"/>
        <w:rPr>
          <w:rFonts w:cs="Helvetica"/>
        </w:rPr>
      </w:pPr>
    </w:p>
    <w:p w:rsidR="00096478" w:rsidRPr="00E72B33" w:rsidRDefault="00096478" w:rsidP="00E72B33">
      <w:pPr>
        <w:widowControl w:val="0"/>
        <w:rPr>
          <w:rFonts w:cs="Helvetica"/>
          <w:i/>
        </w:rPr>
      </w:pPr>
      <w:r w:rsidRPr="00E72B33">
        <w:rPr>
          <w:rFonts w:cs="Helvetica"/>
          <w:i/>
        </w:rPr>
        <w:t xml:space="preserve">Tidigare dokument: </w:t>
      </w:r>
    </w:p>
    <w:p w:rsidR="00096478" w:rsidRDefault="00096478" w:rsidP="00E72B33">
      <w:pPr>
        <w:widowControl w:val="0"/>
        <w:rPr>
          <w:rFonts w:cs="Helvetica"/>
        </w:rPr>
      </w:pPr>
      <w:r>
        <w:rPr>
          <w:rFonts w:cs="Helvetica"/>
        </w:rPr>
        <w:t xml:space="preserve">15892/13 </w:t>
      </w:r>
      <w:r w:rsidRPr="00C15524">
        <w:rPr>
          <w:rFonts w:cs="Helvetica"/>
        </w:rPr>
        <w:t>FREMP</w:t>
      </w:r>
    </w:p>
    <w:p w:rsidR="00096478" w:rsidRPr="00C15524" w:rsidRDefault="00096478" w:rsidP="00E72B33">
      <w:pPr>
        <w:widowControl w:val="0"/>
        <w:rPr>
          <w:rFonts w:cs="Helvetica"/>
        </w:rPr>
      </w:pPr>
      <w:r>
        <w:rPr>
          <w:rFonts w:cs="Helvetica"/>
        </w:rPr>
        <w:t xml:space="preserve">- Utkast till rådslutsatser om hatbrott </w:t>
      </w:r>
    </w:p>
    <w:p w:rsidR="00096478" w:rsidRPr="00C15524" w:rsidRDefault="00096478" w:rsidP="00E72B33">
      <w:pPr>
        <w:widowControl w:val="0"/>
        <w:rPr>
          <w:rFonts w:cs="Helvetica"/>
        </w:rPr>
      </w:pPr>
    </w:p>
    <w:p w:rsidR="00096478" w:rsidRPr="00E72B33" w:rsidRDefault="00096478" w:rsidP="00E72B33">
      <w:pPr>
        <w:widowControl w:val="0"/>
        <w:rPr>
          <w:rFonts w:cs="Helvetica"/>
          <w:i/>
        </w:rPr>
      </w:pPr>
      <w:r w:rsidRPr="00E72B33">
        <w:rPr>
          <w:rFonts w:cs="Helvetica"/>
          <w:i/>
        </w:rPr>
        <w:t xml:space="preserve">Tidigare behandling i EU-nämnden och i riksdagsutskott: - </w:t>
      </w:r>
    </w:p>
    <w:p w:rsidR="00096478" w:rsidRPr="00E72B33" w:rsidRDefault="00096478" w:rsidP="00E72B33">
      <w:pPr>
        <w:widowControl w:val="0"/>
        <w:rPr>
          <w:rFonts w:cs="Helvetica"/>
        </w:rPr>
      </w:pPr>
    </w:p>
    <w:p w:rsidR="00096478" w:rsidRPr="00E72B33" w:rsidRDefault="00096478" w:rsidP="00E72B33">
      <w:pPr>
        <w:widowControl w:val="0"/>
        <w:rPr>
          <w:rFonts w:cs="Helvetica"/>
          <w:i/>
        </w:rPr>
      </w:pPr>
      <w:r w:rsidRPr="00E72B33">
        <w:rPr>
          <w:rFonts w:cs="Helvetica"/>
          <w:i/>
        </w:rPr>
        <w:t>Bakgrund</w:t>
      </w:r>
    </w:p>
    <w:p w:rsidR="00096478" w:rsidRPr="00C15524" w:rsidRDefault="00096478" w:rsidP="00E72B33">
      <w:pPr>
        <w:widowControl w:val="0"/>
        <w:rPr>
          <w:rFonts w:cs="Helvetica"/>
        </w:rPr>
      </w:pPr>
      <w:r w:rsidRPr="00C15524">
        <w:rPr>
          <w:rFonts w:cs="Helvetica"/>
        </w:rPr>
        <w:t>Som EU-rättslig ram för arbetet mot hatbrott finns EU:s rasismrambeslut</w:t>
      </w:r>
      <w:r>
        <w:rPr>
          <w:rStyle w:val="FootnoteReference"/>
          <w:rFonts w:cs="Helvetica"/>
        </w:rPr>
        <w:footnoteReference w:id="8"/>
      </w:r>
      <w:r w:rsidRPr="00C15524">
        <w:rPr>
          <w:rFonts w:cs="Helvetica"/>
        </w:rPr>
        <w:t xml:space="preserve"> samt brottsoff</w:t>
      </w:r>
      <w:r>
        <w:rPr>
          <w:rFonts w:cs="Helvetica"/>
        </w:rPr>
        <w:t>erdirektivet</w:t>
      </w:r>
      <w:r>
        <w:rPr>
          <w:rStyle w:val="FootnoteReference"/>
          <w:rFonts w:cs="Helvetica"/>
        </w:rPr>
        <w:footnoteReference w:id="9"/>
      </w:r>
      <w:r>
        <w:rPr>
          <w:rFonts w:cs="Helvetica"/>
        </w:rPr>
        <w:t>. Rasismrambeslutet</w:t>
      </w:r>
      <w:r w:rsidRPr="00C15524">
        <w:rPr>
          <w:rFonts w:cs="Helvetica"/>
        </w:rPr>
        <w:t xml:space="preserve"> antogs 2008och det pågår en översyn av dess implementering i medlemsstaterna. Brottsofferdirektivet antogs 2012 ska implementeras i medlemsstaterna senast 2015. Det litauiska ordförandeskapet har tagit fram rådslutsatser om att bekämpa hatbrott som länkar båda dessa verktyg i arbetet för att bekämpa hatbrott och öka skyddet för de som utsätts. Under </w:t>
      </w:r>
      <w:r>
        <w:rPr>
          <w:rFonts w:cs="Helvetica"/>
        </w:rPr>
        <w:t xml:space="preserve">hösten arrangerade </w:t>
      </w:r>
      <w:r w:rsidRPr="00C15524">
        <w:rPr>
          <w:rFonts w:cs="Helvetica"/>
        </w:rPr>
        <w:t>ordförandeskapet en stor konferens på detta tema som utgjort underlag för slutsatserna.</w:t>
      </w:r>
    </w:p>
    <w:p w:rsidR="00096478" w:rsidRPr="00C15524" w:rsidRDefault="00096478" w:rsidP="00E72B33">
      <w:pPr>
        <w:widowControl w:val="0"/>
        <w:rPr>
          <w:rFonts w:cs="Helvetica"/>
        </w:rPr>
      </w:pPr>
    </w:p>
    <w:p w:rsidR="00096478" w:rsidRDefault="00096478" w:rsidP="00E72B33">
      <w:pPr>
        <w:pStyle w:val="RKnormal"/>
      </w:pPr>
      <w:r w:rsidRPr="00C15524">
        <w:rPr>
          <w:rFonts w:cs="Helvetica"/>
        </w:rPr>
        <w:t xml:space="preserve">Förhandling av rådslutsatserna </w:t>
      </w:r>
      <w:r>
        <w:rPr>
          <w:rFonts w:cs="Helvetica"/>
        </w:rPr>
        <w:t>pågår fortfarande på tjänstemannanivå. Rådslutsatser antas med enhäl</w:t>
      </w:r>
      <w:r w:rsidRPr="00C15524">
        <w:rPr>
          <w:rFonts w:cs="Helvetica"/>
        </w:rPr>
        <w:t>lighet.</w:t>
      </w:r>
      <w:r>
        <w:t>De är inte rättsligt bindande.</w:t>
      </w:r>
    </w:p>
    <w:p w:rsidR="00096478" w:rsidRPr="00C15524" w:rsidRDefault="00096478" w:rsidP="00E72B33">
      <w:pPr>
        <w:widowControl w:val="0"/>
        <w:rPr>
          <w:rFonts w:cs="Helvetica"/>
        </w:rPr>
      </w:pPr>
    </w:p>
    <w:p w:rsidR="00096478" w:rsidRPr="00E72B33" w:rsidRDefault="00096478" w:rsidP="00E72B33">
      <w:pPr>
        <w:widowControl w:val="0"/>
        <w:rPr>
          <w:rFonts w:cs="Helvetica"/>
          <w:i/>
        </w:rPr>
      </w:pPr>
      <w:r w:rsidRPr="00E72B33">
        <w:rPr>
          <w:rFonts w:cs="Helvetica"/>
          <w:i/>
        </w:rPr>
        <w:t xml:space="preserve">Svensk ståndpunkt </w:t>
      </w:r>
    </w:p>
    <w:p w:rsidR="00096478" w:rsidRPr="00C15524" w:rsidRDefault="00096478" w:rsidP="00E72B33">
      <w:pPr>
        <w:widowControl w:val="0"/>
        <w:rPr>
          <w:rFonts w:cs="Helvetica"/>
        </w:rPr>
      </w:pPr>
      <w:r w:rsidRPr="00C15524">
        <w:rPr>
          <w:rFonts w:cs="Helvetica"/>
        </w:rPr>
        <w:t xml:space="preserve">Sverige välkomnar </w:t>
      </w:r>
      <w:r>
        <w:rPr>
          <w:rFonts w:cs="Helvetica"/>
        </w:rPr>
        <w:t>att det antas</w:t>
      </w:r>
      <w:r w:rsidRPr="00C15524">
        <w:rPr>
          <w:rFonts w:cs="Helvetica"/>
        </w:rPr>
        <w:t xml:space="preserve"> rådslutsatser</w:t>
      </w:r>
      <w:r>
        <w:rPr>
          <w:rFonts w:cs="Helvetica"/>
        </w:rPr>
        <w:t xml:space="preserve"> om att bekämpa hatbrott inom EU. </w:t>
      </w:r>
    </w:p>
    <w:p w:rsidR="00096478" w:rsidRPr="00715F3D" w:rsidRDefault="00096478" w:rsidP="006E6657"/>
    <w:p w:rsidR="00096478" w:rsidRDefault="00096478" w:rsidP="006E6657">
      <w:pPr>
        <w:rPr>
          <w:b/>
          <w:bCs/>
          <w:iCs/>
        </w:rPr>
      </w:pPr>
    </w:p>
    <w:p w:rsidR="00096478" w:rsidRPr="006E6657" w:rsidRDefault="00096478" w:rsidP="006E6657">
      <w:pPr>
        <w:rPr>
          <w:b/>
          <w:bCs/>
          <w:iCs/>
        </w:rPr>
      </w:pPr>
      <w:r>
        <w:rPr>
          <w:b/>
          <w:bCs/>
          <w:iCs/>
        </w:rPr>
        <w:t xml:space="preserve">21. </w:t>
      </w:r>
      <w:r w:rsidRPr="006E6657">
        <w:rPr>
          <w:b/>
          <w:bCs/>
          <w:iCs/>
        </w:rPr>
        <w:t>Europeiska unionens anslutning till den europeiska konventionen om de mänskliga rättigheterna</w:t>
      </w:r>
      <w:r>
        <w:rPr>
          <w:b/>
          <w:bCs/>
          <w:iCs/>
        </w:rPr>
        <w:t xml:space="preserve"> (Sr Ask)</w:t>
      </w:r>
    </w:p>
    <w:p w:rsidR="00096478" w:rsidRPr="006E6657" w:rsidRDefault="00096478" w:rsidP="006E6657">
      <w:pPr>
        <w:rPr>
          <w:b/>
          <w:color w:val="000000"/>
        </w:rPr>
      </w:pPr>
      <w:r w:rsidRPr="006E6657">
        <w:rPr>
          <w:b/>
          <w:iCs/>
        </w:rPr>
        <w:t>=</w:t>
      </w:r>
      <w:r w:rsidRPr="006E6657">
        <w:rPr>
          <w:b/>
          <w:iCs/>
        </w:rPr>
        <w:tab/>
      </w:r>
      <w:r w:rsidRPr="006E6657">
        <w:rPr>
          <w:b/>
        </w:rPr>
        <w:t>Lägesrapport</w:t>
      </w:r>
    </w:p>
    <w:p w:rsidR="00096478" w:rsidRDefault="00096478" w:rsidP="00E5604A">
      <w:pPr>
        <w:pStyle w:val="RKnormal"/>
        <w:rPr>
          <w:i/>
        </w:rPr>
      </w:pPr>
    </w:p>
    <w:p w:rsidR="00096478" w:rsidRPr="00C42F0A" w:rsidRDefault="00096478" w:rsidP="00E5604A">
      <w:pPr>
        <w:pStyle w:val="RKnormal"/>
        <w:rPr>
          <w:i/>
        </w:rPr>
      </w:pPr>
      <w:r>
        <w:rPr>
          <w:i/>
        </w:rPr>
        <w:t>Avsikten</w:t>
      </w:r>
      <w:r w:rsidRPr="00C42F0A">
        <w:rPr>
          <w:i/>
        </w:rPr>
        <w:t xml:space="preserve"> med behandlingen i rådet </w:t>
      </w:r>
    </w:p>
    <w:p w:rsidR="00096478" w:rsidRDefault="00096478" w:rsidP="00E5604A">
      <w:pPr>
        <w:pStyle w:val="RKnormal"/>
      </w:pPr>
      <w:r>
        <w:t xml:space="preserve">Information om förhandlingsläget i de pågående förhandlingarna mellan EU och Europarådet om EU:s anslutning till Europakonventionen. </w:t>
      </w:r>
    </w:p>
    <w:p w:rsidR="00096478" w:rsidRDefault="00096478" w:rsidP="00E5604A">
      <w:pPr>
        <w:pStyle w:val="RKnormal"/>
      </w:pPr>
    </w:p>
    <w:p w:rsidR="00096478" w:rsidRPr="00C42F0A" w:rsidRDefault="00096478" w:rsidP="00E5604A">
      <w:pPr>
        <w:pStyle w:val="RKnormal"/>
        <w:rPr>
          <w:i/>
        </w:rPr>
      </w:pPr>
      <w:r w:rsidRPr="00C42F0A">
        <w:rPr>
          <w:i/>
        </w:rPr>
        <w:t>Dokument</w:t>
      </w:r>
    </w:p>
    <w:p w:rsidR="00096478" w:rsidRDefault="00096478" w:rsidP="00E5604A">
      <w:pPr>
        <w:pStyle w:val="RKnormal"/>
      </w:pPr>
      <w:r>
        <w:t xml:space="preserve">Något dokument för behandling i rådet har inte presenterats. </w:t>
      </w:r>
    </w:p>
    <w:p w:rsidR="00096478" w:rsidRDefault="00096478" w:rsidP="00E5604A">
      <w:pPr>
        <w:pStyle w:val="RKnormal"/>
      </w:pPr>
    </w:p>
    <w:p w:rsidR="00096478" w:rsidRPr="00C42F0A" w:rsidRDefault="00096478" w:rsidP="00E5604A">
      <w:pPr>
        <w:pStyle w:val="RKnormal"/>
        <w:rPr>
          <w:i/>
        </w:rPr>
      </w:pPr>
      <w:r w:rsidRPr="00C42F0A">
        <w:rPr>
          <w:i/>
        </w:rPr>
        <w:t>Tidigare behandling i EU-nämnden och riksdagsutskotten</w:t>
      </w:r>
    </w:p>
    <w:p w:rsidR="00096478" w:rsidRDefault="00096478" w:rsidP="00E5604A">
      <w:pPr>
        <w:pStyle w:val="RKnormal"/>
      </w:pPr>
      <w:r>
        <w:t xml:space="preserve">Frågan om förhandlingarna mellan EU och Europarådet om anslutningen till Europakonventionen behandlades i nämnden den 8 juni och den 9 december 2011, den 20 april och den 30 november 2012 samt den 31 maj 2013. Konstitutionsutskottet har informerats om förhandlingarna den 11 november 2010 samt den 16 februari och den 20 november 2012. Justitieutskottet har informerats den 9 december 2010, den 8 december 2011 och den 19 april 2012. Frågan om rådets beslut om förhandlingsmandatet har behandlats tidigare i EU-nämnden den 19 februari, 16 april och 28 maj 2010, i justitieutskottet den 18 mars 2010 och i konstitutionsutskottet den 20 maj 2010. </w:t>
      </w:r>
    </w:p>
    <w:p w:rsidR="00096478" w:rsidRDefault="00096478" w:rsidP="00E5604A">
      <w:pPr>
        <w:pStyle w:val="RKnormal"/>
      </w:pPr>
    </w:p>
    <w:p w:rsidR="00096478" w:rsidRDefault="00096478" w:rsidP="00E5604A">
      <w:pPr>
        <w:pStyle w:val="RKnormal"/>
      </w:pPr>
    </w:p>
    <w:p w:rsidR="00096478" w:rsidRDefault="00096478" w:rsidP="00E5604A">
      <w:pPr>
        <w:pStyle w:val="RKnormal"/>
      </w:pPr>
    </w:p>
    <w:p w:rsidR="00096478" w:rsidRPr="00C42F0A" w:rsidRDefault="00096478" w:rsidP="00E5604A">
      <w:pPr>
        <w:pStyle w:val="RKnormal"/>
        <w:rPr>
          <w:i/>
        </w:rPr>
      </w:pPr>
      <w:r w:rsidRPr="00C42F0A">
        <w:rPr>
          <w:i/>
        </w:rPr>
        <w:t xml:space="preserve">Bakgrund </w:t>
      </w:r>
    </w:p>
    <w:p w:rsidR="00096478" w:rsidRDefault="00096478" w:rsidP="00E5604A">
      <w:pPr>
        <w:pStyle w:val="RKnormal"/>
      </w:pPr>
      <w:r>
        <w:t>Genom Lissabonfördraget infördes en rättslig grund, och en skyldighet, för EU att ansluta sig till Europakonventionen. Anslutningsavtalet kräver Europapar</w:t>
      </w:r>
      <w:r>
        <w:softHyphen/>
        <w:t>lamentets god</w:t>
      </w:r>
      <w:r>
        <w:softHyphen/>
        <w:t>kännande. Vid rådets beslut om godkännande av avtalet krävs enhällighet. Det slutliga avtalet måste godkännas av samtliga medlemsstater enligt medlemsstaternas nationella konstitutionella bestämmelser. Det måste också godkännas av samtliga övriga parter till Europakonventionen.</w:t>
      </w:r>
    </w:p>
    <w:p w:rsidR="00096478" w:rsidRDefault="00096478" w:rsidP="00E5604A">
      <w:pPr>
        <w:pStyle w:val="RKnormal"/>
      </w:pPr>
    </w:p>
    <w:p w:rsidR="00096478" w:rsidRDefault="00096478" w:rsidP="00E5604A">
      <w:pPr>
        <w:pStyle w:val="RKnormal"/>
      </w:pPr>
      <w:r>
        <w:t>Rådet beslutade i juni 2010 ett mandat för kommissionen att inleda förhandlingar med Europarådet om ett anslutningsavtal. Förhandlingarna inleddes i juli 2010. Under hösten 2010 och under våren och sommaren 2011 ägde förhandlingar rum inom ramen för en informell arbetsgrupp under Europarådets Styrkommitté för mänskliga rättigheter (CDDH). Arbetsgruppen bestod av företrädare för sju medlemsstater och sju icke-medlemsstater. Kommissionen samrådde med och rapporterade till rådet inom ramen för en arbetsgrupp under rådet.</w:t>
      </w:r>
    </w:p>
    <w:p w:rsidR="00096478" w:rsidRDefault="00096478" w:rsidP="00E5604A">
      <w:pPr>
        <w:pStyle w:val="RKnormal"/>
      </w:pPr>
    </w:p>
    <w:p w:rsidR="00096478" w:rsidRDefault="00096478" w:rsidP="00E5604A">
      <w:pPr>
        <w:pStyle w:val="RKnormal"/>
      </w:pPr>
      <w:r>
        <w:t xml:space="preserve">I juni 2011 enades parterna på teknisk nivå om ett utkast till anslutningsavtal. Efter interna diskussioner om utkastet tog rådet ställning för en reviderad EU-position. Förhandlingarna med Europarådet återupptogs sommaren 2012 i en ny tillfälligt inrättad arbetsgrupp under CDDH bestående av Europarådets 47 medlemsstater och EU. Arbetsgruppen har sedan dess hållit fem förhandlingsmöten och i april 2013 nåddes en överenskommelse på förhandlarnivå mellan samtliga konventionsparter och EU om de texter som ska reglera EU:s anslutning till Europakonventionen. </w:t>
      </w:r>
    </w:p>
    <w:p w:rsidR="00096478" w:rsidRDefault="00096478" w:rsidP="00E5604A">
      <w:pPr>
        <w:pStyle w:val="RKnormal"/>
      </w:pPr>
    </w:p>
    <w:p w:rsidR="00096478" w:rsidRDefault="00096478" w:rsidP="00E5604A">
      <w:pPr>
        <w:pStyle w:val="RKnormal"/>
      </w:pPr>
      <w:r>
        <w:t xml:space="preserve">I juli 2013 begärde kommissionen att EU-domstolenskulle yttra sig över om det framförhandlade </w:t>
      </w:r>
      <w:r w:rsidRPr="00A719BF">
        <w:t>avta</w:t>
      </w:r>
      <w:r>
        <w:t>let är förenligt med EU-fördragen. Handläggningen och prövningen av begäran i domstolen kan förväntas ta cirka 9-12 månader, kanske längre.</w:t>
      </w:r>
      <w:r>
        <w:br/>
      </w:r>
    </w:p>
    <w:p w:rsidR="00096478" w:rsidRDefault="00096478" w:rsidP="00E5604A">
      <w:pPr>
        <w:pStyle w:val="RKnormal"/>
      </w:pPr>
      <w:r>
        <w:t xml:space="preserve">Parallellt med processen i EU-domstolen fortsätter arbetet med att ta fram EU-interna regler. Medan det i anslutningsavtalet anges hur det externa förhållandet mellan EU och Europarådet ska se ut, t.ex. när EU eller medlemsstaterna ska få träda in som medsvarande i ett mål samt hur EU ska delta i ministerkommitténs arbete och vilka röstningsregler som ska gälla då, ska de interna reglerna behandla unionsrättsliga frågor, som t.ex. hur ett EU-beslut om att inträda som medsvarande ska fattas. Diskussioner kring de EU-interna reglerna har hittills förts med utgångspunkt i arbetspapper som presenterats av ordförandeskapet och kommissionen. </w:t>
      </w:r>
    </w:p>
    <w:p w:rsidR="00096478" w:rsidRDefault="00096478" w:rsidP="00E5604A">
      <w:pPr>
        <w:pStyle w:val="RKnormal"/>
      </w:pPr>
    </w:p>
    <w:p w:rsidR="00096478" w:rsidRDefault="00096478" w:rsidP="00E5604A">
      <w:pPr>
        <w:pStyle w:val="RKnormal"/>
      </w:pPr>
      <w:r>
        <w:t xml:space="preserve">Europaparlamentet ska godkänna både anslutningsavtalet och de interna reglerna innan rådet enhälligt kan fatta beslut om ingående av avtalet. </w:t>
      </w:r>
    </w:p>
    <w:p w:rsidR="00096478" w:rsidRDefault="00096478" w:rsidP="00E5604A">
      <w:pPr>
        <w:pStyle w:val="RKnormal"/>
      </w:pPr>
    </w:p>
    <w:p w:rsidR="00096478" w:rsidRDefault="00096478" w:rsidP="00E5604A">
      <w:pPr>
        <w:pStyle w:val="RKnormal"/>
      </w:pPr>
      <w:r>
        <w:t>Eftersom avtalet innebär förändringar av bestämmelser i konventionen är det därefter också nödvändigt för samtliga nuvarande konventionsparter att underteckna och ratificera avtalet enligt nationella konstitutionella regler.</w:t>
      </w:r>
    </w:p>
    <w:p w:rsidR="00096478" w:rsidRDefault="00096478" w:rsidP="00E5604A">
      <w:pPr>
        <w:pStyle w:val="RKnormal"/>
      </w:pPr>
    </w:p>
    <w:p w:rsidR="00096478" w:rsidRDefault="00096478" w:rsidP="00E5604A">
      <w:pPr>
        <w:pStyle w:val="RKnormal"/>
      </w:pPr>
    </w:p>
    <w:p w:rsidR="00096478" w:rsidRPr="006E6657" w:rsidRDefault="00096478" w:rsidP="006E6657">
      <w:pPr>
        <w:rPr>
          <w:b/>
        </w:rPr>
      </w:pPr>
      <w:r>
        <w:rPr>
          <w:b/>
        </w:rPr>
        <w:t xml:space="preserve">22. </w:t>
      </w:r>
      <w:r w:rsidRPr="006E6657">
        <w:rPr>
          <w:b/>
        </w:rPr>
        <w:t>e-Juridik</w:t>
      </w:r>
      <w:r>
        <w:rPr>
          <w:b/>
        </w:rPr>
        <w:t xml:space="preserve"> (Sr Ask)</w:t>
      </w:r>
    </w:p>
    <w:p w:rsidR="00096478" w:rsidRPr="006E6657" w:rsidRDefault="00096478" w:rsidP="006E6657">
      <w:pPr>
        <w:rPr>
          <w:b/>
        </w:rPr>
      </w:pPr>
      <w:r w:rsidRPr="006E6657">
        <w:rPr>
          <w:b/>
        </w:rPr>
        <w:t>a)</w:t>
      </w:r>
      <w:r w:rsidRPr="006E6657">
        <w:rPr>
          <w:b/>
        </w:rPr>
        <w:tab/>
        <w:t>Strategi för europeisk e-juridik 2014–2018</w:t>
      </w:r>
    </w:p>
    <w:p w:rsidR="00096478" w:rsidRPr="006E6657" w:rsidRDefault="00096478" w:rsidP="006E6657">
      <w:pPr>
        <w:rPr>
          <w:b/>
        </w:rPr>
      </w:pPr>
      <w:r w:rsidRPr="006E6657">
        <w:rPr>
          <w:b/>
        </w:rPr>
        <w:t>=</w:t>
      </w:r>
      <w:r w:rsidRPr="006E6657">
        <w:rPr>
          <w:b/>
        </w:rPr>
        <w:tab/>
        <w:t>Antagande</w:t>
      </w:r>
    </w:p>
    <w:p w:rsidR="00096478" w:rsidRPr="006E6657" w:rsidRDefault="00096478" w:rsidP="006E6657">
      <w:pPr>
        <w:rPr>
          <w:b/>
        </w:rPr>
      </w:pPr>
      <w:r w:rsidRPr="006E6657">
        <w:rPr>
          <w:b/>
        </w:rPr>
        <w:t>b)</w:t>
      </w:r>
      <w:r w:rsidRPr="006E6657">
        <w:rPr>
          <w:b/>
        </w:rPr>
        <w:tab/>
        <w:t>Arbete som gjorts under andra halvåret 2013</w:t>
      </w:r>
    </w:p>
    <w:p w:rsidR="00096478" w:rsidRDefault="00096478" w:rsidP="006E6657">
      <w:pPr>
        <w:rPr>
          <w:b/>
        </w:rPr>
      </w:pPr>
      <w:r w:rsidRPr="006E6657">
        <w:rPr>
          <w:b/>
        </w:rPr>
        <w:t>=</w:t>
      </w:r>
      <w:r w:rsidRPr="006E6657">
        <w:rPr>
          <w:b/>
        </w:rPr>
        <w:tab/>
        <w:t>Information från ordförandeskapet</w:t>
      </w:r>
    </w:p>
    <w:p w:rsidR="00096478" w:rsidRDefault="00096478" w:rsidP="006E6657">
      <w:pPr>
        <w:rPr>
          <w:b/>
        </w:rPr>
      </w:pPr>
    </w:p>
    <w:p w:rsidR="00096478" w:rsidRPr="00E5604A" w:rsidRDefault="00096478" w:rsidP="00E5604A">
      <w:pPr>
        <w:tabs>
          <w:tab w:val="left" w:pos="2835"/>
        </w:tabs>
        <w:spacing w:line="240" w:lineRule="atLeast"/>
        <w:rPr>
          <w:i/>
        </w:rPr>
      </w:pPr>
      <w:r w:rsidRPr="00E5604A">
        <w:rPr>
          <w:i/>
        </w:rPr>
        <w:t xml:space="preserve">Avsikten med behandlingen i rådet </w:t>
      </w:r>
    </w:p>
    <w:p w:rsidR="00096478" w:rsidRPr="00E5604A" w:rsidRDefault="00096478" w:rsidP="00E5604A">
      <w:pPr>
        <w:tabs>
          <w:tab w:val="left" w:pos="2835"/>
        </w:tabs>
        <w:spacing w:line="240" w:lineRule="atLeast"/>
      </w:pPr>
      <w:r w:rsidRPr="00E5604A">
        <w:t xml:space="preserve">Rådet </w:t>
      </w:r>
      <w:r>
        <w:t xml:space="preserve">ska </w:t>
      </w:r>
    </w:p>
    <w:p w:rsidR="00096478" w:rsidRPr="00E5604A" w:rsidRDefault="00096478" w:rsidP="00E5604A">
      <w:pPr>
        <w:pStyle w:val="ListParagraph"/>
        <w:numPr>
          <w:ilvl w:val="0"/>
          <w:numId w:val="11"/>
        </w:numPr>
        <w:tabs>
          <w:tab w:val="left" w:pos="2835"/>
        </w:tabs>
        <w:spacing w:line="240" w:lineRule="atLeast"/>
        <w:textAlignment w:val="baseline"/>
      </w:pPr>
      <w:r w:rsidRPr="00E5604A">
        <w:t xml:space="preserve">godkänna strategin för europeisk e-juridik 2014-2018 </w:t>
      </w:r>
    </w:p>
    <w:p w:rsidR="00096478" w:rsidRPr="00E5604A" w:rsidRDefault="00096478" w:rsidP="00E5604A">
      <w:pPr>
        <w:pStyle w:val="ListParagraph"/>
        <w:numPr>
          <w:ilvl w:val="0"/>
          <w:numId w:val="11"/>
        </w:numPr>
        <w:tabs>
          <w:tab w:val="left" w:pos="2835"/>
        </w:tabs>
        <w:spacing w:line="240" w:lineRule="atLeast"/>
        <w:textAlignment w:val="baseline"/>
      </w:pPr>
      <w:r w:rsidRPr="00E5604A">
        <w:t>notera det arbete som rådsarbetsgruppen slutfört under andra halvåret av 2013.</w:t>
      </w:r>
    </w:p>
    <w:p w:rsidR="00096478" w:rsidRPr="00E5604A" w:rsidRDefault="00096478" w:rsidP="00E5604A">
      <w:pPr>
        <w:pStyle w:val="ListParagraph"/>
        <w:tabs>
          <w:tab w:val="left" w:pos="2835"/>
        </w:tabs>
        <w:spacing w:line="240" w:lineRule="atLeast"/>
      </w:pPr>
    </w:p>
    <w:p w:rsidR="00096478" w:rsidRPr="00E5604A" w:rsidRDefault="00096478" w:rsidP="00E5604A">
      <w:pPr>
        <w:tabs>
          <w:tab w:val="left" w:pos="2835"/>
        </w:tabs>
        <w:spacing w:line="240" w:lineRule="atLeast"/>
        <w:rPr>
          <w:i/>
        </w:rPr>
      </w:pPr>
      <w:r w:rsidRPr="00E5604A">
        <w:rPr>
          <w:i/>
        </w:rPr>
        <w:t>Dokument</w:t>
      </w:r>
    </w:p>
    <w:p w:rsidR="00096478" w:rsidRPr="00E5604A" w:rsidRDefault="00096478" w:rsidP="00E5604A">
      <w:pPr>
        <w:pStyle w:val="ListParagraph"/>
        <w:numPr>
          <w:ilvl w:val="0"/>
          <w:numId w:val="12"/>
        </w:numPr>
        <w:tabs>
          <w:tab w:val="left" w:pos="2835"/>
        </w:tabs>
        <w:spacing w:line="240" w:lineRule="atLeast"/>
        <w:textAlignment w:val="baseline"/>
      </w:pPr>
      <w:r w:rsidRPr="00E5604A">
        <w:t>16458/13</w:t>
      </w:r>
      <w:r>
        <w:t xml:space="preserve"> (bifogas)</w:t>
      </w:r>
    </w:p>
    <w:p w:rsidR="00096478" w:rsidRPr="00E5604A" w:rsidRDefault="00096478" w:rsidP="00E5604A">
      <w:pPr>
        <w:pStyle w:val="ListParagraph"/>
        <w:numPr>
          <w:ilvl w:val="0"/>
          <w:numId w:val="12"/>
        </w:numPr>
        <w:tabs>
          <w:tab w:val="left" w:pos="2835"/>
        </w:tabs>
        <w:spacing w:line="240" w:lineRule="atLeast"/>
        <w:textAlignment w:val="baseline"/>
      </w:pPr>
      <w:r>
        <w:t>16269/13 (bifogas)</w:t>
      </w:r>
      <w:bookmarkStart w:id="0" w:name="_GoBack"/>
      <w:bookmarkEnd w:id="0"/>
    </w:p>
    <w:p w:rsidR="00096478" w:rsidRPr="00E5604A" w:rsidRDefault="00096478" w:rsidP="00E5604A">
      <w:pPr>
        <w:tabs>
          <w:tab w:val="left" w:pos="2835"/>
        </w:tabs>
        <w:spacing w:line="240" w:lineRule="atLeast"/>
      </w:pPr>
    </w:p>
    <w:p w:rsidR="00096478" w:rsidRPr="00E5604A" w:rsidRDefault="00096478" w:rsidP="00E5604A">
      <w:pPr>
        <w:tabs>
          <w:tab w:val="left" w:pos="2835"/>
        </w:tabs>
        <w:spacing w:line="240" w:lineRule="atLeast"/>
        <w:rPr>
          <w:i/>
        </w:rPr>
      </w:pPr>
      <w:r w:rsidRPr="00E5604A">
        <w:rPr>
          <w:i/>
        </w:rPr>
        <w:t>Tidigare dokument</w:t>
      </w:r>
    </w:p>
    <w:p w:rsidR="00096478" w:rsidRPr="00E5604A" w:rsidRDefault="00096478" w:rsidP="00E5604A">
      <w:pPr>
        <w:tabs>
          <w:tab w:val="left" w:pos="2835"/>
        </w:tabs>
        <w:spacing w:line="240" w:lineRule="atLeast"/>
      </w:pPr>
      <w:r w:rsidRPr="00E5604A">
        <w:t>Halvårsrapport VT 2013 (dok. 8830/1/13).</w:t>
      </w:r>
    </w:p>
    <w:p w:rsidR="00096478" w:rsidRPr="00E5604A" w:rsidRDefault="00096478" w:rsidP="00E5604A">
      <w:pPr>
        <w:tabs>
          <w:tab w:val="left" w:pos="2835"/>
        </w:tabs>
        <w:spacing w:line="240" w:lineRule="atLeast"/>
      </w:pPr>
    </w:p>
    <w:p w:rsidR="00096478" w:rsidRPr="00E5604A" w:rsidRDefault="00096478" w:rsidP="00E5604A">
      <w:pPr>
        <w:tabs>
          <w:tab w:val="left" w:pos="2835"/>
        </w:tabs>
        <w:spacing w:line="240" w:lineRule="atLeast"/>
        <w:rPr>
          <w:i/>
        </w:rPr>
      </w:pPr>
      <w:r w:rsidRPr="00E5604A">
        <w:rPr>
          <w:i/>
        </w:rPr>
        <w:t>Tidigare behandling i EU-nämnden</w:t>
      </w:r>
    </w:p>
    <w:p w:rsidR="00096478" w:rsidRPr="00E5604A" w:rsidRDefault="00096478" w:rsidP="00E5604A">
      <w:pPr>
        <w:tabs>
          <w:tab w:val="left" w:pos="2835"/>
        </w:tabs>
        <w:spacing w:line="240" w:lineRule="atLeast"/>
      </w:pPr>
      <w:r w:rsidRPr="00E5604A">
        <w:t xml:space="preserve">Inför RIF-rådet </w:t>
      </w:r>
      <w:r>
        <w:t xml:space="preserve">den </w:t>
      </w:r>
      <w:r w:rsidRPr="00E5604A">
        <w:t>6-7 juni 2013.</w:t>
      </w:r>
    </w:p>
    <w:p w:rsidR="00096478" w:rsidRPr="00E5604A" w:rsidRDefault="00096478" w:rsidP="00E5604A">
      <w:pPr>
        <w:tabs>
          <w:tab w:val="left" w:pos="2835"/>
        </w:tabs>
        <w:spacing w:line="240" w:lineRule="atLeast"/>
      </w:pPr>
    </w:p>
    <w:p w:rsidR="00096478" w:rsidRPr="00E5604A" w:rsidRDefault="00096478" w:rsidP="00E5604A">
      <w:pPr>
        <w:tabs>
          <w:tab w:val="left" w:pos="2835"/>
        </w:tabs>
        <w:spacing w:line="240" w:lineRule="atLeast"/>
        <w:rPr>
          <w:i/>
        </w:rPr>
      </w:pPr>
      <w:r w:rsidRPr="00E5604A">
        <w:rPr>
          <w:i/>
        </w:rPr>
        <w:t>Bakgrund</w:t>
      </w:r>
    </w:p>
    <w:p w:rsidR="00096478" w:rsidRPr="00E5604A" w:rsidRDefault="00096478" w:rsidP="00E5604A">
      <w:pPr>
        <w:rPr>
          <w:bCs/>
        </w:rPr>
      </w:pPr>
      <w:r w:rsidRPr="00E5604A">
        <w:t>2008 antog rådet en handlingsplan för e-Justice som sträcker sig till år 2013. Syftet med handlingsplanen är att förbättra tillgången till information om nationella rättsliga förfaranden och till vissa nationella register via en webbplats (e-Juridikportalen). På webbplatsen, som kontinuerligt utvecklas, publiceras information som medlemsstaterna kommit överens om. Rådsarbetsgruppen för e-Justice har till uppgift att samordna och genomföra målen i handlingsplanen. Ett nytt dokument har nu arbetats fram som innehåller strategiska riktlinjer för samarbetet 2014-2018. Strategin</w:t>
      </w:r>
      <w:r w:rsidRPr="00E5604A">
        <w:rPr>
          <w:bCs/>
        </w:rPr>
        <w:t xml:space="preserve"> förväntas godkännas av rådet i december.</w:t>
      </w:r>
    </w:p>
    <w:p w:rsidR="00096478" w:rsidRPr="00E5604A" w:rsidRDefault="00096478" w:rsidP="00E5604A">
      <w:pPr>
        <w:rPr>
          <w:bCs/>
        </w:rPr>
      </w:pPr>
    </w:p>
    <w:p w:rsidR="00096478" w:rsidRPr="00E5604A" w:rsidRDefault="00096478" w:rsidP="00E5604A">
      <w:pPr>
        <w:tabs>
          <w:tab w:val="left" w:pos="2835"/>
        </w:tabs>
        <w:spacing w:line="240" w:lineRule="atLeast"/>
        <w:rPr>
          <w:i/>
        </w:rPr>
      </w:pPr>
      <w:r w:rsidRPr="00E5604A">
        <w:rPr>
          <w:i/>
        </w:rPr>
        <w:t>Svensk ståndpunkt</w:t>
      </w:r>
    </w:p>
    <w:p w:rsidR="00096478" w:rsidRPr="002338BD" w:rsidRDefault="00096478" w:rsidP="00E5604A">
      <w:pPr>
        <w:tabs>
          <w:tab w:val="left" w:pos="2835"/>
        </w:tabs>
        <w:spacing w:line="240" w:lineRule="atLeast"/>
      </w:pPr>
      <w:r w:rsidRPr="00D00322">
        <w:t xml:space="preserve">Sverige </w:t>
      </w:r>
      <w:r>
        <w:t>kan godkänna den föreslagna strategin och ställa sig bakom den aktuella lägesrapporten</w:t>
      </w:r>
      <w:r w:rsidRPr="00D00322">
        <w:t xml:space="preserve">. </w:t>
      </w:r>
    </w:p>
    <w:p w:rsidR="00096478" w:rsidRDefault="00096478" w:rsidP="006E6657">
      <w:pPr>
        <w:rPr>
          <w:b/>
        </w:rPr>
      </w:pPr>
    </w:p>
    <w:p w:rsidR="00096478" w:rsidRDefault="00096478" w:rsidP="006E6657">
      <w:pPr>
        <w:rPr>
          <w:b/>
        </w:rPr>
      </w:pPr>
    </w:p>
    <w:p w:rsidR="00096478" w:rsidRDefault="00096478" w:rsidP="006E6657">
      <w:pPr>
        <w:rPr>
          <w:b/>
        </w:rPr>
      </w:pPr>
    </w:p>
    <w:p w:rsidR="00096478" w:rsidRDefault="00096478" w:rsidP="006E6657">
      <w:pPr>
        <w:rPr>
          <w:b/>
        </w:rPr>
      </w:pPr>
    </w:p>
    <w:p w:rsidR="00096478" w:rsidRPr="006E6657" w:rsidRDefault="00096478" w:rsidP="006E6657">
      <w:pPr>
        <w:rPr>
          <w:b/>
        </w:rPr>
      </w:pPr>
      <w:r>
        <w:rPr>
          <w:b/>
        </w:rPr>
        <w:t xml:space="preserve">23. </w:t>
      </w:r>
      <w:r w:rsidRPr="006E6657">
        <w:rPr>
          <w:b/>
        </w:rPr>
        <w:t>Den framtida utvecklingen på RIF-området</w:t>
      </w:r>
      <w:r>
        <w:rPr>
          <w:b/>
        </w:rPr>
        <w:t xml:space="preserve"> (Sr Ask)</w:t>
      </w:r>
    </w:p>
    <w:p w:rsidR="00096478" w:rsidRDefault="00096478" w:rsidP="006E6657">
      <w:pPr>
        <w:rPr>
          <w:b/>
          <w:iCs/>
        </w:rPr>
      </w:pPr>
    </w:p>
    <w:p w:rsidR="00096478" w:rsidRDefault="00096478" w:rsidP="006E6657">
      <w:pPr>
        <w:rPr>
          <w:iCs/>
        </w:rPr>
      </w:pPr>
      <w:r w:rsidRPr="00715F3D">
        <w:rPr>
          <w:iCs/>
        </w:rPr>
        <w:t>Se rådets dagordning, punkten 9.</w:t>
      </w:r>
    </w:p>
    <w:p w:rsidR="00096478" w:rsidRDefault="00096478" w:rsidP="006E6657">
      <w:pPr>
        <w:rPr>
          <w:iCs/>
        </w:rPr>
      </w:pPr>
    </w:p>
    <w:p w:rsidR="00096478" w:rsidRDefault="00096478" w:rsidP="006E6657">
      <w:pPr>
        <w:rPr>
          <w:iCs/>
        </w:rPr>
      </w:pPr>
    </w:p>
    <w:p w:rsidR="00096478" w:rsidRDefault="00096478" w:rsidP="006E6657">
      <w:pPr>
        <w:rPr>
          <w:b/>
          <w:iCs/>
        </w:rPr>
      </w:pPr>
      <w:r>
        <w:rPr>
          <w:b/>
          <w:iCs/>
        </w:rPr>
        <w:t xml:space="preserve">24. </w:t>
      </w:r>
      <w:r w:rsidRPr="006E6657">
        <w:rPr>
          <w:b/>
          <w:iCs/>
        </w:rPr>
        <w:t>Övriga frågor</w:t>
      </w:r>
      <w:r>
        <w:rPr>
          <w:b/>
          <w:iCs/>
        </w:rPr>
        <w:t xml:space="preserve"> (Sr Ask)</w:t>
      </w:r>
    </w:p>
    <w:p w:rsidR="00096478" w:rsidRPr="006E6657" w:rsidRDefault="00096478" w:rsidP="006E6657">
      <w:pPr>
        <w:rPr>
          <w:b/>
          <w:iCs/>
        </w:rPr>
      </w:pPr>
    </w:p>
    <w:p w:rsidR="00096478" w:rsidRPr="00C64ED1" w:rsidRDefault="00096478" w:rsidP="00C64ED1">
      <w:pPr>
        <w:rPr>
          <w:b/>
        </w:rPr>
      </w:pPr>
      <w:r w:rsidRPr="00C64ED1">
        <w:rPr>
          <w:b/>
        </w:rPr>
        <w:t>a)Resultatet av ministermötet mellan EU och USA om rättsliga och inrikes frågor</w:t>
      </w:r>
    </w:p>
    <w:p w:rsidR="00096478" w:rsidRPr="006E6657" w:rsidRDefault="00096478" w:rsidP="006E6657">
      <w:pPr>
        <w:rPr>
          <w:b/>
        </w:rPr>
      </w:pPr>
      <w:r w:rsidRPr="006E6657">
        <w:rPr>
          <w:b/>
        </w:rPr>
        <w:t>–</w:t>
      </w:r>
      <w:r w:rsidRPr="006E6657">
        <w:rPr>
          <w:b/>
        </w:rPr>
        <w:tab/>
        <w:t>Information från ordförandeskapet</w:t>
      </w:r>
    </w:p>
    <w:p w:rsidR="00096478" w:rsidRDefault="00096478" w:rsidP="006E6657">
      <w:pPr>
        <w:rPr>
          <w:b/>
        </w:rPr>
      </w:pPr>
    </w:p>
    <w:p w:rsidR="00096478" w:rsidRPr="00715F3D" w:rsidRDefault="00096478" w:rsidP="006E6657">
      <w:r w:rsidRPr="00715F3D">
        <w:t>Se rådets dagordning, punkten 10.</w:t>
      </w:r>
    </w:p>
    <w:p w:rsidR="00096478" w:rsidRDefault="00096478" w:rsidP="006E6657">
      <w:pPr>
        <w:rPr>
          <w:b/>
        </w:rPr>
      </w:pPr>
    </w:p>
    <w:p w:rsidR="00096478" w:rsidRDefault="00096478" w:rsidP="006E6657">
      <w:pPr>
        <w:rPr>
          <w:b/>
        </w:rPr>
      </w:pPr>
    </w:p>
    <w:p w:rsidR="00096478" w:rsidRPr="00C64ED1" w:rsidRDefault="00096478" w:rsidP="00C64ED1">
      <w:pPr>
        <w:rPr>
          <w:b/>
        </w:rPr>
      </w:pPr>
      <w:r>
        <w:rPr>
          <w:b/>
        </w:rPr>
        <w:t xml:space="preserve">b) </w:t>
      </w:r>
      <w:r w:rsidRPr="00C64ED1">
        <w:rPr>
          <w:b/>
        </w:rPr>
        <w:t>Föredragning av Grekland om det tillträdande ordförandeskapets program (januari–juni 2014)</w:t>
      </w:r>
    </w:p>
    <w:p w:rsidR="00096478" w:rsidRPr="006E6657" w:rsidRDefault="00096478" w:rsidP="006E6657">
      <w:pPr>
        <w:rPr>
          <w:b/>
        </w:rPr>
      </w:pPr>
    </w:p>
    <w:p w:rsidR="00096478" w:rsidRPr="006E6657" w:rsidRDefault="00096478" w:rsidP="006E6657">
      <w:pPr>
        <w:rPr>
          <w:i/>
        </w:rPr>
      </w:pPr>
      <w:r w:rsidRPr="006E6657">
        <w:rPr>
          <w:i/>
        </w:rPr>
        <w:t>Avsikten med behandlingen i rådet</w:t>
      </w:r>
    </w:p>
    <w:p w:rsidR="00096478" w:rsidRPr="006E6657" w:rsidRDefault="00096478" w:rsidP="006E6657">
      <w:r w:rsidRPr="006E6657">
        <w:t>Information</w:t>
      </w:r>
    </w:p>
    <w:p w:rsidR="00096478" w:rsidRPr="006E6657" w:rsidRDefault="00096478" w:rsidP="006E6657"/>
    <w:p w:rsidR="00096478" w:rsidRPr="006E6657" w:rsidRDefault="00096478" w:rsidP="006E6657">
      <w:r w:rsidRPr="006E6657">
        <w:rPr>
          <w:i/>
        </w:rPr>
        <w:t>Dokument:</w:t>
      </w:r>
      <w:r w:rsidRPr="006E6657">
        <w:t xml:space="preserve"> det tillträdande ordförandeskapets program har ännu inte presenterats.</w:t>
      </w:r>
    </w:p>
    <w:p w:rsidR="00096478" w:rsidRPr="006E6657" w:rsidRDefault="00096478" w:rsidP="006E6657"/>
    <w:p w:rsidR="00096478" w:rsidRPr="006E6657" w:rsidRDefault="00096478" w:rsidP="006E6657">
      <w:pPr>
        <w:rPr>
          <w:i/>
        </w:rPr>
      </w:pPr>
      <w:r w:rsidRPr="006E6657">
        <w:rPr>
          <w:i/>
        </w:rPr>
        <w:t>Bakgrund</w:t>
      </w:r>
    </w:p>
    <w:p w:rsidR="00096478" w:rsidRPr="006E6657" w:rsidRDefault="00096478" w:rsidP="006E6657">
      <w:r w:rsidRPr="006E6657">
        <w:t xml:space="preserve">Det tillträdande ordförandeskapet </w:t>
      </w:r>
      <w:r>
        <w:t>Grekland</w:t>
      </w:r>
      <w:r w:rsidRPr="006E6657">
        <w:t xml:space="preserve"> kommer att presentera sitt program för perioden </w:t>
      </w:r>
      <w:r>
        <w:t>januari-juni 2014</w:t>
      </w:r>
      <w:r w:rsidRPr="006E6657">
        <w:t xml:space="preserve">. </w:t>
      </w:r>
    </w:p>
    <w:p w:rsidR="00096478" w:rsidRDefault="00096478" w:rsidP="006E6657">
      <w:pPr>
        <w:rPr>
          <w:b/>
        </w:rPr>
      </w:pPr>
    </w:p>
    <w:p w:rsidR="00096478" w:rsidRPr="006E6657" w:rsidRDefault="00096478" w:rsidP="006E6657">
      <w:pPr>
        <w:rPr>
          <w:b/>
        </w:rPr>
      </w:pPr>
    </w:p>
    <w:p w:rsidR="00096478" w:rsidRPr="00C64ED1" w:rsidRDefault="00096478" w:rsidP="00C64ED1">
      <w:pPr>
        <w:rPr>
          <w:b/>
        </w:rPr>
      </w:pPr>
      <w:r w:rsidRPr="00C64ED1">
        <w:rPr>
          <w:b/>
        </w:rPr>
        <w:t>c)(ev.) FN:s konvention om rättigheter för personer med funktionsnedsättning</w:t>
      </w:r>
    </w:p>
    <w:p w:rsidR="00096478" w:rsidRPr="002D49FC" w:rsidRDefault="00096478" w:rsidP="00D71F9D">
      <w:pPr>
        <w:rPr>
          <w:b/>
        </w:rPr>
      </w:pPr>
      <w:r w:rsidRPr="006E6657">
        <w:rPr>
          <w:b/>
        </w:rPr>
        <w:t>–</w:t>
      </w:r>
      <w:r w:rsidRPr="006E6657">
        <w:rPr>
          <w:b/>
        </w:rPr>
        <w:tab/>
        <w:t>Information från kommissionen om den sjätte EU-rapporten från högnivågruppen för frågor som rör funktionshinder</w:t>
      </w:r>
    </w:p>
    <w:p w:rsidR="00096478" w:rsidRDefault="00096478" w:rsidP="00D71F9D"/>
    <w:p w:rsidR="00096478" w:rsidRDefault="00096478" w:rsidP="00D71F9D">
      <w:pPr>
        <w:rPr>
          <w:i/>
        </w:rPr>
      </w:pPr>
      <w:r>
        <w:rPr>
          <w:i/>
        </w:rPr>
        <w:t>Avsikten med behandlingen i rådet</w:t>
      </w:r>
    </w:p>
    <w:p w:rsidR="00096478" w:rsidRPr="002D49FC" w:rsidRDefault="00096478" w:rsidP="00D71F9D">
      <w:r w:rsidRPr="002D49FC">
        <w:t>Information från kommissionen</w:t>
      </w:r>
    </w:p>
    <w:p w:rsidR="00096478" w:rsidRDefault="00096478" w:rsidP="00D71F9D">
      <w:pPr>
        <w:rPr>
          <w:i/>
        </w:rPr>
      </w:pPr>
    </w:p>
    <w:p w:rsidR="00096478" w:rsidRPr="00633F04" w:rsidRDefault="00096478" w:rsidP="00D71F9D">
      <w:r>
        <w:rPr>
          <w:i/>
        </w:rPr>
        <w:t xml:space="preserve">Dokument: </w:t>
      </w:r>
      <w:r w:rsidRPr="00633F04">
        <w:t>Det har ännu inte presenterats något dokument för behandlingen i rådet.</w:t>
      </w:r>
    </w:p>
    <w:p w:rsidR="00096478" w:rsidRDefault="00096478" w:rsidP="00D71F9D">
      <w:pPr>
        <w:rPr>
          <w:i/>
        </w:rPr>
      </w:pPr>
    </w:p>
    <w:p w:rsidR="00096478" w:rsidRPr="002D49FC" w:rsidRDefault="00096478" w:rsidP="00D71F9D">
      <w:pPr>
        <w:rPr>
          <w:i/>
        </w:rPr>
      </w:pPr>
      <w:r w:rsidRPr="002D49FC">
        <w:rPr>
          <w:i/>
        </w:rPr>
        <w:t>Bakgrund</w:t>
      </w:r>
    </w:p>
    <w:p w:rsidR="00096478" w:rsidRDefault="00096478" w:rsidP="00D71F9D">
      <w:r>
        <w:t xml:space="preserve">Syftet med den årliga rapporten från EU:s Högnivågrupp om funktionshinder är att rapportera om hur FN:s konvention om rättigheter för personer med funktionsnedsättning implementeras i EU:s medlemsländer. </w:t>
      </w:r>
    </w:p>
    <w:p w:rsidR="00096478" w:rsidRDefault="00096478" w:rsidP="00D71F9D"/>
    <w:p w:rsidR="00096478" w:rsidRDefault="00096478" w:rsidP="00D71F9D">
      <w:r>
        <w:t>Den 6:e Högnivårapporten om implementeringen av konventionen inriktas speciellt mot temat funktionshinder och utvecklingspolitik och om hur medlemsstaterna och EU implementerar Artikel 32 i konventionen om internationellt samarbete.  </w:t>
      </w:r>
    </w:p>
    <w:p w:rsidR="00096478" w:rsidRDefault="00096478" w:rsidP="006E6657">
      <w:pPr>
        <w:rPr>
          <w:b/>
          <w:snapToGrid w:val="0"/>
        </w:rPr>
      </w:pPr>
    </w:p>
    <w:p w:rsidR="00096478" w:rsidRDefault="00096478" w:rsidP="006E6657">
      <w:pPr>
        <w:rPr>
          <w:b/>
          <w:snapToGrid w:val="0"/>
        </w:rPr>
      </w:pPr>
    </w:p>
    <w:p w:rsidR="00096478" w:rsidRDefault="00096478" w:rsidP="006E6657">
      <w:pPr>
        <w:rPr>
          <w:b/>
          <w:snapToGrid w:val="0"/>
        </w:rPr>
      </w:pPr>
    </w:p>
    <w:p w:rsidR="00096478" w:rsidRPr="006E6657" w:rsidRDefault="00096478" w:rsidP="006E6657">
      <w:pPr>
        <w:rPr>
          <w:b/>
          <w:bCs/>
        </w:rPr>
      </w:pPr>
      <w:r w:rsidRPr="006E6657">
        <w:rPr>
          <w:b/>
          <w:bCs/>
        </w:rPr>
        <w:t>GEMENSAMMA KOMMITTÉN PÅ MINISTERNIVÅ</w:t>
      </w:r>
    </w:p>
    <w:p w:rsidR="00096478" w:rsidRDefault="00096478" w:rsidP="006E6657">
      <w:pPr>
        <w:rPr>
          <w:b/>
        </w:rPr>
      </w:pPr>
    </w:p>
    <w:p w:rsidR="00096478" w:rsidRPr="006E6657" w:rsidRDefault="00096478" w:rsidP="006E6657">
      <w:pPr>
        <w:rPr>
          <w:b/>
          <w:color w:val="000000"/>
        </w:rPr>
      </w:pPr>
      <w:r>
        <w:rPr>
          <w:b/>
        </w:rPr>
        <w:t xml:space="preserve">1. </w:t>
      </w:r>
      <w:r w:rsidRPr="006E6657">
        <w:rPr>
          <w:b/>
        </w:rPr>
        <w:t>Utkast till rådets beslut om ramen för den fullständiga tillämpningen av bestämmelserna i Schengenregelverket i Republiken Bulgarien och Rumänien</w:t>
      </w:r>
      <w:r>
        <w:rPr>
          <w:b/>
        </w:rPr>
        <w:t xml:space="preserve"> (Sr Ask)</w:t>
      </w:r>
    </w:p>
    <w:p w:rsidR="00096478" w:rsidRPr="006E6657" w:rsidRDefault="00096478" w:rsidP="006E6657">
      <w:pPr>
        <w:rPr>
          <w:b/>
        </w:rPr>
      </w:pPr>
      <w:r w:rsidRPr="006E6657">
        <w:rPr>
          <w:b/>
        </w:rPr>
        <w:t>=</w:t>
      </w:r>
      <w:r w:rsidRPr="006E6657">
        <w:rPr>
          <w:b/>
        </w:rPr>
        <w:tab/>
        <w:t>Riktlinjedebatt</w:t>
      </w:r>
    </w:p>
    <w:p w:rsidR="00096478" w:rsidRDefault="00096478" w:rsidP="0028683D">
      <w:pPr>
        <w:pStyle w:val="RKnormal"/>
      </w:pPr>
    </w:p>
    <w:p w:rsidR="00096478" w:rsidRPr="00715F3D" w:rsidRDefault="00096478" w:rsidP="006E6657">
      <w:r>
        <w:t>Se rådets dagordning, punkten 7.</w:t>
      </w:r>
    </w:p>
    <w:p w:rsidR="00096478" w:rsidRDefault="00096478" w:rsidP="006E6657">
      <w:pPr>
        <w:rPr>
          <w:b/>
        </w:rPr>
      </w:pPr>
    </w:p>
    <w:p w:rsidR="00096478" w:rsidRDefault="00096478" w:rsidP="006E6657">
      <w:pPr>
        <w:rPr>
          <w:b/>
        </w:rPr>
      </w:pPr>
    </w:p>
    <w:p w:rsidR="00096478" w:rsidRPr="006E6657" w:rsidRDefault="00096478" w:rsidP="006E6657">
      <w:pPr>
        <w:rPr>
          <w:b/>
        </w:rPr>
      </w:pPr>
      <w:r>
        <w:rPr>
          <w:b/>
        </w:rPr>
        <w:t xml:space="preserve">2. </w:t>
      </w:r>
      <w:r w:rsidRPr="006E6657">
        <w:rPr>
          <w:b/>
        </w:rPr>
        <w:t>Situationen i Schengenområdet</w:t>
      </w:r>
      <w:r>
        <w:rPr>
          <w:b/>
        </w:rPr>
        <w:t xml:space="preserve"> (Sr Ask)</w:t>
      </w:r>
    </w:p>
    <w:p w:rsidR="00096478" w:rsidRPr="006E6657" w:rsidRDefault="00096478" w:rsidP="006E6657">
      <w:pPr>
        <w:rPr>
          <w:b/>
        </w:rPr>
      </w:pPr>
      <w:r w:rsidRPr="006E6657">
        <w:rPr>
          <w:b/>
        </w:rPr>
        <w:t>Halvårsrapport från kommissionen till Europaparlamentet och rådet om Schengenområdets funktion (1 maj–31 oktober 2013)</w:t>
      </w:r>
    </w:p>
    <w:p w:rsidR="00096478" w:rsidRDefault="00096478" w:rsidP="00E72B33">
      <w:pPr>
        <w:rPr>
          <w:b/>
        </w:rPr>
      </w:pPr>
      <w:r w:rsidRPr="006E6657">
        <w:rPr>
          <w:b/>
        </w:rPr>
        <w:t>=</w:t>
      </w:r>
      <w:r w:rsidRPr="006E6657">
        <w:rPr>
          <w:b/>
        </w:rPr>
        <w:tab/>
        <w:t>Föredragning och riktlinjedebatt</w:t>
      </w:r>
    </w:p>
    <w:p w:rsidR="00096478" w:rsidRDefault="00096478" w:rsidP="00E72B33">
      <w:pPr>
        <w:rPr>
          <w:b/>
        </w:rPr>
      </w:pPr>
    </w:p>
    <w:p w:rsidR="00096478" w:rsidRPr="00E72B33" w:rsidRDefault="00096478" w:rsidP="00E72B33">
      <w:pPr>
        <w:rPr>
          <w:i/>
        </w:rPr>
      </w:pPr>
      <w:r w:rsidRPr="00E72B33">
        <w:rPr>
          <w:i/>
        </w:rPr>
        <w:t>Avsikten med behandlingen i rådet</w:t>
      </w:r>
    </w:p>
    <w:p w:rsidR="00096478" w:rsidRDefault="00096478" w:rsidP="0028683D">
      <w:pPr>
        <w:pStyle w:val="RKnormal"/>
      </w:pPr>
      <w:r>
        <w:t xml:space="preserve">Debatt om relevanta Schengenfrågor. </w:t>
      </w:r>
    </w:p>
    <w:p w:rsidR="00096478" w:rsidRDefault="00096478" w:rsidP="0028683D">
      <w:pPr>
        <w:pStyle w:val="RKnormal"/>
      </w:pPr>
    </w:p>
    <w:p w:rsidR="00096478" w:rsidRPr="00E72B33" w:rsidRDefault="00096478" w:rsidP="00E72B33">
      <w:pPr>
        <w:pStyle w:val="RKnormal"/>
        <w:rPr>
          <w:i/>
        </w:rPr>
      </w:pPr>
      <w:r w:rsidRPr="00E72B33">
        <w:rPr>
          <w:i/>
        </w:rPr>
        <w:t>Bakgrund</w:t>
      </w:r>
    </w:p>
    <w:p w:rsidR="00096478" w:rsidRDefault="00096478" w:rsidP="00E72B33">
      <w:pPr>
        <w:pStyle w:val="RKnormal"/>
      </w:pPr>
      <w:r>
        <w:t xml:space="preserve">Som en reaktion på ett antal Schengenrelaterade incidenter under framför allt våren 2011 uppmanade Europeiska rådet i juni 2011 kommissionen att presentera lagförslag om en förstärkt Schengenutvärderingsmekanism samt förordade att även styrningen (governance) av Schengenrelaterade frågor borde stärkas. </w:t>
      </w:r>
    </w:p>
    <w:p w:rsidR="00096478" w:rsidRDefault="00096478" w:rsidP="00E72B33">
      <w:pPr>
        <w:pStyle w:val="RKnormal"/>
      </w:pPr>
    </w:p>
    <w:p w:rsidR="00096478" w:rsidRDefault="00096478" w:rsidP="00E72B33">
      <w:pPr>
        <w:pStyle w:val="RKnormal"/>
      </w:pPr>
      <w:r>
        <w:t xml:space="preserve">För att stärka den politiska styrningen av Schengenfrågorna antogs rådsslutsatser vid rådet för rättsliga och inrikes frågor i mars 2012. Slutsatserna anger att rådet var sjätte månad – med början i juni 2012 – ska föra en debatt på ministernivå om relevanta Schengenfrågor. Debatten ska grundas på en rapport som tas fram av kommissionen inför varje diskussionstillfälle. Till mötet i december 2013 presenteras kommissionens fjärde rapport. </w:t>
      </w:r>
    </w:p>
    <w:p w:rsidR="00096478" w:rsidRDefault="00096478" w:rsidP="00E72B33">
      <w:pPr>
        <w:pStyle w:val="RKnormal"/>
        <w:rPr>
          <w:i/>
        </w:rPr>
      </w:pPr>
    </w:p>
    <w:p w:rsidR="00096478" w:rsidRPr="00E72B33" w:rsidRDefault="00096478" w:rsidP="00E72B33">
      <w:pPr>
        <w:pStyle w:val="RKnormal"/>
        <w:rPr>
          <w:i/>
        </w:rPr>
      </w:pPr>
      <w:r w:rsidRPr="00E72B33">
        <w:rPr>
          <w:i/>
        </w:rPr>
        <w:t>Svensk ståndpunkt</w:t>
      </w:r>
    </w:p>
    <w:p w:rsidR="00096478" w:rsidRDefault="00096478" w:rsidP="00E72B33">
      <w:pPr>
        <w:pStyle w:val="RKnormal"/>
      </w:pPr>
      <w:r>
        <w:t>Regeringens ståndpunkt är preliminär i väntan på att rapporten publiceras och innehållet blir känt. Om rapporten har samma uppbyggnad som den föregående versionen avser regeringen:</w:t>
      </w:r>
    </w:p>
    <w:p w:rsidR="00096478" w:rsidRDefault="00096478" w:rsidP="00E72B33">
      <w:pPr>
        <w:pStyle w:val="RKnormal"/>
        <w:numPr>
          <w:ilvl w:val="0"/>
          <w:numId w:val="2"/>
        </w:numPr>
        <w:tabs>
          <w:tab w:val="clear" w:pos="709"/>
        </w:tabs>
      </w:pPr>
      <w:r>
        <w:t xml:space="preserve">välkomna rapporten eftersom den innehåller värdefull information om läget och utgör ”motor” för den debatt om Schengenfrågor som ska hållas vid rådet, </w:t>
      </w:r>
    </w:p>
    <w:p w:rsidR="00096478" w:rsidRDefault="00096478" w:rsidP="00E72B33">
      <w:pPr>
        <w:pStyle w:val="RKnormal"/>
        <w:numPr>
          <w:ilvl w:val="0"/>
          <w:numId w:val="2"/>
        </w:numPr>
        <w:tabs>
          <w:tab w:val="clear" w:pos="709"/>
        </w:tabs>
      </w:pPr>
      <w:r>
        <w:t xml:space="preserve">framhålla att den fria rörligheten är en mycket stor framgång för EU. Samtidigt innebär rörligheten att bl.a. våra brottsbekämpande myndigheter ställs inför nya situationer. Det är viktigt att kommissionen fortsätter att stödja medlemsstaternas arbete och därmed minskar möjligheterna för kriminella att missbruka den fria rörligheten. </w:t>
      </w:r>
    </w:p>
    <w:p w:rsidR="00096478" w:rsidRDefault="00096478" w:rsidP="006E6657">
      <w:pPr>
        <w:rPr>
          <w:b/>
        </w:rPr>
      </w:pPr>
    </w:p>
    <w:p w:rsidR="00096478" w:rsidRDefault="00096478" w:rsidP="006E6657">
      <w:r w:rsidRPr="00E72B33">
        <w:t xml:space="preserve">Se vidare i </w:t>
      </w:r>
      <w:r w:rsidRPr="00E72B33">
        <w:rPr>
          <w:u w:val="single"/>
        </w:rPr>
        <w:t>bifogad promemoria</w:t>
      </w:r>
      <w:r w:rsidRPr="00E72B33">
        <w:t>.</w:t>
      </w:r>
    </w:p>
    <w:p w:rsidR="00096478" w:rsidRPr="00E72B33" w:rsidRDefault="00096478" w:rsidP="006E6657"/>
    <w:p w:rsidR="00096478" w:rsidRDefault="00096478" w:rsidP="006E6657">
      <w:pPr>
        <w:rPr>
          <w:b/>
        </w:rPr>
      </w:pPr>
    </w:p>
    <w:p w:rsidR="00096478" w:rsidRDefault="00096478" w:rsidP="006E6657">
      <w:pPr>
        <w:rPr>
          <w:b/>
        </w:rPr>
      </w:pPr>
      <w:r>
        <w:rPr>
          <w:b/>
        </w:rPr>
        <w:t xml:space="preserve">3. </w:t>
      </w:r>
      <w:r w:rsidRPr="006E6657">
        <w:rPr>
          <w:b/>
        </w:rPr>
        <w:t>Övriga frågor</w:t>
      </w:r>
      <w:r>
        <w:rPr>
          <w:b/>
        </w:rPr>
        <w:t xml:space="preserve"> (Sr Ask, Sr Billström)</w:t>
      </w:r>
    </w:p>
    <w:p w:rsidR="00096478" w:rsidRPr="006E6657" w:rsidRDefault="00096478" w:rsidP="006E6657">
      <w:pPr>
        <w:rPr>
          <w:b/>
        </w:rPr>
      </w:pPr>
    </w:p>
    <w:p w:rsidR="00096478" w:rsidRDefault="00096478" w:rsidP="006E6657">
      <w:pPr>
        <w:rPr>
          <w:b/>
        </w:rPr>
      </w:pPr>
      <w:r>
        <w:rPr>
          <w:b/>
        </w:rPr>
        <w:t xml:space="preserve">a) </w:t>
      </w:r>
      <w:r w:rsidRPr="006E6657">
        <w:rPr>
          <w:b/>
        </w:rPr>
        <w:t>Information från ordförandeskapet om aktuella lagstiftningsförslag</w:t>
      </w:r>
    </w:p>
    <w:p w:rsidR="00096478" w:rsidRDefault="00096478" w:rsidP="006E6657">
      <w:pPr>
        <w:rPr>
          <w:i/>
        </w:rPr>
      </w:pPr>
    </w:p>
    <w:p w:rsidR="00096478" w:rsidRPr="004E6101" w:rsidRDefault="00096478" w:rsidP="006E6657">
      <w:pPr>
        <w:rPr>
          <w:i/>
        </w:rPr>
      </w:pPr>
      <w:r w:rsidRPr="004E6101">
        <w:rPr>
          <w:i/>
        </w:rPr>
        <w:t>Avsikten med behandlingen i rådet</w:t>
      </w:r>
    </w:p>
    <w:p w:rsidR="00096478" w:rsidRDefault="00096478" w:rsidP="006E6657">
      <w:r>
        <w:t>Information från ordförandeskapet om aktuella lagstiftningsförslag.</w:t>
      </w:r>
    </w:p>
    <w:p w:rsidR="00096478" w:rsidRDefault="00096478" w:rsidP="006E6657"/>
    <w:p w:rsidR="00096478" w:rsidRPr="004E6101" w:rsidRDefault="00096478" w:rsidP="006E6657">
      <w:pPr>
        <w:rPr>
          <w:i/>
        </w:rPr>
      </w:pPr>
      <w:r w:rsidRPr="004E6101">
        <w:rPr>
          <w:i/>
        </w:rPr>
        <w:t>Bakgrund</w:t>
      </w:r>
    </w:p>
    <w:p w:rsidR="00096478" w:rsidRDefault="00096478" w:rsidP="006E6657">
      <w:r>
        <w:t>Ordförandeskapet har ännu inte meddelat något om dagordningspunktens innehåll.</w:t>
      </w:r>
    </w:p>
    <w:p w:rsidR="00096478" w:rsidRDefault="00096478" w:rsidP="006E6657">
      <w:pPr>
        <w:rPr>
          <w:b/>
        </w:rPr>
      </w:pPr>
    </w:p>
    <w:p w:rsidR="00096478" w:rsidRPr="006E6657" w:rsidRDefault="00096478" w:rsidP="006E6657">
      <w:pPr>
        <w:rPr>
          <w:b/>
        </w:rPr>
      </w:pPr>
    </w:p>
    <w:p w:rsidR="00096478" w:rsidRPr="006E6657" w:rsidRDefault="00096478" w:rsidP="006E6657">
      <w:pPr>
        <w:rPr>
          <w:b/>
        </w:rPr>
      </w:pPr>
      <w:r>
        <w:rPr>
          <w:b/>
        </w:rPr>
        <w:t xml:space="preserve">b) </w:t>
      </w:r>
      <w:r w:rsidRPr="006E6657">
        <w:rPr>
          <w:b/>
        </w:rPr>
        <w:t>Föredragning av Grekland om det tillträdande ordförandeskapets program (januari–juni 2014)</w:t>
      </w:r>
    </w:p>
    <w:p w:rsidR="00096478" w:rsidRDefault="00096478" w:rsidP="006E6657">
      <w:pPr>
        <w:rPr>
          <w:b/>
        </w:rPr>
      </w:pPr>
    </w:p>
    <w:p w:rsidR="00096478" w:rsidRPr="006E6657" w:rsidRDefault="00096478" w:rsidP="006E6657">
      <w:pPr>
        <w:rPr>
          <w:i/>
        </w:rPr>
      </w:pPr>
      <w:r w:rsidRPr="006E6657">
        <w:rPr>
          <w:i/>
        </w:rPr>
        <w:t>Avsikten med behandlingen i rådet</w:t>
      </w:r>
    </w:p>
    <w:p w:rsidR="00096478" w:rsidRPr="006E6657" w:rsidRDefault="00096478" w:rsidP="006E6657">
      <w:r w:rsidRPr="006E6657">
        <w:t>Information</w:t>
      </w:r>
    </w:p>
    <w:p w:rsidR="00096478" w:rsidRPr="006E6657" w:rsidRDefault="00096478" w:rsidP="006E6657"/>
    <w:p w:rsidR="00096478" w:rsidRPr="006E6657" w:rsidRDefault="00096478" w:rsidP="006E6657">
      <w:r w:rsidRPr="006E6657">
        <w:rPr>
          <w:i/>
        </w:rPr>
        <w:t>Dokument:</w:t>
      </w:r>
      <w:r w:rsidRPr="006E6657">
        <w:t xml:space="preserve"> det tillträdande ordförandeskapets program har ännu inte presenterats.</w:t>
      </w:r>
    </w:p>
    <w:p w:rsidR="00096478" w:rsidRPr="006E6657" w:rsidRDefault="00096478" w:rsidP="006E6657"/>
    <w:p w:rsidR="00096478" w:rsidRPr="006E6657" w:rsidRDefault="00096478" w:rsidP="006E6657">
      <w:pPr>
        <w:rPr>
          <w:i/>
        </w:rPr>
      </w:pPr>
      <w:r w:rsidRPr="006E6657">
        <w:rPr>
          <w:i/>
        </w:rPr>
        <w:t>Bakgrund</w:t>
      </w:r>
    </w:p>
    <w:p w:rsidR="00096478" w:rsidRPr="006E6657" w:rsidRDefault="00096478" w:rsidP="006E6657">
      <w:r w:rsidRPr="006E6657">
        <w:t xml:space="preserve">Det tillträdande ordförandeskapet </w:t>
      </w:r>
      <w:r>
        <w:t>Grekland</w:t>
      </w:r>
      <w:r w:rsidRPr="006E6657">
        <w:t xml:space="preserve"> kommer att presentera sitt program för perioden </w:t>
      </w:r>
      <w:r>
        <w:t>januari-juni 2014</w:t>
      </w:r>
      <w:r w:rsidRPr="006E6657">
        <w:t xml:space="preserve">. </w:t>
      </w:r>
    </w:p>
    <w:p w:rsidR="00096478" w:rsidRDefault="00096478" w:rsidP="006E6657">
      <w:pPr>
        <w:rPr>
          <w:b/>
        </w:rPr>
      </w:pPr>
    </w:p>
    <w:p w:rsidR="00096478" w:rsidRDefault="00096478" w:rsidP="006E6657">
      <w:pPr>
        <w:rPr>
          <w:b/>
        </w:rPr>
      </w:pPr>
    </w:p>
    <w:p w:rsidR="00096478" w:rsidRPr="006E6657" w:rsidRDefault="00096478" w:rsidP="006E6657">
      <w:pPr>
        <w:rPr>
          <w:b/>
        </w:rPr>
      </w:pPr>
      <w:r>
        <w:rPr>
          <w:b/>
        </w:rPr>
        <w:tab/>
      </w:r>
      <w:r>
        <w:rPr>
          <w:b/>
        </w:rPr>
        <w:tab/>
      </w:r>
      <w:r>
        <w:rPr>
          <w:b/>
        </w:rPr>
        <w:tab/>
      </w:r>
      <w:r>
        <w:rPr>
          <w:b/>
        </w:rPr>
        <w:tab/>
        <w:t>_______________</w:t>
      </w:r>
    </w:p>
    <w:sectPr w:rsidR="00096478" w:rsidRPr="006E6657" w:rsidSect="003A12D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478" w:rsidRDefault="00096478">
      <w:r>
        <w:separator/>
      </w:r>
    </w:p>
  </w:endnote>
  <w:endnote w:type="continuationSeparator" w:id="1">
    <w:p w:rsidR="00096478" w:rsidRDefault="00096478">
      <w:r>
        <w:continuationSeparator/>
      </w:r>
    </w:p>
  </w:endnote>
  <w:endnote w:type="continuationNotice" w:id="2">
    <w:p w:rsidR="00096478" w:rsidRDefault="00096478">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478" w:rsidRDefault="00096478">
      <w:r>
        <w:separator/>
      </w:r>
    </w:p>
  </w:footnote>
  <w:footnote w:type="continuationSeparator" w:id="1">
    <w:p w:rsidR="00096478" w:rsidRDefault="00096478">
      <w:r>
        <w:continuationSeparator/>
      </w:r>
    </w:p>
  </w:footnote>
  <w:footnote w:type="continuationNotice" w:id="2">
    <w:p w:rsidR="00096478" w:rsidRDefault="00096478">
      <w:pPr>
        <w:spacing w:line="240" w:lineRule="auto"/>
      </w:pPr>
    </w:p>
  </w:footnote>
  <w:footnote w:id="3">
    <w:p w:rsidR="00096478" w:rsidRDefault="00096478" w:rsidP="00EA7F93">
      <w:pPr>
        <w:pStyle w:val="FootnoteText"/>
      </w:pPr>
      <w:r>
        <w:rPr>
          <w:rStyle w:val="FootnoteReference"/>
        </w:rPr>
        <w:footnoteRef/>
      </w:r>
      <w:r>
        <w:t xml:space="preserve"> I enlighet med arbetsordningen delas dagordningen upp i två delar ”Lagstiftningsöverläggningar” respektive ”Överläggningar om icke lagstiftande verksamhet”. Rådets sammanträden ska vara offentliga när det överlägger och röstar till ett utkast till lagstiftningsakt. Se vidare artiklarna 3, 5 och 7 Rådets arbetsordning (dok. 16525/09 JUR 495 POLGEN 206).</w:t>
      </w:r>
    </w:p>
  </w:footnote>
  <w:footnote w:id="4">
    <w:p w:rsidR="00096478" w:rsidRDefault="00096478">
      <w:pPr>
        <w:pStyle w:val="FootnoteText"/>
      </w:pPr>
      <w:r>
        <w:rPr>
          <w:rStyle w:val="FootnoteReference"/>
        </w:rPr>
        <w:footnoteRef/>
      </w:r>
      <w:r w:rsidRPr="00C64ED1">
        <w:t>(°)</w:t>
      </w:r>
      <w:r>
        <w:t>=</w:t>
      </w:r>
      <w:r w:rsidRPr="00C64ED1">
        <w:t>Punkt där omröstning kan begäras</w:t>
      </w:r>
    </w:p>
  </w:footnote>
  <w:footnote w:id="5">
    <w:p w:rsidR="00096478" w:rsidRDefault="00096478" w:rsidP="00754812">
      <w:pPr>
        <w:pStyle w:val="FootnoteText"/>
        <w:spacing w:line="240" w:lineRule="auto"/>
        <w:contextualSpacing/>
      </w:pPr>
      <w:r>
        <w:rPr>
          <w:rStyle w:val="FootnoteReference"/>
        </w:rPr>
        <w:footnoteRef/>
      </w:r>
      <w:r>
        <w:t xml:space="preserve"> Strategiska kommittén för invandring, gränser och asyl</w:t>
      </w:r>
    </w:p>
  </w:footnote>
  <w:footnote w:id="6">
    <w:p w:rsidR="00096478" w:rsidRDefault="00096478" w:rsidP="00754812">
      <w:pPr>
        <w:pStyle w:val="FootnoteText"/>
        <w:spacing w:line="240" w:lineRule="auto"/>
        <w:contextualSpacing/>
      </w:pPr>
      <w:r>
        <w:rPr>
          <w:rStyle w:val="FootnoteReference"/>
        </w:rPr>
        <w:footnoteRef/>
      </w:r>
      <w:r>
        <w:t xml:space="preserve"> Ständiga kommittén för operativt samarbete i frågor som rör den inre säkerheten</w:t>
      </w:r>
    </w:p>
  </w:footnote>
  <w:footnote w:id="7">
    <w:p w:rsidR="00096478" w:rsidRDefault="00096478" w:rsidP="00754812">
      <w:pPr>
        <w:pStyle w:val="FootnoteText"/>
        <w:spacing w:line="240" w:lineRule="auto"/>
        <w:contextualSpacing/>
      </w:pPr>
      <w:r>
        <w:rPr>
          <w:rStyle w:val="FootnoteReference"/>
        </w:rPr>
        <w:footnoteRef/>
      </w:r>
      <w:r>
        <w:t xml:space="preserve"> Samordningskommittén på området för polissamarbete och straffrättsligt samarbete</w:t>
      </w:r>
    </w:p>
  </w:footnote>
  <w:footnote w:id="8">
    <w:p w:rsidR="00096478" w:rsidRDefault="00096478" w:rsidP="00E72B33">
      <w:pPr>
        <w:pStyle w:val="FootnoteText"/>
      </w:pPr>
      <w:r>
        <w:rPr>
          <w:rStyle w:val="FootnoteReference"/>
        </w:rPr>
        <w:footnoteRef/>
      </w:r>
      <w:r w:rsidRPr="00882359">
        <w:t xml:space="preserve">Europeiska unionens officiella tidning: L328/55 av den 6.12.2008 </w:t>
      </w:r>
    </w:p>
  </w:footnote>
  <w:footnote w:id="9">
    <w:p w:rsidR="00096478" w:rsidRDefault="00096478" w:rsidP="00E72B33">
      <w:pPr>
        <w:pStyle w:val="FootnoteText"/>
      </w:pPr>
      <w:r w:rsidRPr="00882359">
        <w:rPr>
          <w:rStyle w:val="FootnoteReference"/>
        </w:rPr>
        <w:footnoteRef/>
      </w:r>
      <w:r w:rsidRPr="00882359">
        <w:t xml:space="preserve"> Europeiska unionens officiella tidning: L 315/57 av den 14.11.2012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78" w:rsidRDefault="00096478" w:rsidP="003A12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96478">
      <w:trPr>
        <w:cantSplit/>
      </w:trPr>
      <w:tc>
        <w:tcPr>
          <w:tcW w:w="3119" w:type="dxa"/>
        </w:tcPr>
        <w:p w:rsidR="00096478" w:rsidRDefault="00096478" w:rsidP="003A12D3">
          <w:pPr>
            <w:pStyle w:val="Header"/>
            <w:spacing w:line="200" w:lineRule="atLeast"/>
            <w:ind w:right="360" w:firstLine="360"/>
            <w:rPr>
              <w:rFonts w:ascii="TradeGothic" w:hAnsi="TradeGothic"/>
              <w:b/>
              <w:bCs/>
              <w:sz w:val="16"/>
            </w:rPr>
          </w:pPr>
        </w:p>
      </w:tc>
      <w:tc>
        <w:tcPr>
          <w:tcW w:w="4111" w:type="dxa"/>
          <w:tcMar>
            <w:left w:w="567" w:type="dxa"/>
          </w:tcMar>
        </w:tcPr>
        <w:p w:rsidR="00096478" w:rsidRDefault="00096478">
          <w:pPr>
            <w:pStyle w:val="Header"/>
            <w:ind w:right="360"/>
          </w:pPr>
        </w:p>
      </w:tc>
      <w:tc>
        <w:tcPr>
          <w:tcW w:w="1525" w:type="dxa"/>
        </w:tcPr>
        <w:p w:rsidR="00096478" w:rsidRDefault="00096478">
          <w:pPr>
            <w:pStyle w:val="Header"/>
            <w:ind w:right="360"/>
          </w:pPr>
        </w:p>
      </w:tc>
    </w:tr>
  </w:tbl>
  <w:p w:rsidR="00096478" w:rsidRDefault="0009647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78" w:rsidRDefault="00096478" w:rsidP="003A12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96478">
      <w:trPr>
        <w:cantSplit/>
      </w:trPr>
      <w:tc>
        <w:tcPr>
          <w:tcW w:w="3119" w:type="dxa"/>
        </w:tcPr>
        <w:p w:rsidR="00096478" w:rsidRDefault="00096478" w:rsidP="003A12D3">
          <w:pPr>
            <w:pStyle w:val="Header"/>
            <w:spacing w:line="200" w:lineRule="atLeast"/>
            <w:ind w:right="360" w:firstLine="360"/>
            <w:rPr>
              <w:rFonts w:ascii="TradeGothic" w:hAnsi="TradeGothic"/>
              <w:b/>
              <w:bCs/>
              <w:sz w:val="16"/>
            </w:rPr>
          </w:pPr>
        </w:p>
      </w:tc>
      <w:tc>
        <w:tcPr>
          <w:tcW w:w="4111" w:type="dxa"/>
          <w:tcMar>
            <w:left w:w="567" w:type="dxa"/>
          </w:tcMar>
        </w:tcPr>
        <w:p w:rsidR="00096478" w:rsidRDefault="00096478">
          <w:pPr>
            <w:pStyle w:val="Header"/>
            <w:ind w:right="360"/>
          </w:pPr>
        </w:p>
      </w:tc>
      <w:tc>
        <w:tcPr>
          <w:tcW w:w="1525" w:type="dxa"/>
        </w:tcPr>
        <w:p w:rsidR="00096478" w:rsidRDefault="00096478">
          <w:pPr>
            <w:pStyle w:val="Header"/>
            <w:ind w:right="360"/>
          </w:pPr>
        </w:p>
      </w:tc>
    </w:tr>
  </w:tbl>
  <w:p w:rsidR="00096478" w:rsidRDefault="0009647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78" w:rsidRDefault="00096478">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96478" w:rsidRPr="003A12D3" w:rsidRDefault="00096478">
    <w:pPr>
      <w:pStyle w:val="RKrubrik"/>
      <w:keepNext w:val="0"/>
      <w:tabs>
        <w:tab w:val="clear" w:pos="1134"/>
        <w:tab w:val="clear" w:pos="2835"/>
      </w:tabs>
      <w:spacing w:before="0" w:after="0" w:line="320" w:lineRule="atLeast"/>
      <w:rPr>
        <w:bCs/>
      </w:rPr>
    </w:pPr>
  </w:p>
  <w:p w:rsidR="00096478" w:rsidRPr="003A12D3" w:rsidRDefault="00096478">
    <w:pPr>
      <w:rPr>
        <w:rFonts w:ascii="TradeGothic" w:hAnsi="TradeGothic"/>
        <w:b/>
        <w:bCs/>
        <w:spacing w:val="12"/>
        <w:sz w:val="22"/>
      </w:rPr>
    </w:pPr>
  </w:p>
  <w:p w:rsidR="00096478" w:rsidRPr="003A12D3" w:rsidRDefault="00096478">
    <w:pPr>
      <w:pStyle w:val="RKrubrik"/>
      <w:keepNext w:val="0"/>
      <w:tabs>
        <w:tab w:val="clear" w:pos="1134"/>
        <w:tab w:val="clear" w:pos="2835"/>
      </w:tabs>
      <w:spacing w:before="0" w:after="0" w:line="320" w:lineRule="atLeast"/>
      <w:rPr>
        <w:bCs/>
      </w:rPr>
    </w:pPr>
  </w:p>
  <w:p w:rsidR="00096478" w:rsidRPr="003A12D3" w:rsidRDefault="00096478">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1">
    <w:nsid w:val="1CA46A1E"/>
    <w:multiLevelType w:val="hybridMultilevel"/>
    <w:tmpl w:val="1A407A86"/>
    <w:lvl w:ilvl="0" w:tplc="041D000F">
      <w:start w:val="10"/>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209F3863"/>
    <w:multiLevelType w:val="hybridMultilevel"/>
    <w:tmpl w:val="57863486"/>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F0C09E1"/>
    <w:multiLevelType w:val="hybridMultilevel"/>
    <w:tmpl w:val="93C4379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45383844"/>
    <w:multiLevelType w:val="hybridMultilevel"/>
    <w:tmpl w:val="3B4C6078"/>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5FE649F6"/>
    <w:multiLevelType w:val="hybridMultilevel"/>
    <w:tmpl w:val="57863486"/>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61B471CF"/>
    <w:multiLevelType w:val="hybridMultilevel"/>
    <w:tmpl w:val="E17023C0"/>
    <w:lvl w:ilvl="0" w:tplc="C79AF280">
      <w:start w:val="5"/>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62B21269"/>
    <w:multiLevelType w:val="multilevel"/>
    <w:tmpl w:val="1DB85EBC"/>
    <w:name w:val="Heading ABC"/>
    <w:lvl w:ilvl="0">
      <w:start w:val="1"/>
      <w:numFmt w:val="upperLetter"/>
      <w:pStyle w:val="HeadingABC"/>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71B20DC5"/>
    <w:multiLevelType w:val="hybridMultilevel"/>
    <w:tmpl w:val="1D56AF90"/>
    <w:lvl w:ilvl="0" w:tplc="2C6EFB94">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10">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11">
    <w:nsid w:val="7D4A4F46"/>
    <w:multiLevelType w:val="hybridMultilevel"/>
    <w:tmpl w:val="BEC4E5B6"/>
    <w:lvl w:ilvl="0" w:tplc="A620C854">
      <w:start w:val="10"/>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0"/>
  </w:num>
  <w:num w:numId="5">
    <w:abstractNumId w:val="9"/>
  </w:num>
  <w:num w:numId="6">
    <w:abstractNumId w:val="8"/>
  </w:num>
  <w:num w:numId="7">
    <w:abstractNumId w:val="11"/>
  </w:num>
  <w:num w:numId="8">
    <w:abstractNumId w:val="1"/>
  </w:num>
  <w:num w:numId="9">
    <w:abstractNumId w:val="3"/>
  </w:num>
  <w:num w:numId="10">
    <w:abstractNumId w:val="4"/>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2"/>
    <w:docVar w:name="docSprak" w:val="0"/>
  </w:docVars>
  <w:rsids>
    <w:rsidRoot w:val="003A12D3"/>
    <w:rsid w:val="0002242F"/>
    <w:rsid w:val="00024CD9"/>
    <w:rsid w:val="00092D2D"/>
    <w:rsid w:val="00096478"/>
    <w:rsid w:val="000B450F"/>
    <w:rsid w:val="000D6DB2"/>
    <w:rsid w:val="00150384"/>
    <w:rsid w:val="001555B5"/>
    <w:rsid w:val="00160901"/>
    <w:rsid w:val="00170A3E"/>
    <w:rsid w:val="001805B7"/>
    <w:rsid w:val="00184064"/>
    <w:rsid w:val="001D6E0D"/>
    <w:rsid w:val="001F1804"/>
    <w:rsid w:val="00225AE1"/>
    <w:rsid w:val="002338BD"/>
    <w:rsid w:val="0025009D"/>
    <w:rsid w:val="00255A48"/>
    <w:rsid w:val="002615EA"/>
    <w:rsid w:val="002640D0"/>
    <w:rsid w:val="00267012"/>
    <w:rsid w:val="0028683D"/>
    <w:rsid w:val="002A5B81"/>
    <w:rsid w:val="002B725C"/>
    <w:rsid w:val="002D49FC"/>
    <w:rsid w:val="003233AA"/>
    <w:rsid w:val="00367B1C"/>
    <w:rsid w:val="003A12D3"/>
    <w:rsid w:val="003C2E29"/>
    <w:rsid w:val="003D0EED"/>
    <w:rsid w:val="003E5183"/>
    <w:rsid w:val="00420C80"/>
    <w:rsid w:val="0042717C"/>
    <w:rsid w:val="00466394"/>
    <w:rsid w:val="004A07B3"/>
    <w:rsid w:val="004A111D"/>
    <w:rsid w:val="004A328D"/>
    <w:rsid w:val="004B23F4"/>
    <w:rsid w:val="004C4B9D"/>
    <w:rsid w:val="004D04FC"/>
    <w:rsid w:val="004D24C8"/>
    <w:rsid w:val="004E35EB"/>
    <w:rsid w:val="004E6101"/>
    <w:rsid w:val="004F1A3D"/>
    <w:rsid w:val="00501374"/>
    <w:rsid w:val="00507E8D"/>
    <w:rsid w:val="00565691"/>
    <w:rsid w:val="005674FB"/>
    <w:rsid w:val="005727A1"/>
    <w:rsid w:val="00572BAC"/>
    <w:rsid w:val="0058259A"/>
    <w:rsid w:val="00586159"/>
    <w:rsid w:val="005872FB"/>
    <w:rsid w:val="0058762B"/>
    <w:rsid w:val="005A2AD6"/>
    <w:rsid w:val="005A4C1D"/>
    <w:rsid w:val="005B5BB2"/>
    <w:rsid w:val="005C5954"/>
    <w:rsid w:val="005D0084"/>
    <w:rsid w:val="005E6BE8"/>
    <w:rsid w:val="00622E98"/>
    <w:rsid w:val="00633F04"/>
    <w:rsid w:val="006432BA"/>
    <w:rsid w:val="00647B65"/>
    <w:rsid w:val="00656430"/>
    <w:rsid w:val="00663BA3"/>
    <w:rsid w:val="0066592E"/>
    <w:rsid w:val="006A2231"/>
    <w:rsid w:val="006E4E11"/>
    <w:rsid w:val="006E6657"/>
    <w:rsid w:val="006F7AAD"/>
    <w:rsid w:val="00715F3D"/>
    <w:rsid w:val="00721DFC"/>
    <w:rsid w:val="00723FFF"/>
    <w:rsid w:val="007242A3"/>
    <w:rsid w:val="00724DE4"/>
    <w:rsid w:val="0074525C"/>
    <w:rsid w:val="00754812"/>
    <w:rsid w:val="00770312"/>
    <w:rsid w:val="007A2158"/>
    <w:rsid w:val="007A243C"/>
    <w:rsid w:val="007A6855"/>
    <w:rsid w:val="007B28D4"/>
    <w:rsid w:val="007E6DF9"/>
    <w:rsid w:val="007E6FEA"/>
    <w:rsid w:val="007E7E9A"/>
    <w:rsid w:val="007F5C4A"/>
    <w:rsid w:val="00803028"/>
    <w:rsid w:val="008051AD"/>
    <w:rsid w:val="00831FAF"/>
    <w:rsid w:val="00882359"/>
    <w:rsid w:val="00882744"/>
    <w:rsid w:val="008D4ADA"/>
    <w:rsid w:val="009046F5"/>
    <w:rsid w:val="00906898"/>
    <w:rsid w:val="00913D8D"/>
    <w:rsid w:val="00917595"/>
    <w:rsid w:val="0092027A"/>
    <w:rsid w:val="00934AF7"/>
    <w:rsid w:val="00955E31"/>
    <w:rsid w:val="0097370D"/>
    <w:rsid w:val="0099171A"/>
    <w:rsid w:val="00992E72"/>
    <w:rsid w:val="00994520"/>
    <w:rsid w:val="009E3418"/>
    <w:rsid w:val="00A02A0F"/>
    <w:rsid w:val="00A052F4"/>
    <w:rsid w:val="00A11D5B"/>
    <w:rsid w:val="00A2570F"/>
    <w:rsid w:val="00A46AE1"/>
    <w:rsid w:val="00A719BF"/>
    <w:rsid w:val="00A80094"/>
    <w:rsid w:val="00A804C1"/>
    <w:rsid w:val="00AC7944"/>
    <w:rsid w:val="00AD2CCD"/>
    <w:rsid w:val="00AD391B"/>
    <w:rsid w:val="00AF26D1"/>
    <w:rsid w:val="00B127EC"/>
    <w:rsid w:val="00B25D92"/>
    <w:rsid w:val="00B47834"/>
    <w:rsid w:val="00B52F97"/>
    <w:rsid w:val="00B70BD3"/>
    <w:rsid w:val="00B80BD5"/>
    <w:rsid w:val="00B84C67"/>
    <w:rsid w:val="00B92964"/>
    <w:rsid w:val="00BA4E49"/>
    <w:rsid w:val="00BE53D9"/>
    <w:rsid w:val="00BF0C0E"/>
    <w:rsid w:val="00C1079E"/>
    <w:rsid w:val="00C127F4"/>
    <w:rsid w:val="00C15524"/>
    <w:rsid w:val="00C23456"/>
    <w:rsid w:val="00C359E0"/>
    <w:rsid w:val="00C42F0A"/>
    <w:rsid w:val="00C64ED1"/>
    <w:rsid w:val="00CB381B"/>
    <w:rsid w:val="00CB6EB7"/>
    <w:rsid w:val="00CC4E21"/>
    <w:rsid w:val="00CD531D"/>
    <w:rsid w:val="00CE05CA"/>
    <w:rsid w:val="00CE493E"/>
    <w:rsid w:val="00D00322"/>
    <w:rsid w:val="00D133D7"/>
    <w:rsid w:val="00D25368"/>
    <w:rsid w:val="00D37460"/>
    <w:rsid w:val="00D41797"/>
    <w:rsid w:val="00D47707"/>
    <w:rsid w:val="00D52ED5"/>
    <w:rsid w:val="00D71F9D"/>
    <w:rsid w:val="00D86979"/>
    <w:rsid w:val="00DC2909"/>
    <w:rsid w:val="00DE2CBC"/>
    <w:rsid w:val="00DF6F9A"/>
    <w:rsid w:val="00E13D6E"/>
    <w:rsid w:val="00E14F10"/>
    <w:rsid w:val="00E221AA"/>
    <w:rsid w:val="00E37B39"/>
    <w:rsid w:val="00E5604A"/>
    <w:rsid w:val="00E72B33"/>
    <w:rsid w:val="00E80146"/>
    <w:rsid w:val="00E904D0"/>
    <w:rsid w:val="00EA7F93"/>
    <w:rsid w:val="00EB0E45"/>
    <w:rsid w:val="00EB1C83"/>
    <w:rsid w:val="00EC25F9"/>
    <w:rsid w:val="00EC26CF"/>
    <w:rsid w:val="00ED583F"/>
    <w:rsid w:val="00F02870"/>
    <w:rsid w:val="00F4621C"/>
    <w:rsid w:val="00F65217"/>
    <w:rsid w:val="00F74966"/>
    <w:rsid w:val="00F7525B"/>
    <w:rsid w:val="00FA44AA"/>
    <w:rsid w:val="00FE1A1A"/>
    <w:rsid w:val="00FF09F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5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86159"/>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86159"/>
    <w:pPr>
      <w:spacing w:before="360"/>
      <w:outlineLvl w:val="1"/>
    </w:pPr>
  </w:style>
  <w:style w:type="paragraph" w:styleId="Heading3">
    <w:name w:val="heading 3"/>
    <w:basedOn w:val="Heading2"/>
    <w:next w:val="RKnormal"/>
    <w:link w:val="Heading3Char"/>
    <w:uiPriority w:val="99"/>
    <w:qFormat/>
    <w:rsid w:val="00586159"/>
    <w:pPr>
      <w:spacing w:after="120" w:line="240" w:lineRule="atLeast"/>
      <w:outlineLvl w:val="2"/>
    </w:pPr>
    <w:rPr>
      <w:b w:val="0"/>
    </w:rPr>
  </w:style>
  <w:style w:type="paragraph" w:styleId="Heading4">
    <w:name w:val="heading 4"/>
    <w:basedOn w:val="Heading3"/>
    <w:next w:val="RKnormal"/>
    <w:link w:val="Heading4Char"/>
    <w:uiPriority w:val="99"/>
    <w:qFormat/>
    <w:rsid w:val="00586159"/>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4E35EB"/>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58615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8615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586159"/>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58615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86159"/>
    <w:rPr>
      <w:rFonts w:cs="Times New Roman"/>
    </w:rPr>
  </w:style>
  <w:style w:type="paragraph" w:styleId="BalloonText">
    <w:name w:val="Balloon Text"/>
    <w:basedOn w:val="Normal"/>
    <w:link w:val="BalloonTextChar"/>
    <w:uiPriority w:val="99"/>
    <w:rsid w:val="00DC29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C2909"/>
    <w:rPr>
      <w:rFonts w:ascii="Tahoma" w:hAnsi="Tahoma" w:cs="Tahoma"/>
      <w:sz w:val="16"/>
      <w:szCs w:val="16"/>
      <w:lang w:eastAsia="en-US"/>
    </w:rPr>
  </w:style>
  <w:style w:type="paragraph" w:styleId="FootnoteText">
    <w:name w:val="footnote text"/>
    <w:basedOn w:val="Normal"/>
    <w:link w:val="FootnoteTextChar"/>
    <w:uiPriority w:val="99"/>
    <w:rsid w:val="00EA7F93"/>
    <w:rPr>
      <w:sz w:val="20"/>
    </w:rPr>
  </w:style>
  <w:style w:type="character" w:customStyle="1" w:styleId="FootnoteTextChar">
    <w:name w:val="Footnote Text Char"/>
    <w:basedOn w:val="DefaultParagraphFont"/>
    <w:link w:val="FootnoteText"/>
    <w:uiPriority w:val="99"/>
    <w:locked/>
    <w:rsid w:val="00EA7F93"/>
    <w:rPr>
      <w:rFonts w:ascii="OrigGarmnd BT" w:hAnsi="OrigGarmnd BT" w:cs="Times New Roman"/>
      <w:lang w:eastAsia="en-US"/>
    </w:rPr>
  </w:style>
  <w:style w:type="character" w:styleId="FootnoteReference">
    <w:name w:val="footnote reference"/>
    <w:basedOn w:val="DefaultParagraphFont"/>
    <w:uiPriority w:val="99"/>
    <w:rsid w:val="00EA7F93"/>
    <w:rPr>
      <w:rFonts w:cs="Times New Roman"/>
      <w:vertAlign w:val="superscript"/>
    </w:rPr>
  </w:style>
  <w:style w:type="character" w:customStyle="1" w:styleId="RKnormalChar">
    <w:name w:val="RKnormal Char"/>
    <w:link w:val="RKnormal"/>
    <w:uiPriority w:val="99"/>
    <w:locked/>
    <w:rsid w:val="00EA7F93"/>
    <w:rPr>
      <w:rFonts w:ascii="OrigGarmnd BT" w:hAnsi="OrigGarmnd BT"/>
      <w:sz w:val="24"/>
      <w:lang w:eastAsia="en-US"/>
    </w:rPr>
  </w:style>
  <w:style w:type="paragraph" w:styleId="NoSpacing">
    <w:name w:val="No Spacing"/>
    <w:uiPriority w:val="99"/>
    <w:qFormat/>
    <w:rsid w:val="00EA7F93"/>
    <w:pPr>
      <w:widowControl w:val="0"/>
    </w:pPr>
    <w:rPr>
      <w:sz w:val="24"/>
      <w:szCs w:val="20"/>
      <w:lang w:eastAsia="fr-BE"/>
    </w:rPr>
  </w:style>
  <w:style w:type="paragraph" w:styleId="ListParagraph">
    <w:name w:val="List Paragraph"/>
    <w:basedOn w:val="Normal"/>
    <w:uiPriority w:val="99"/>
    <w:qFormat/>
    <w:rsid w:val="00917595"/>
    <w:pPr>
      <w:ind w:left="720"/>
      <w:contextualSpacing/>
      <w:textAlignment w:val="auto"/>
    </w:pPr>
  </w:style>
  <w:style w:type="paragraph" w:customStyle="1" w:styleId="Brdtext1">
    <w:name w:val="Brödtext1"/>
    <w:basedOn w:val="Normal"/>
    <w:uiPriority w:val="99"/>
    <w:rsid w:val="00AD2CCD"/>
    <w:pPr>
      <w:overflowPunct/>
      <w:autoSpaceDE/>
      <w:autoSpaceDN/>
      <w:adjustRightInd/>
      <w:spacing w:line="320" w:lineRule="exact"/>
      <w:textAlignment w:val="auto"/>
    </w:pPr>
  </w:style>
  <w:style w:type="paragraph" w:styleId="Title">
    <w:name w:val="Title"/>
    <w:basedOn w:val="Normal"/>
    <w:link w:val="TitleChar"/>
    <w:uiPriority w:val="99"/>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TitleChar">
    <w:name w:val="Title Char"/>
    <w:basedOn w:val="DefaultParagraphFont"/>
    <w:link w:val="Title"/>
    <w:uiPriority w:val="99"/>
    <w:locked/>
    <w:rsid w:val="00F74966"/>
    <w:rPr>
      <w:rFonts w:cs="Times New Roman"/>
      <w:b/>
      <w:bCs/>
      <w:i/>
      <w:sz w:val="32"/>
      <w:szCs w:val="32"/>
      <w:u w:val="single"/>
      <w:lang w:eastAsia="fr-BE"/>
    </w:rPr>
  </w:style>
  <w:style w:type="paragraph" w:customStyle="1" w:styleId="FinalLine">
    <w:name w:val="Final Line"/>
    <w:basedOn w:val="Normal"/>
    <w:next w:val="Normal"/>
    <w:uiPriority w:val="99"/>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uiPriority w:val="99"/>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uiPriority w:val="99"/>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uiPriority w:val="99"/>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uiPriority w:val="99"/>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uiPriority w:val="99"/>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uiPriority w:val="99"/>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uiPriority w:val="99"/>
    <w:rsid w:val="00F74966"/>
    <w:pPr>
      <w:numPr>
        <w:numId w:val="1"/>
      </w:numPr>
    </w:pPr>
  </w:style>
  <w:style w:type="paragraph" w:customStyle="1" w:styleId="NB">
    <w:name w:val="NB"/>
    <w:basedOn w:val="PointManual"/>
    <w:uiPriority w:val="99"/>
    <w:rsid w:val="00F74966"/>
    <w:pPr>
      <w:tabs>
        <w:tab w:val="left" w:pos="992"/>
      </w:tabs>
      <w:ind w:left="992" w:hanging="992"/>
    </w:pPr>
  </w:style>
  <w:style w:type="character" w:styleId="Hyperlink">
    <w:name w:val="Hyperlink"/>
    <w:basedOn w:val="DefaultParagraphFont"/>
    <w:uiPriority w:val="99"/>
    <w:rsid w:val="00B70BD3"/>
    <w:rPr>
      <w:rFonts w:ascii="Times New Roman" w:hAnsi="Times New Roman" w:cs="Times New Roman"/>
      <w:color w:val="000000"/>
      <w:u w:val="single"/>
    </w:rPr>
  </w:style>
  <w:style w:type="paragraph" w:customStyle="1" w:styleId="PointDoubleManual">
    <w:name w:val="Point Double Manual"/>
    <w:basedOn w:val="Normal"/>
    <w:uiPriority w:val="99"/>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uiPriority w:val="99"/>
    <w:rsid w:val="00656430"/>
    <w:pPr>
      <w:numPr>
        <w:numId w:val="3"/>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uiPriority w:val="99"/>
    <w:rsid w:val="00656430"/>
    <w:pPr>
      <w:numPr>
        <w:numId w:val="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uiPriority w:val="99"/>
    <w:rsid w:val="00656430"/>
    <w:pPr>
      <w:numPr>
        <w:numId w:val="5"/>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uiPriority w:val="99"/>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uiPriority w:val="99"/>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style>
  <w:style w:type="paragraph" w:customStyle="1" w:styleId="Text3">
    <w:name w:val="Text 3"/>
    <w:basedOn w:val="Normal"/>
    <w:uiPriority w:val="99"/>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uiPriority w:val="99"/>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s>
</file>

<file path=word/webSettings.xml><?xml version="1.0" encoding="utf-8"?>
<w:webSettings xmlns:r="http://schemas.openxmlformats.org/officeDocument/2006/relationships" xmlns:w="http://schemas.openxmlformats.org/wordprocessingml/2006/main">
  <w:divs>
    <w:div w:id="408894123">
      <w:marLeft w:val="0"/>
      <w:marRight w:val="0"/>
      <w:marTop w:val="0"/>
      <w:marBottom w:val="0"/>
      <w:divBdr>
        <w:top w:val="none" w:sz="0" w:space="0" w:color="auto"/>
        <w:left w:val="none" w:sz="0" w:space="0" w:color="auto"/>
        <w:bottom w:val="none" w:sz="0" w:space="0" w:color="auto"/>
        <w:right w:val="none" w:sz="0" w:space="0" w:color="auto"/>
      </w:divBdr>
    </w:div>
    <w:div w:id="408894124">
      <w:marLeft w:val="0"/>
      <w:marRight w:val="0"/>
      <w:marTop w:val="0"/>
      <w:marBottom w:val="0"/>
      <w:divBdr>
        <w:top w:val="none" w:sz="0" w:space="0" w:color="auto"/>
        <w:left w:val="none" w:sz="0" w:space="0" w:color="auto"/>
        <w:bottom w:val="none" w:sz="0" w:space="0" w:color="auto"/>
        <w:right w:val="none" w:sz="0" w:space="0" w:color="auto"/>
      </w:divBdr>
    </w:div>
    <w:div w:id="408894125">
      <w:marLeft w:val="0"/>
      <w:marRight w:val="0"/>
      <w:marTop w:val="0"/>
      <w:marBottom w:val="0"/>
      <w:divBdr>
        <w:top w:val="none" w:sz="0" w:space="0" w:color="auto"/>
        <w:left w:val="none" w:sz="0" w:space="0" w:color="auto"/>
        <w:bottom w:val="none" w:sz="0" w:space="0" w:color="auto"/>
        <w:right w:val="none" w:sz="0" w:space="0" w:color="auto"/>
      </w:divBdr>
    </w:div>
    <w:div w:id="408894126">
      <w:marLeft w:val="0"/>
      <w:marRight w:val="0"/>
      <w:marTop w:val="0"/>
      <w:marBottom w:val="0"/>
      <w:divBdr>
        <w:top w:val="none" w:sz="0" w:space="0" w:color="auto"/>
        <w:left w:val="none" w:sz="0" w:space="0" w:color="auto"/>
        <w:bottom w:val="none" w:sz="0" w:space="0" w:color="auto"/>
        <w:right w:val="none" w:sz="0" w:space="0" w:color="auto"/>
      </w:divBdr>
    </w:div>
    <w:div w:id="408894127">
      <w:marLeft w:val="0"/>
      <w:marRight w:val="0"/>
      <w:marTop w:val="0"/>
      <w:marBottom w:val="0"/>
      <w:divBdr>
        <w:top w:val="none" w:sz="0" w:space="0" w:color="auto"/>
        <w:left w:val="none" w:sz="0" w:space="0" w:color="auto"/>
        <w:bottom w:val="none" w:sz="0" w:space="0" w:color="auto"/>
        <w:right w:val="none" w:sz="0" w:space="0" w:color="auto"/>
      </w:divBdr>
    </w:div>
    <w:div w:id="408894128">
      <w:marLeft w:val="0"/>
      <w:marRight w:val="0"/>
      <w:marTop w:val="0"/>
      <w:marBottom w:val="0"/>
      <w:divBdr>
        <w:top w:val="none" w:sz="0" w:space="0" w:color="auto"/>
        <w:left w:val="none" w:sz="0" w:space="0" w:color="auto"/>
        <w:bottom w:val="none" w:sz="0" w:space="0" w:color="auto"/>
        <w:right w:val="none" w:sz="0" w:space="0" w:color="auto"/>
      </w:divBdr>
    </w:div>
    <w:div w:id="408894129">
      <w:marLeft w:val="0"/>
      <w:marRight w:val="0"/>
      <w:marTop w:val="0"/>
      <w:marBottom w:val="0"/>
      <w:divBdr>
        <w:top w:val="none" w:sz="0" w:space="0" w:color="auto"/>
        <w:left w:val="none" w:sz="0" w:space="0" w:color="auto"/>
        <w:bottom w:val="none" w:sz="0" w:space="0" w:color="auto"/>
        <w:right w:val="none" w:sz="0" w:space="0" w:color="auto"/>
      </w:divBdr>
    </w:div>
    <w:div w:id="408894130">
      <w:marLeft w:val="0"/>
      <w:marRight w:val="0"/>
      <w:marTop w:val="0"/>
      <w:marBottom w:val="0"/>
      <w:divBdr>
        <w:top w:val="none" w:sz="0" w:space="0" w:color="auto"/>
        <w:left w:val="none" w:sz="0" w:space="0" w:color="auto"/>
        <w:bottom w:val="none" w:sz="0" w:space="0" w:color="auto"/>
        <w:right w:val="none" w:sz="0" w:space="0" w:color="auto"/>
      </w:divBdr>
    </w:div>
    <w:div w:id="408894131">
      <w:marLeft w:val="0"/>
      <w:marRight w:val="0"/>
      <w:marTop w:val="0"/>
      <w:marBottom w:val="0"/>
      <w:divBdr>
        <w:top w:val="none" w:sz="0" w:space="0" w:color="auto"/>
        <w:left w:val="none" w:sz="0" w:space="0" w:color="auto"/>
        <w:bottom w:val="none" w:sz="0" w:space="0" w:color="auto"/>
        <w:right w:val="none" w:sz="0" w:space="0" w:color="auto"/>
      </w:divBdr>
    </w:div>
    <w:div w:id="408894132">
      <w:marLeft w:val="0"/>
      <w:marRight w:val="0"/>
      <w:marTop w:val="0"/>
      <w:marBottom w:val="0"/>
      <w:divBdr>
        <w:top w:val="none" w:sz="0" w:space="0" w:color="auto"/>
        <w:left w:val="none" w:sz="0" w:space="0" w:color="auto"/>
        <w:bottom w:val="none" w:sz="0" w:space="0" w:color="auto"/>
        <w:right w:val="none" w:sz="0" w:space="0" w:color="auto"/>
      </w:divBdr>
    </w:div>
    <w:div w:id="408894133">
      <w:marLeft w:val="0"/>
      <w:marRight w:val="0"/>
      <w:marTop w:val="0"/>
      <w:marBottom w:val="0"/>
      <w:divBdr>
        <w:top w:val="none" w:sz="0" w:space="0" w:color="auto"/>
        <w:left w:val="none" w:sz="0" w:space="0" w:color="auto"/>
        <w:bottom w:val="none" w:sz="0" w:space="0" w:color="auto"/>
        <w:right w:val="none" w:sz="0" w:space="0" w:color="auto"/>
      </w:divBdr>
    </w:div>
    <w:div w:id="408894134">
      <w:marLeft w:val="0"/>
      <w:marRight w:val="0"/>
      <w:marTop w:val="0"/>
      <w:marBottom w:val="0"/>
      <w:divBdr>
        <w:top w:val="none" w:sz="0" w:space="0" w:color="auto"/>
        <w:left w:val="none" w:sz="0" w:space="0" w:color="auto"/>
        <w:bottom w:val="none" w:sz="0" w:space="0" w:color="auto"/>
        <w:right w:val="none" w:sz="0" w:space="0" w:color="auto"/>
      </w:divBdr>
    </w:div>
    <w:div w:id="408894135">
      <w:marLeft w:val="0"/>
      <w:marRight w:val="0"/>
      <w:marTop w:val="0"/>
      <w:marBottom w:val="0"/>
      <w:divBdr>
        <w:top w:val="none" w:sz="0" w:space="0" w:color="auto"/>
        <w:left w:val="none" w:sz="0" w:space="0" w:color="auto"/>
        <w:bottom w:val="none" w:sz="0" w:space="0" w:color="auto"/>
        <w:right w:val="none" w:sz="0" w:space="0" w:color="auto"/>
      </w:divBdr>
    </w:div>
    <w:div w:id="408894136">
      <w:marLeft w:val="0"/>
      <w:marRight w:val="0"/>
      <w:marTop w:val="0"/>
      <w:marBottom w:val="0"/>
      <w:divBdr>
        <w:top w:val="none" w:sz="0" w:space="0" w:color="auto"/>
        <w:left w:val="none" w:sz="0" w:space="0" w:color="auto"/>
        <w:bottom w:val="none" w:sz="0" w:space="0" w:color="auto"/>
        <w:right w:val="none" w:sz="0" w:space="0" w:color="auto"/>
      </w:divBdr>
    </w:div>
    <w:div w:id="408894137">
      <w:marLeft w:val="0"/>
      <w:marRight w:val="0"/>
      <w:marTop w:val="0"/>
      <w:marBottom w:val="0"/>
      <w:divBdr>
        <w:top w:val="none" w:sz="0" w:space="0" w:color="auto"/>
        <w:left w:val="none" w:sz="0" w:space="0" w:color="auto"/>
        <w:bottom w:val="none" w:sz="0" w:space="0" w:color="auto"/>
        <w:right w:val="none" w:sz="0" w:space="0" w:color="auto"/>
      </w:divBdr>
    </w:div>
    <w:div w:id="408894138">
      <w:marLeft w:val="0"/>
      <w:marRight w:val="0"/>
      <w:marTop w:val="0"/>
      <w:marBottom w:val="0"/>
      <w:divBdr>
        <w:top w:val="none" w:sz="0" w:space="0" w:color="auto"/>
        <w:left w:val="none" w:sz="0" w:space="0" w:color="auto"/>
        <w:bottom w:val="none" w:sz="0" w:space="0" w:color="auto"/>
        <w:right w:val="none" w:sz="0" w:space="0" w:color="auto"/>
      </w:divBdr>
    </w:div>
    <w:div w:id="408894139">
      <w:marLeft w:val="0"/>
      <w:marRight w:val="0"/>
      <w:marTop w:val="0"/>
      <w:marBottom w:val="0"/>
      <w:divBdr>
        <w:top w:val="none" w:sz="0" w:space="0" w:color="auto"/>
        <w:left w:val="none" w:sz="0" w:space="0" w:color="auto"/>
        <w:bottom w:val="none" w:sz="0" w:space="0" w:color="auto"/>
        <w:right w:val="none" w:sz="0" w:space="0" w:color="auto"/>
      </w:divBdr>
    </w:div>
    <w:div w:id="408894140">
      <w:marLeft w:val="0"/>
      <w:marRight w:val="0"/>
      <w:marTop w:val="0"/>
      <w:marBottom w:val="0"/>
      <w:divBdr>
        <w:top w:val="none" w:sz="0" w:space="0" w:color="auto"/>
        <w:left w:val="none" w:sz="0" w:space="0" w:color="auto"/>
        <w:bottom w:val="none" w:sz="0" w:space="0" w:color="auto"/>
        <w:right w:val="none" w:sz="0" w:space="0" w:color="auto"/>
      </w:divBdr>
    </w:div>
    <w:div w:id="408894141">
      <w:marLeft w:val="0"/>
      <w:marRight w:val="0"/>
      <w:marTop w:val="0"/>
      <w:marBottom w:val="0"/>
      <w:divBdr>
        <w:top w:val="none" w:sz="0" w:space="0" w:color="auto"/>
        <w:left w:val="none" w:sz="0" w:space="0" w:color="auto"/>
        <w:bottom w:val="none" w:sz="0" w:space="0" w:color="auto"/>
        <w:right w:val="none" w:sz="0" w:space="0" w:color="auto"/>
      </w:divBdr>
    </w:div>
    <w:div w:id="408894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23</Pages>
  <Words>5497</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subject/>
  <dc:creator>Marie Söderlund</dc:creator>
  <cp:keywords/>
  <dc:description/>
  <cp:lastModifiedBy>jn0806ab</cp:lastModifiedBy>
  <cp:revision>4</cp:revision>
  <cp:lastPrinted>2013-11-25T14:35:00Z</cp:lastPrinted>
  <dcterms:created xsi:type="dcterms:W3CDTF">2013-11-25T13:02:00Z</dcterms:created>
  <dcterms:modified xsi:type="dcterms:W3CDTF">2013-11-25T14:46:00Z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b747efde-2fa8-4595-8f98-7c8b3be032c2</vt:lpwstr>
  </property>
  <property fmtid="{D5CDD505-2E9C-101B-9397-08002B2CF9AE}" pid="7" name="Departementsenhet">
    <vt:lpwstr/>
  </property>
  <property fmtid="{D5CDD505-2E9C-101B-9397-08002B2CF9AE}" pid="8" name="Aktivitetskategori">
    <vt:lpwstr/>
  </property>
  <property fmtid="{D5CDD505-2E9C-101B-9397-08002B2CF9AE}" pid="9" name="RKOrdnaCheckInComment">
    <vt:lpwstr/>
  </property>
  <property fmtid="{D5CDD505-2E9C-101B-9397-08002B2CF9AE}" pid="10" name="RKOrdnaClass">
    <vt:lpwstr/>
  </property>
  <property fmtid="{D5CDD505-2E9C-101B-9397-08002B2CF9AE}" pid="11" name="Diarienummer">
    <vt:lpwstr/>
  </property>
  <property fmtid="{D5CDD505-2E9C-101B-9397-08002B2CF9AE}" pid="12" name="k46d94c0acf84ab9a79866a9d8b1905f">
    <vt:lpwstr/>
  </property>
  <property fmtid="{D5CDD505-2E9C-101B-9397-08002B2CF9AE}" pid="13" name="Nyckelord">
    <vt:lpwstr/>
  </property>
  <property fmtid="{D5CDD505-2E9C-101B-9397-08002B2CF9AE}" pid="14" name="Sekretess">
    <vt:lpwstr>0</vt:lpwstr>
  </property>
  <property fmtid="{D5CDD505-2E9C-101B-9397-08002B2CF9AE}" pid="15" name="c9cd366cc722410295b9eacffbd73909">
    <vt:lpwstr/>
  </property>
  <property fmtid="{D5CDD505-2E9C-101B-9397-08002B2CF9AE}" pid="16" name="TaxCatchAll">
    <vt:lpwstr/>
  </property>
  <property fmtid="{D5CDD505-2E9C-101B-9397-08002B2CF9AE}" pid="17" name="_dlc_DocId">
    <vt:lpwstr>F5J5VW6DSRJ4-5-12590</vt:lpwstr>
  </property>
  <property fmtid="{D5CDD505-2E9C-101B-9397-08002B2CF9AE}" pid="18" name="_dlc_DocIdUrl">
    <vt:lpwstr>http://rkdhs-ju/enhet/eu/_layouts/DocIdRedir.aspx?ID=F5J5VW6DSRJ4-5-12590, F5J5VW6DSRJ4-5-12590</vt:lpwstr>
  </property>
</Properties>
</file>