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7D76" w:rsidRPr="00D33DFD" w:rsidRDefault="00C27D76">
      <w:pPr>
        <w:pStyle w:val="Frslagsrubrik"/>
      </w:pPr>
      <w:r w:rsidRPr="00D33DFD">
        <w:t>Förslag till riksdagsbeslut</w:t>
      </w:r>
    </w:p>
    <w:p w:rsidR="00C27D76" w:rsidRPr="00D33DFD" w:rsidRDefault="00C27D76">
      <w:pPr>
        <w:pStyle w:val="Hemstlatt"/>
        <w:ind w:left="0"/>
      </w:pPr>
      <w:r w:rsidRPr="00D33DFD">
        <w:t>Riksdagen tillkännager för regeringen som sin mening vad som anförs i motionen om att se över</w:t>
      </w:r>
      <w:r w:rsidRPr="00D33DFD">
        <w:rPr>
          <w:bCs/>
        </w:rPr>
        <w:t xml:space="preserve"> </w:t>
      </w:r>
      <w:r w:rsidRPr="00D33DFD">
        <w:t>lagen om styrelserepresentation för privatan</w:t>
      </w:r>
      <w:r w:rsidRPr="00D33DFD">
        <w:softHyphen/>
        <w:t>ställda och lagen om europeiska företagsråd i syfte att öka repre</w:t>
      </w:r>
      <w:r w:rsidRPr="00D33DFD">
        <w:softHyphen/>
        <w:t>sentationen av arbetstagare i företags och koncerners styre</w:t>
      </w:r>
      <w:r w:rsidRPr="00D33DFD">
        <w:t>l</w:t>
      </w:r>
      <w:r w:rsidRPr="00D33DFD">
        <w:t>ser.</w:t>
      </w:r>
    </w:p>
    <w:p w:rsidR="00C27D76" w:rsidRPr="00D33DFD" w:rsidRDefault="00C27D76">
      <w:pPr>
        <w:pStyle w:val="Rubrik1"/>
      </w:pPr>
      <w:r w:rsidRPr="00D33DFD">
        <w:t>Motivering</w:t>
      </w:r>
    </w:p>
    <w:p w:rsidR="00C27D76" w:rsidRPr="00D33DFD" w:rsidRDefault="00C27D76">
      <w:r w:rsidRPr="00D33DFD">
        <w:t>Dagens representation i bolagsstyrelser och europeiska företagsråd speglar den situation som rådde på svensk privatarbetsmarknad på 1970-talet. Då fanns två huvudorganisationer, nämligen LO och PTK (tidigare Privattjän</w:t>
      </w:r>
      <w:r w:rsidRPr="00D33DFD">
        <w:t>s</w:t>
      </w:r>
      <w:r w:rsidRPr="00D33DFD">
        <w:t>temannakartellen). Utifrån dessa två huvudorganisationer och deras medlem</w:t>
      </w:r>
      <w:r w:rsidRPr="00D33DFD">
        <w:t>s</w:t>
      </w:r>
      <w:r w:rsidRPr="00D33DFD">
        <w:t>förbunds totala antal medlemmar inom berörda företag och koncerner förd</w:t>
      </w:r>
      <w:r w:rsidRPr="00D33DFD">
        <w:t>e</w:t>
      </w:r>
      <w:r w:rsidRPr="00D33DFD">
        <w:t>lades sedan arbetstagarnas platser i bolagsstyrelser. Nuvarande lagstiftning har sett i stort sett identisk ut sedan mitten av 1980-talet.</w:t>
      </w:r>
    </w:p>
    <w:p w:rsidR="00C27D76" w:rsidRPr="00D33DFD" w:rsidRDefault="00C27D76">
      <w:pPr>
        <w:pStyle w:val="Normaltindrag"/>
      </w:pPr>
      <w:r w:rsidRPr="00D33DFD">
        <w:t xml:space="preserve">Idag, över 30 år senare, finns flera fackliga organisationer verksamma inom aktiebolag som inte tillhör de två huvudorganisationerna LO och PTK. </w:t>
      </w:r>
      <w:r w:rsidRPr="00D33DFD">
        <w:rPr>
          <w:color w:val="000000"/>
          <w:szCs w:val="24"/>
        </w:rPr>
        <w:t>En av anledningarna för detta är att privatiseringar eller byte av association</w:t>
      </w:r>
      <w:r w:rsidRPr="00D33DFD">
        <w:rPr>
          <w:color w:val="000000"/>
          <w:szCs w:val="24"/>
        </w:rPr>
        <w:t>s</w:t>
      </w:r>
      <w:r w:rsidRPr="00D33DFD">
        <w:rPr>
          <w:color w:val="000000"/>
          <w:szCs w:val="24"/>
        </w:rPr>
        <w:t>form har genomförts efter samhälleliga initiativ. Därför återspeglar inte lagen den rådande situationen och behöver förändras för att bättre möta den för</w:t>
      </w:r>
      <w:r w:rsidRPr="00D33DFD">
        <w:rPr>
          <w:color w:val="000000"/>
          <w:szCs w:val="24"/>
        </w:rPr>
        <w:t>e</w:t>
      </w:r>
      <w:r w:rsidRPr="00D33DFD">
        <w:rPr>
          <w:color w:val="000000"/>
          <w:szCs w:val="24"/>
        </w:rPr>
        <w:t>tagsmiljö som råder idag. Ett annat skäl till att lagen om styrelserepresent</w:t>
      </w:r>
      <w:r w:rsidRPr="00D33DFD">
        <w:rPr>
          <w:color w:val="000000"/>
          <w:szCs w:val="24"/>
        </w:rPr>
        <w:t>a</w:t>
      </w:r>
      <w:r w:rsidRPr="00D33DFD">
        <w:rPr>
          <w:color w:val="000000"/>
          <w:szCs w:val="24"/>
        </w:rPr>
        <w:t>tion för de privatanställda bör ses över är att fackliga organisa</w:t>
      </w:r>
      <w:r w:rsidRPr="00D33DFD">
        <w:rPr>
          <w:color w:val="000000"/>
          <w:szCs w:val="24"/>
        </w:rPr>
        <w:softHyphen/>
        <w:t>tioner inom en huvudorganisation inte alltid samspelar varvid den mindre parten blir helt utan representation.</w:t>
      </w:r>
    </w:p>
    <w:p w:rsidR="00C27D76" w:rsidRPr="00D33DFD" w:rsidRDefault="00C27D76">
      <w:pPr>
        <w:pStyle w:val="Normaltindrag"/>
      </w:pPr>
      <w:r w:rsidRPr="00D33DFD">
        <w:t xml:space="preserve">Ett exempel: Ett företag </w:t>
      </w:r>
      <w:r w:rsidRPr="00D33DFD">
        <w:t>ska utse arbetstagarledamöter i bolagsstyrelsen a</w:t>
      </w:r>
      <w:r w:rsidRPr="00D33DFD">
        <w:t>l</w:t>
      </w:r>
      <w:r w:rsidRPr="00D33DFD">
        <w:t>ternativt representanter till koncer</w:t>
      </w:r>
      <w:r w:rsidRPr="00D33DFD">
        <w:softHyphen/>
        <w:t xml:space="preserve">nens europeiska företagsråd. Inom företaget </w:t>
      </w:r>
      <w:r w:rsidRPr="00D33DFD">
        <w:lastRenderedPageBreak/>
        <w:t>finns tre fackliga grupperingar som har kollektivavtal med arbets</w:t>
      </w:r>
      <w:r w:rsidRPr="00D33DFD">
        <w:softHyphen/>
        <w:t xml:space="preserve">givaren A, B och C. A har 45 procent av de anställda som medlemmar, B 30 procent och C 25 procent. Utan inbördes uppgörelse tillfaller all representation A och B, d.v.s. i bolagsstyrelsen en ordinarie och en suppleant per organisation eller, om det finns minst 1 000 anställda och företaget är verksamt i minst två </w:t>
      </w:r>
      <w:r w:rsidRPr="00D33DFD">
        <w:t>”branscher”, två or</w:t>
      </w:r>
      <w:r w:rsidRPr="00D33DFD">
        <w:softHyphen/>
        <w:t>dinarie och två suppleanter till A och en ordinarie och en suppleant till B. Samma princip gäller för europeiska företagsråd och blir mer orimlig ju fler representanter som ska utses.</w:t>
      </w:r>
    </w:p>
    <w:p w:rsidR="00C27D76" w:rsidRPr="00D33DFD" w:rsidRDefault="00C27D76">
      <w:pPr>
        <w:pStyle w:val="Normaltindrag"/>
      </w:pPr>
      <w:r w:rsidRPr="00D33DFD">
        <w:t>En översyn av lagen om arbetstagarrepresentation för privatanställda i b</w:t>
      </w:r>
      <w:r w:rsidRPr="00D33DFD">
        <w:t>o</w:t>
      </w:r>
      <w:r w:rsidRPr="00D33DFD">
        <w:t>lagsstyrelser och europeiska företags</w:t>
      </w:r>
      <w:r w:rsidRPr="00D33DFD">
        <w:softHyphen/>
        <w:t>råd bör därför genomföras där målsät</w:t>
      </w:r>
      <w:r w:rsidRPr="00D33DFD">
        <w:t>t</w:t>
      </w:r>
      <w:r w:rsidRPr="00D33DFD">
        <w:t>ningen är en förändring av regelverket. En tänkbar förändring är att innebö</w:t>
      </w:r>
      <w:r w:rsidRPr="00D33DFD">
        <w:t>r</w:t>
      </w:r>
      <w:r w:rsidRPr="00D33DFD">
        <w:t>den av ordet huvudorganisation i nuvarande lagstiftning förändras så att den även associerar med centralorganisa</w:t>
      </w:r>
      <w:r w:rsidRPr="00D33DFD">
        <w:softHyphen/>
        <w:t>tionerna LO, TCO och Saco. Denna fö</w:t>
      </w:r>
      <w:r w:rsidRPr="00D33DFD">
        <w:t>r</w:t>
      </w:r>
      <w:r w:rsidRPr="00D33DFD">
        <w:t>ändring bör gälla där en eller flera av de kollektivavtalande parterna på för</w:t>
      </w:r>
      <w:r w:rsidRPr="00D33DFD">
        <w:t>e</w:t>
      </w:r>
      <w:r w:rsidRPr="00D33DFD">
        <w:t xml:space="preserve">tagsnivå inte tillhör LO eller PTK. Utöver detta bör det finnas ett utökat skydd som innebär att kollektivavtalande part som har mer </w:t>
      </w:r>
      <w:r w:rsidRPr="00D33DFD">
        <w:t>än 5 procent av de anställda men minst 20 anställda i ett bolag eller en koncern ska ha rätt att utse en av de två eller tre suppleanterna i bolagsstyrelsen om det finns fler än två grupperingar. När det gäller europeiska företagsråd bör bestämmelsen om representation förändras så att den bygger på någon form av proportionalitet.</w:t>
      </w:r>
    </w:p>
    <w:p w:rsidR="00C27D76" w:rsidRPr="00D33DFD" w:rsidRDefault="00C27D76">
      <w:pPr>
        <w:pStyle w:val="Normaltindrag"/>
      </w:pPr>
      <w:r w:rsidRPr="00D33DFD">
        <w:t>I samband med översynen bör även utredas om en förändring ska ske så att styrelserepresentation för de an</w:t>
      </w:r>
      <w:r w:rsidRPr="00D33DFD">
        <w:softHyphen/>
        <w:t>ställda alltid ska föreligga i svenskt aktiebolag med fler än 25 anställda.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3DFD">
        <w:trPr>
          <w:cantSplit/>
        </w:trPr>
        <w:tc>
          <w:tcPr>
            <w:tcW w:w="3046" w:type="dxa"/>
          </w:tcPr>
          <w:p w:rsidR="00C27D76" w:rsidRPr="00D33DFD" w:rsidRDefault="00C27D76">
            <w:pPr>
              <w:pStyle w:val="UnderskriftDatum"/>
              <w:spacing w:before="240"/>
            </w:pPr>
            <w:r w:rsidRPr="00D33DFD">
              <w:t>Stockholm den 26 september 2011</w:t>
            </w:r>
          </w:p>
        </w:tc>
        <w:tc>
          <w:tcPr>
            <w:tcW w:w="3047" w:type="dxa"/>
          </w:tcPr>
          <w:p w:rsidR="00C27D76" w:rsidRPr="00D33DFD" w:rsidRDefault="00C27D76">
            <w:pPr>
              <w:pStyle w:val="Underskrifter"/>
              <w:spacing w:before="240"/>
            </w:pPr>
          </w:p>
        </w:tc>
      </w:tr>
      <w:tr w:rsidR="00000000" w:rsidRPr="00D33DFD">
        <w:trPr>
          <w:cantSplit/>
        </w:trPr>
        <w:tc>
          <w:tcPr>
            <w:tcW w:w="3046" w:type="dxa"/>
          </w:tcPr>
          <w:p w:rsidR="00C27D76" w:rsidRPr="00D33DFD" w:rsidRDefault="00C27D76">
            <w:pPr>
              <w:pStyle w:val="Underskrifter"/>
            </w:pPr>
            <w:r w:rsidRPr="00D33DFD">
              <w:t>Désirée Pethrus (KD)</w:t>
            </w:r>
          </w:p>
        </w:tc>
        <w:tc>
          <w:tcPr>
            <w:tcW w:w="3046" w:type="dxa"/>
          </w:tcPr>
          <w:p w:rsidR="00C27D76" w:rsidRPr="00D33DFD" w:rsidRDefault="00C27D76">
            <w:pPr>
              <w:pStyle w:val="Underskrifter"/>
            </w:pPr>
          </w:p>
        </w:tc>
      </w:tr>
    </w:tbl>
    <w:p w:rsidR="00C27D76" w:rsidRPr="00D33DFD" w:rsidRDefault="00C27D76">
      <w:pPr>
        <w:pStyle w:val="Normaltindrag"/>
      </w:pPr>
    </w:p>
    <w:sectPr w:rsidR="00C27D76" w:rsidRPr="00D33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D76" w:rsidRPr="00D33DFD" w:rsidRDefault="00C27D76">
      <w:r w:rsidRPr="00D33DFD">
        <w:separator/>
      </w:r>
    </w:p>
  </w:endnote>
  <w:endnote w:type="continuationSeparator" w:id="0">
    <w:p w:rsidR="00C27D76" w:rsidRPr="00D33DFD" w:rsidRDefault="00C27D76">
      <w:r w:rsidRPr="00D33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D76" w:rsidRPr="00D33DFD" w:rsidRDefault="00D33DFD">
    <w:pPr>
      <w:pStyle w:val="Sidfot"/>
    </w:pPr>
    <w:r w:rsidRPr="00D33D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07291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D76" w:rsidRDefault="00C27D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7D76" w:rsidRDefault="00C27D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D76" w:rsidRPr="00D33DFD" w:rsidRDefault="00D33DFD">
    <w:pPr>
      <w:pStyle w:val="Sidfot"/>
    </w:pPr>
    <w:r w:rsidRPr="00D33D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63717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D76" w:rsidRDefault="00C27D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7D76" w:rsidRDefault="00C27D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D76" w:rsidRPr="00D33DFD" w:rsidRDefault="00D33DFD">
    <w:pPr>
      <w:pStyle w:val="Sidfot"/>
    </w:pPr>
    <w:r w:rsidRPr="00D33D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57866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D76" w:rsidRDefault="00C27D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7D76" w:rsidRDefault="00C27D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D76" w:rsidRPr="00D33DFD" w:rsidRDefault="00C27D76">
      <w:r w:rsidRPr="00D33DFD">
        <w:separator/>
      </w:r>
    </w:p>
  </w:footnote>
  <w:footnote w:type="continuationSeparator" w:id="0">
    <w:p w:rsidR="00C27D76" w:rsidRPr="00D33DFD" w:rsidRDefault="00C27D76">
      <w:r w:rsidRPr="00D33D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D76" w:rsidRPr="00D33DFD" w:rsidRDefault="00D33DFD">
    <w:pPr>
      <w:pStyle w:val="Sidhuvud"/>
    </w:pPr>
    <w:r w:rsidRPr="00D33D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20086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D76" w:rsidRDefault="00C27D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7D76" w:rsidRDefault="00C27D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D76" w:rsidRPr="00D33DFD" w:rsidRDefault="00D33DFD">
    <w:pPr>
      <w:pStyle w:val="Sidhuvud"/>
    </w:pPr>
    <w:r w:rsidRPr="00D33D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07632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D76" w:rsidRDefault="00C27D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7D76" w:rsidRDefault="00C27D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D76" w:rsidRPr="00D33DFD" w:rsidRDefault="00C27D76">
    <w:pPr>
      <w:pStyle w:val="FSHNormal"/>
      <w:tabs>
        <w:tab w:val="right" w:pos="5840"/>
      </w:tabs>
    </w:pPr>
    <w:r w:rsidRPr="00D33DFD">
      <w:br/>
    </w:r>
    <w:r w:rsidRPr="00D33DFD">
      <w:fldChar w:fldCharType="begin" w:fldLock="1"/>
    </w:r>
    <w:r w:rsidRPr="00D33DFD">
      <w:instrText xml:space="preserve"> DOCPROPERTY</w:instrText>
    </w:r>
    <w:r w:rsidRPr="00D33DFD">
      <w:rPr>
        <w:sz w:val="18"/>
      </w:rPr>
      <w:instrText xml:space="preserve"> "YearUser" *\charformat </w:instrText>
    </w:r>
    <w:r w:rsidRPr="00D33DFD">
      <w:fldChar w:fldCharType="separate"/>
    </w:r>
    <w:r w:rsidRPr="00D33DFD">
      <w:t>2011/12</w:t>
    </w:r>
    <w:r w:rsidRPr="00D33DFD">
      <w:fldChar w:fldCharType="end"/>
    </w:r>
    <w:r w:rsidRPr="00D33DFD">
      <w:t xml:space="preserve"> </w:t>
    </w:r>
    <w:r w:rsidRPr="00D33DFD">
      <w:tab/>
      <w:t xml:space="preserve">mnr: </w:t>
    </w:r>
    <w:r w:rsidRPr="00D33DFD">
      <w:fldChar w:fldCharType="begin" w:fldLock="1"/>
    </w:r>
    <w:r w:rsidRPr="00D33DFD">
      <w:instrText xml:space="preserve"> DOCPROPERTY</w:instrText>
    </w:r>
    <w:r w:rsidRPr="00D33DFD">
      <w:rPr>
        <w:sz w:val="18"/>
      </w:rPr>
      <w:instrText xml:space="preserve"> "Motionsnummer" *\charformat </w:instrText>
    </w:r>
    <w:r w:rsidRPr="00D33DFD">
      <w:fldChar w:fldCharType="separate"/>
    </w:r>
    <w:r w:rsidRPr="00D33DFD">
      <w:t>A315</w:t>
    </w:r>
    <w:r w:rsidRPr="00D33DFD">
      <w:fldChar w:fldCharType="end"/>
    </w:r>
    <w:r w:rsidRPr="00D33DFD">
      <w:br/>
    </w:r>
    <w:r w:rsidRPr="00D33DFD">
      <w:fldChar w:fldCharType="begin" w:fldLock="1"/>
    </w:r>
    <w:r w:rsidRPr="00D33DFD">
      <w:instrText xml:space="preserve"> DOCPROPERTY</w:instrText>
    </w:r>
    <w:r w:rsidRPr="00D33DFD">
      <w:rPr>
        <w:sz w:val="18"/>
      </w:rPr>
      <w:instrText xml:space="preserve"> "Samling" *\charformat </w:instrText>
    </w:r>
    <w:r w:rsidRPr="00D33DFD">
      <w:fldChar w:fldCharType="end"/>
    </w:r>
    <w:r w:rsidRPr="00D33DFD">
      <w:tab/>
      <w:t xml:space="preserve">pnr: </w:t>
    </w:r>
    <w:r w:rsidRPr="00D33DFD">
      <w:fldChar w:fldCharType="begin" w:fldLock="1"/>
    </w:r>
    <w:r w:rsidRPr="00D33DFD">
      <w:instrText xml:space="preserve"> DOCPROPERTY</w:instrText>
    </w:r>
    <w:r w:rsidRPr="00D33DFD">
      <w:rPr>
        <w:sz w:val="18"/>
      </w:rPr>
      <w:instrText xml:space="preserve"> "Partinummer" *\charformat </w:instrText>
    </w:r>
    <w:r w:rsidRPr="00D33DFD">
      <w:fldChar w:fldCharType="separate"/>
    </w:r>
    <w:r w:rsidRPr="00D33DFD">
      <w:t>KD668</w:t>
    </w:r>
    <w:r w:rsidRPr="00D33DFD">
      <w:fldChar w:fldCharType="end"/>
    </w:r>
  </w:p>
  <w:p w:rsidR="00C27D76" w:rsidRPr="00D33DFD" w:rsidRDefault="00C27D76">
    <w:pPr>
      <w:pStyle w:val="FSHRub1"/>
    </w:pPr>
    <w:r w:rsidRPr="00D33DFD">
      <w:t>Motion till riksdagen</w:t>
    </w:r>
    <w:r w:rsidRPr="00D33DFD">
      <w:br/>
    </w:r>
    <w:r w:rsidRPr="00D33DFD">
      <w:fldChar w:fldCharType="begin" w:fldLock="1"/>
    </w:r>
    <w:r w:rsidRPr="00D33DFD">
      <w:instrText xml:space="preserve"> DOCPROPERTY "YearUser" *\charformat </w:instrText>
    </w:r>
    <w:r w:rsidRPr="00D33DFD">
      <w:fldChar w:fldCharType="separate"/>
    </w:r>
    <w:r w:rsidRPr="00D33DFD">
      <w:t>2011/12</w:t>
    </w:r>
    <w:r w:rsidRPr="00D33DFD">
      <w:fldChar w:fldCharType="end"/>
    </w:r>
    <w:r w:rsidRPr="00D33DFD">
      <w:t>:</w:t>
    </w:r>
    <w:r w:rsidRPr="00D33DFD">
      <w:fldChar w:fldCharType="begin" w:fldLock="1"/>
    </w:r>
    <w:r w:rsidRPr="00D33DFD">
      <w:instrText xml:space="preserve"> DOCPROPERTY "Motionsnummer" *\charformat </w:instrText>
    </w:r>
    <w:r w:rsidRPr="00D33DFD">
      <w:fldChar w:fldCharType="separate"/>
    </w:r>
    <w:r w:rsidRPr="00D33DFD">
      <w:t>A315</w:t>
    </w:r>
    <w:r w:rsidRPr="00D33DFD">
      <w:fldChar w:fldCharType="end"/>
    </w:r>
  </w:p>
  <w:p w:rsidR="00C27D76" w:rsidRPr="00D33DFD" w:rsidRDefault="00C27D76">
    <w:pPr>
      <w:pStyle w:val="FSHNormalS5"/>
    </w:pPr>
    <w:r w:rsidRPr="00D33DFD">
      <w:fldChar w:fldCharType="begin" w:fldLock="1"/>
    </w:r>
    <w:r w:rsidRPr="00D33DFD">
      <w:instrText xml:space="preserve"> DOCPROPERTY "MotionarText" *\charformat </w:instrText>
    </w:r>
    <w:r w:rsidRPr="00D33DFD">
      <w:fldChar w:fldCharType="separate"/>
    </w:r>
    <w:r w:rsidRPr="00D33DFD">
      <w:t>av Désirée Pethrus (KD)</w:t>
    </w:r>
    <w:r w:rsidRPr="00D33DFD">
      <w:fldChar w:fldCharType="end"/>
    </w:r>
    <w:r w:rsidRPr="00D33DFD">
      <w:br/>
    </w:r>
    <w:r w:rsidRPr="00D33DFD">
      <w:fldChar w:fldCharType="begin" w:fldLock="1"/>
    </w:r>
    <w:r w:rsidRPr="00D33DFD">
      <w:instrText xml:space="preserve"> DOCPROPERTY "SvarFrasKort" *\charformat </w:instrText>
    </w:r>
    <w:r w:rsidRPr="00D33DFD">
      <w:fldChar w:fldCharType="end"/>
    </w:r>
  </w:p>
  <w:p w:rsidR="00C27D76" w:rsidRPr="00D33DFD" w:rsidRDefault="00C27D76">
    <w:pPr>
      <w:pStyle w:val="FSHTitel"/>
    </w:pPr>
    <w:r w:rsidRPr="00D33DFD">
      <w:fldChar w:fldCharType="begin" w:fldLock="1"/>
    </w:r>
    <w:r w:rsidRPr="00D33DFD">
      <w:instrText xml:space="preserve"> DOCPROPERTY</w:instrText>
    </w:r>
    <w:r w:rsidRPr="00D33DFD">
      <w:rPr>
        <w:sz w:val="18"/>
      </w:rPr>
      <w:instrText xml:space="preserve"> "RubrikSvar" *\charformat </w:instrText>
    </w:r>
    <w:r w:rsidRPr="00D33DFD">
      <w:fldChar w:fldCharType="separate"/>
    </w:r>
    <w:r w:rsidRPr="00D33DFD">
      <w:t>Styrelserepresentation för privatanställda i bolagsstyrelser samt i europeiska företagsråd</w:t>
    </w:r>
    <w:r w:rsidRPr="00D33DFD">
      <w:fldChar w:fldCharType="end"/>
    </w:r>
  </w:p>
  <w:p w:rsidR="00C27D76" w:rsidRPr="00D33DFD" w:rsidRDefault="00C27D76">
    <w:pPr>
      <w:pStyle w:val="Normal00"/>
    </w:pPr>
  </w:p>
  <w:p w:rsidR="00C27D76" w:rsidRPr="00D33DFD" w:rsidRDefault="00C27D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07259390">
    <w:abstractNumId w:val="3"/>
  </w:num>
  <w:num w:numId="2" w16cid:durableId="629285079">
    <w:abstractNumId w:val="2"/>
  </w:num>
  <w:num w:numId="3" w16cid:durableId="518205434">
    <w:abstractNumId w:val="1"/>
  </w:num>
  <w:num w:numId="4" w16cid:durableId="1059326203">
    <w:abstractNumId w:val="0"/>
  </w:num>
  <w:num w:numId="5" w16cid:durableId="1082219441">
    <w:abstractNumId w:val="7"/>
  </w:num>
  <w:num w:numId="6" w16cid:durableId="1580822524">
    <w:abstractNumId w:val="6"/>
  </w:num>
  <w:num w:numId="7" w16cid:durableId="1713656063">
    <w:abstractNumId w:val="5"/>
  </w:num>
  <w:num w:numId="8" w16cid:durableId="2116172888">
    <w:abstractNumId w:val="4"/>
  </w:num>
  <w:num w:numId="9" w16cid:durableId="726075106">
    <w:abstractNumId w:val="8"/>
  </w:num>
  <w:num w:numId="10" w16cid:durableId="1303391104">
    <w:abstractNumId w:val="9"/>
  </w:num>
  <w:num w:numId="11" w16cid:durableId="360479530">
    <w:abstractNumId w:val="10"/>
  </w:num>
  <w:num w:numId="12" w16cid:durableId="1223717058">
    <w:abstractNumId w:val="13"/>
  </w:num>
  <w:num w:numId="13" w16cid:durableId="181094853">
    <w:abstractNumId w:val="15"/>
  </w:num>
  <w:num w:numId="14" w16cid:durableId="1223910118">
    <w:abstractNumId w:val="16"/>
  </w:num>
  <w:num w:numId="15" w16cid:durableId="1842313152">
    <w:abstractNumId w:val="11"/>
  </w:num>
  <w:num w:numId="16" w16cid:durableId="1342899291">
    <w:abstractNumId w:val="18"/>
  </w:num>
  <w:num w:numId="17" w16cid:durableId="1061636853">
    <w:abstractNumId w:val="17"/>
  </w:num>
  <w:num w:numId="18" w16cid:durableId="1554079396">
    <w:abstractNumId w:val="14"/>
  </w:num>
  <w:num w:numId="19" w16cid:durableId="299071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E2E504D2-12B4-4E2A-BED9-03C729432C26}"/>
  </w:docVars>
  <w:rsids>
    <w:rsidRoot w:val="007C4454"/>
    <w:rsid w:val="007C4454"/>
    <w:rsid w:val="00C27D76"/>
    <w:rsid w:val="00D3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44B954-ABAA-45B2-B028-C47C06F8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2892</Characters>
  <Application>Microsoft Office Word</Application>
  <DocSecurity>4</DocSecurity>
  <Lines>51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2011-11-24T14:20:00Z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Styrelserepresentation för privatanställda i bolagsstyrelser samt i europeiska företagsråd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Styrelserepresentation för privatanställda i bolagsstyrelser samt i europeiska företagsråd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Pethrus (KD)</vt:lpwstr>
  </property>
  <property fmtid="{D5CDD505-2E9C-101B-9397-08002B2CF9AE}" pid="26" name="MotionarLista">
    <vt:lpwstr>Pethrus,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mn0319aa</vt:lpwstr>
  </property>
  <property fmtid="{D5CDD505-2E9C-101B-9397-08002B2CF9AE}" pid="46" name="MotionID">
    <vt:lpwstr>20112012000000750068000006680069</vt:lpwstr>
  </property>
  <property fmtid="{D5CDD505-2E9C-101B-9397-08002B2CF9AE}" pid="47" name="datum">
    <vt:lpwstr>110926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20112012000000750068000006680069</vt:lpwstr>
  </property>
  <property fmtid="{D5CDD505-2E9C-101B-9397-08002B2CF9AE}" pid="50" name="nummer">
    <vt:lpwstr>315</vt:lpwstr>
  </property>
  <property fmtid="{D5CDD505-2E9C-101B-9397-08002B2CF9AE}" pid="51" name="utskottsbeteckning">
    <vt:lpwstr>A</vt:lpwstr>
  </property>
  <property fmtid="{D5CDD505-2E9C-101B-9397-08002B2CF9AE}" pid="52" name="GlobalUID">
    <vt:lpwstr>{1C06C371-E73D-4610-88EB-6DE206BB9A93}</vt:lpwstr>
  </property>
  <property fmtid="{D5CDD505-2E9C-101B-9397-08002B2CF9AE}" pid="53" name="Överföringar">
    <vt:i4>0</vt:i4>
  </property>
  <property fmtid="{D5CDD505-2E9C-101B-9397-08002B2CF9AE}" pid="54" name="Checksum">
    <vt:lpwstr>*1017332615559*</vt:lpwstr>
  </property>
  <property fmtid="{D5CDD505-2E9C-101B-9397-08002B2CF9AE}" pid="55" name="skuggnummer">
    <vt:lpwstr>1741</vt:lpwstr>
  </property>
  <property fmtid="{D5CDD505-2E9C-101B-9397-08002B2CF9AE}" pid="56" name="urixVersion">
    <vt:lpwstr>4.5.0.25</vt:lpwstr>
  </property>
  <property fmtid="{D5CDD505-2E9C-101B-9397-08002B2CF9AE}" pid="57" name="urixOrigin">
    <vt:lpwstr>111128 10:39:07.563</vt:lpwstr>
  </property>
  <property fmtid="{D5CDD505-2E9C-101B-9397-08002B2CF9AE}" pid="58" name="urixGuid">
    <vt:lpwstr>{375B601F-6A17-4004-996F-40EBBEB6A428}</vt:lpwstr>
  </property>
</Properties>
</file>