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0074A548B4000995EB6403495F085"/>
        </w:placeholder>
        <w:text/>
      </w:sdtPr>
      <w:sdtEndPr/>
      <w:sdtContent>
        <w:p w:rsidRPr="009B062B" w:rsidR="00AF30DD" w:rsidP="00DA28CE" w:rsidRDefault="00AF30DD" w14:paraId="53C158C4" w14:textId="77777777">
          <w:pPr>
            <w:pStyle w:val="Rubrik1"/>
            <w:spacing w:after="300"/>
          </w:pPr>
          <w:r w:rsidRPr="009B062B">
            <w:t>Förslag till riksdagsbeslut</w:t>
          </w:r>
        </w:p>
      </w:sdtContent>
    </w:sdt>
    <w:sdt>
      <w:sdtPr>
        <w:alias w:val="Yrkande 1"/>
        <w:tag w:val="9c9398eb-be6c-44ef-bd16-48df5dac3275"/>
        <w:id w:val="-477293056"/>
        <w:lock w:val="sdtLocked"/>
      </w:sdtPr>
      <w:sdtEndPr/>
      <w:sdtContent>
        <w:p w:rsidR="00F91DF2" w:rsidRDefault="00A45E4B" w14:paraId="53C158C5" w14:textId="77777777">
          <w:pPr>
            <w:pStyle w:val="Frslagstext"/>
            <w:numPr>
              <w:ilvl w:val="0"/>
              <w:numId w:val="0"/>
            </w:numPr>
          </w:pPr>
          <w:r>
            <w:t>Riksdagen anvisar anslagen för 2020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EA820C15B6042C59A985F6B20A99CEE"/>
        </w:placeholder>
        <w:text/>
      </w:sdtPr>
      <w:sdtEndPr/>
      <w:sdtContent>
        <w:p w:rsidR="007577E8" w:rsidP="00195F32" w:rsidRDefault="007577E8" w14:paraId="53C158C6" w14:textId="77777777">
          <w:pPr>
            <w:pStyle w:val="Rubrik1"/>
          </w:pPr>
          <w:r>
            <w:t>Anslagsfördelning</w:t>
          </w:r>
        </w:p>
      </w:sdtContent>
    </w:sdt>
    <w:p w:rsidRPr="005603D9" w:rsidR="005603D9" w:rsidP="005603D9" w:rsidRDefault="005603D9" w14:paraId="6C44170F" w14:textId="42C62CB5">
      <w:pPr>
        <w:pStyle w:val="Normalutanindragellerluft"/>
      </w:pPr>
      <w:r w:rsidRPr="005603D9">
        <w:t>Förutom de anslagsförändringar som redovisas i tabell 1 har vi inga avvikelser i för</w:t>
      </w:r>
      <w:r>
        <w:softHyphen/>
      </w:r>
      <w:r w:rsidRPr="005603D9">
        <w:t>hållande till regeringens förslag.</w:t>
      </w:r>
    </w:p>
    <w:p w:rsidRPr="005603D9" w:rsidR="005603D9" w:rsidP="005603D9" w:rsidRDefault="005603D9" w14:paraId="21F3B06C" w14:textId="77777777">
      <w:pPr>
        <w:pStyle w:val="Tabellrubrik"/>
      </w:pPr>
      <w:r w:rsidRPr="005603D9">
        <w:t>Tabell 1 Anslagsförslag 2020 för utgiftsområde 11 Ekonomisk trygghet vid ålderdom</w:t>
      </w:r>
    </w:p>
    <w:p w:rsidRPr="005603D9" w:rsidR="005603D9" w:rsidP="005603D9" w:rsidRDefault="005603D9" w14:paraId="1AB18698" w14:textId="77777777">
      <w:pPr>
        <w:pStyle w:val="Tabellunderrubrik"/>
      </w:pPr>
      <w:r w:rsidRPr="005603D9">
        <w:t>Tusental kronor</w:t>
      </w:r>
    </w:p>
    <w:tbl>
      <w:tblPr>
        <w:tblW w:w="8505" w:type="dxa"/>
        <w:tblLayout w:type="fixed"/>
        <w:tblCellMar>
          <w:left w:w="57" w:type="dxa"/>
          <w:right w:w="57" w:type="dxa"/>
        </w:tblCellMar>
        <w:tblLook w:val="0000" w:firstRow="0" w:lastRow="0" w:firstColumn="0" w:lastColumn="0" w:noHBand="0" w:noVBand="0"/>
      </w:tblPr>
      <w:tblGrid>
        <w:gridCol w:w="420"/>
        <w:gridCol w:w="4886"/>
        <w:gridCol w:w="1267"/>
        <w:gridCol w:w="1932"/>
      </w:tblGrid>
      <w:tr w:rsidR="00195F32" w:rsidTr="005603D9" w14:paraId="53C158D6" w14:textId="77777777">
        <w:trPr>
          <w:trHeight w:val="523"/>
        </w:trPr>
        <w:tc>
          <w:tcPr>
            <w:tcW w:w="5306" w:type="dxa"/>
            <w:gridSpan w:val="2"/>
            <w:tcBorders>
              <w:top w:val="single" w:color="auto" w:sz="6" w:space="0"/>
              <w:left w:val="nil"/>
              <w:bottom w:val="single" w:color="auto" w:sz="6" w:space="0"/>
              <w:right w:val="nil"/>
            </w:tcBorders>
            <w:tcMar>
              <w:left w:w="28" w:type="dxa"/>
            </w:tcMar>
          </w:tcPr>
          <w:p w:rsidR="00195F32" w:rsidP="005603D9" w:rsidRDefault="00195F32" w14:paraId="53C158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6" w:space="0"/>
              <w:left w:val="nil"/>
              <w:bottom w:val="single" w:color="auto" w:sz="6" w:space="0"/>
              <w:right w:val="nil"/>
            </w:tcBorders>
          </w:tcPr>
          <w:p w:rsidR="00195F32" w:rsidP="005603D9" w:rsidRDefault="00195F32" w14:paraId="53C158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6" w:space="0"/>
              <w:left w:val="nil"/>
              <w:bottom w:val="single" w:color="auto" w:sz="6" w:space="0"/>
              <w:right w:val="nil"/>
            </w:tcBorders>
            <w:tcMar>
              <w:right w:w="28" w:type="dxa"/>
            </w:tcMar>
          </w:tcPr>
          <w:p w:rsidR="00195F32" w:rsidP="005603D9" w:rsidRDefault="00195F32" w14:paraId="53C158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195F32" w:rsidTr="005603D9" w14:paraId="53C158DB" w14:textId="77777777">
        <w:trPr>
          <w:trHeight w:val="262"/>
        </w:trPr>
        <w:tc>
          <w:tcPr>
            <w:tcW w:w="420" w:type="dxa"/>
            <w:tcBorders>
              <w:top w:val="nil"/>
              <w:left w:val="nil"/>
              <w:bottom w:val="nil"/>
              <w:right w:val="nil"/>
            </w:tcBorders>
            <w:tcMar>
              <w:left w:w="28" w:type="dxa"/>
            </w:tcMar>
          </w:tcPr>
          <w:p w:rsidR="00195F32" w:rsidP="005603D9" w:rsidRDefault="00195F32" w14:paraId="53C158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w:t>
            </w:r>
          </w:p>
        </w:tc>
        <w:tc>
          <w:tcPr>
            <w:tcW w:w="4886" w:type="dxa"/>
            <w:tcBorders>
              <w:top w:val="nil"/>
              <w:left w:val="nil"/>
              <w:bottom w:val="nil"/>
              <w:right w:val="nil"/>
            </w:tcBorders>
            <w:tcMar>
              <w:left w:w="28" w:type="dxa"/>
            </w:tcMar>
          </w:tcPr>
          <w:p w:rsidR="00195F32" w:rsidP="005603D9" w:rsidRDefault="00195F32" w14:paraId="53C158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Garantipension till ålderspension</w:t>
            </w:r>
          </w:p>
        </w:tc>
        <w:tc>
          <w:tcPr>
            <w:tcW w:w="1267" w:type="dxa"/>
            <w:tcBorders>
              <w:top w:val="nil"/>
              <w:left w:val="nil"/>
              <w:bottom w:val="nil"/>
              <w:right w:val="nil"/>
            </w:tcBorders>
          </w:tcPr>
          <w:p w:rsidR="00195F32" w:rsidP="005603D9" w:rsidRDefault="00195F32" w14:paraId="53C158D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14 940 800</w:t>
            </w:r>
          </w:p>
        </w:tc>
        <w:tc>
          <w:tcPr>
            <w:tcW w:w="1932" w:type="dxa"/>
            <w:tcBorders>
              <w:top w:val="nil"/>
              <w:left w:val="nil"/>
              <w:bottom w:val="nil"/>
              <w:right w:val="nil"/>
            </w:tcBorders>
            <w:tcMar>
              <w:right w:w="28" w:type="dxa"/>
            </w:tcMar>
          </w:tcPr>
          <w:p w:rsidR="00195F32" w:rsidP="005603D9" w:rsidRDefault="00195F32" w14:paraId="53C158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+5 800 000</w:t>
            </w:r>
          </w:p>
        </w:tc>
      </w:tr>
      <w:tr w:rsidR="00195F32" w:rsidTr="005603D9" w14:paraId="53C158E0" w14:textId="77777777">
        <w:trPr>
          <w:trHeight w:val="262"/>
        </w:trPr>
        <w:tc>
          <w:tcPr>
            <w:tcW w:w="420" w:type="dxa"/>
            <w:tcBorders>
              <w:top w:val="nil"/>
              <w:left w:val="nil"/>
              <w:bottom w:val="nil"/>
              <w:right w:val="nil"/>
            </w:tcBorders>
            <w:tcMar>
              <w:left w:w="28" w:type="dxa"/>
            </w:tcMar>
          </w:tcPr>
          <w:p w:rsidR="00195F32" w:rsidP="005603D9" w:rsidRDefault="00195F32" w14:paraId="53C158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1:3</w:t>
            </w:r>
          </w:p>
        </w:tc>
        <w:tc>
          <w:tcPr>
            <w:tcW w:w="4886" w:type="dxa"/>
            <w:tcBorders>
              <w:top w:val="nil"/>
              <w:left w:val="nil"/>
              <w:bottom w:val="nil"/>
              <w:right w:val="nil"/>
            </w:tcBorders>
            <w:tcMar>
              <w:left w:w="28" w:type="dxa"/>
            </w:tcMar>
          </w:tcPr>
          <w:p w:rsidR="00195F32" w:rsidP="005603D9" w:rsidRDefault="00195F32" w14:paraId="53C158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Bostadstillägg till pensionärer</w:t>
            </w:r>
          </w:p>
        </w:tc>
        <w:tc>
          <w:tcPr>
            <w:tcW w:w="1267" w:type="dxa"/>
            <w:tcBorders>
              <w:top w:val="nil"/>
              <w:left w:val="nil"/>
              <w:bottom w:val="nil"/>
              <w:right w:val="nil"/>
            </w:tcBorders>
          </w:tcPr>
          <w:p w:rsidR="00195F32" w:rsidP="005603D9" w:rsidRDefault="00195F32" w14:paraId="53C158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10 026 300</w:t>
            </w:r>
          </w:p>
        </w:tc>
        <w:tc>
          <w:tcPr>
            <w:tcW w:w="1932" w:type="dxa"/>
            <w:tcBorders>
              <w:top w:val="nil"/>
              <w:left w:val="nil"/>
              <w:bottom w:val="nil"/>
              <w:right w:val="nil"/>
            </w:tcBorders>
            <w:tcMar>
              <w:right w:w="28" w:type="dxa"/>
            </w:tcMar>
          </w:tcPr>
          <w:p w:rsidR="00195F32" w:rsidP="005603D9" w:rsidRDefault="00195F32" w14:paraId="53C158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−2 100 000</w:t>
            </w:r>
          </w:p>
        </w:tc>
      </w:tr>
      <w:tr w:rsidR="00195F32" w:rsidTr="005603D9" w14:paraId="53C158E5" w14:textId="77777777">
        <w:trPr>
          <w:trHeight w:val="262"/>
        </w:trPr>
        <w:tc>
          <w:tcPr>
            <w:tcW w:w="420" w:type="dxa"/>
            <w:tcBorders>
              <w:top w:val="nil"/>
              <w:left w:val="nil"/>
              <w:right w:val="nil"/>
            </w:tcBorders>
            <w:tcMar>
              <w:left w:w="28" w:type="dxa"/>
            </w:tcMar>
          </w:tcPr>
          <w:p w:rsidR="00195F32" w:rsidP="005603D9" w:rsidRDefault="00195F32" w14:paraId="53C158E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1:4</w:t>
            </w:r>
          </w:p>
        </w:tc>
        <w:tc>
          <w:tcPr>
            <w:tcW w:w="4886" w:type="dxa"/>
            <w:tcBorders>
              <w:top w:val="nil"/>
              <w:left w:val="nil"/>
              <w:right w:val="nil"/>
            </w:tcBorders>
            <w:tcMar>
              <w:left w:w="28" w:type="dxa"/>
            </w:tcMar>
          </w:tcPr>
          <w:p w:rsidR="00195F32" w:rsidP="005603D9" w:rsidRDefault="00195F32" w14:paraId="53C158E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Äldreförsörjningsstöd</w:t>
            </w:r>
          </w:p>
        </w:tc>
        <w:tc>
          <w:tcPr>
            <w:tcW w:w="1267" w:type="dxa"/>
            <w:tcBorders>
              <w:top w:val="nil"/>
              <w:left w:val="nil"/>
              <w:right w:val="nil"/>
            </w:tcBorders>
          </w:tcPr>
          <w:p w:rsidR="00195F32" w:rsidP="005603D9" w:rsidRDefault="00195F32" w14:paraId="53C158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1 174 500</w:t>
            </w:r>
          </w:p>
        </w:tc>
        <w:tc>
          <w:tcPr>
            <w:tcW w:w="1932" w:type="dxa"/>
            <w:tcBorders>
              <w:top w:val="nil"/>
              <w:left w:val="nil"/>
              <w:right w:val="nil"/>
            </w:tcBorders>
            <w:tcMar>
              <w:right w:w="28" w:type="dxa"/>
            </w:tcMar>
          </w:tcPr>
          <w:p w:rsidR="00195F32" w:rsidP="005603D9" w:rsidRDefault="00195F32" w14:paraId="53C158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−100 000</w:t>
            </w:r>
          </w:p>
        </w:tc>
      </w:tr>
      <w:tr w:rsidR="00330577" w:rsidTr="004F7EFD" w14:paraId="53C158EA" w14:textId="77777777">
        <w:trPr>
          <w:trHeight w:val="262"/>
        </w:trPr>
        <w:tc>
          <w:tcPr>
            <w:tcW w:w="5306" w:type="dxa"/>
            <w:gridSpan w:val="2"/>
            <w:tcBorders>
              <w:left w:val="nil"/>
              <w:bottom w:val="single" w:color="auto" w:sz="4" w:space="0"/>
              <w:right w:val="nil"/>
            </w:tcBorders>
            <w:tcMar>
              <w:left w:w="28" w:type="dxa"/>
            </w:tcMar>
          </w:tcPr>
          <w:p w:rsidR="00330577" w:rsidP="005603D9" w:rsidRDefault="00330577" w14:paraId="53C158E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bookmarkStart w:name="_GoBack" w:colFirst="0" w:colLast="0" w:id="1"/>
            <w:r>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00330577" w:rsidP="005603D9" w:rsidRDefault="00330577" w14:paraId="53C158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36 542 396</w:t>
            </w:r>
          </w:p>
        </w:tc>
        <w:tc>
          <w:tcPr>
            <w:tcW w:w="1932" w:type="dxa"/>
            <w:tcBorders>
              <w:left w:val="nil"/>
              <w:bottom w:val="single" w:color="auto" w:sz="4" w:space="0"/>
              <w:right w:val="nil"/>
            </w:tcBorders>
            <w:tcMar>
              <w:right w:w="28" w:type="dxa"/>
            </w:tcMar>
          </w:tcPr>
          <w:p w:rsidR="00330577" w:rsidP="005603D9" w:rsidRDefault="00330577" w14:paraId="53C158E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+3 600 000</w:t>
            </w:r>
          </w:p>
        </w:tc>
      </w:tr>
    </w:tbl>
    <w:bookmarkEnd w:id="1"/>
    <w:p w:rsidR="00126D50" w:rsidP="00126D50" w:rsidRDefault="00126D50" w14:paraId="53C158EB" w14:textId="77777777">
      <w:pPr>
        <w:pStyle w:val="Rubrik2"/>
      </w:pPr>
      <w:r>
        <w:t>A</w:t>
      </w:r>
      <w:r w:rsidR="007577E8">
        <w:t>nslag</w:t>
      </w:r>
      <w:r>
        <w:t xml:space="preserve"> 1:1 </w:t>
      </w:r>
      <w:r w:rsidRPr="001523C3" w:rsidR="001523C3">
        <w:t>Garantipension till ålderspension</w:t>
      </w:r>
    </w:p>
    <w:p w:rsidR="00C26815" w:rsidP="00C26815" w:rsidRDefault="00C26815" w14:paraId="53C158EC" w14:textId="77777777">
      <w:pPr>
        <w:pStyle w:val="Normalutanindragellerluft"/>
      </w:pPr>
      <w:r>
        <w:t xml:space="preserve">De ekonomiska klyftorna i Sverige växer till följd av en ekonomisk politik som gynnar vissa mer än andra. Pensionssystemet är en del av den politiken. Garantipensionen är i dag konstruerad på så sätt att de som lever på garantipension halkat efter den övriga befolkningen, eftersom garantipensionen är prisindexerad i stället för inkomstindexerad. Sedan garantipensionen infördes 2003 har pensionärer med garantipension i genomsnitt haft en real inkomstökning på 15,7 procent i jämförelse med 44,6 procent för förvärvsarbetare. </w:t>
      </w:r>
    </w:p>
    <w:p w:rsidRPr="00E300E2" w:rsidR="00C26815" w:rsidP="00211350" w:rsidRDefault="00C26815" w14:paraId="53C158EE" w14:textId="74A0400D">
      <w:r>
        <w:lastRenderedPageBreak/>
        <w:t>För att åtgärda den stora klyftan som växt fram sedan 2003, mellan de som lever på garantipension och den övriga befolkningen, krävs en rejäl höjning av garanti</w:t>
      </w:r>
      <w:r w:rsidR="005603D9">
        <w:softHyphen/>
      </w:r>
      <w:r>
        <w:t>pensionerna. Vänsterpartiet menar att garantipensionärer inte ska behöva riskera fattigdom och att inkomstutvecklingen för gruppen på sikt behöver hålla jämna steg med den allmänna löneutvecklingen. Vi föreslår en höjning av garantipensionen med</w:t>
      </w:r>
      <w:r w:rsidR="00211350">
        <w:t xml:space="preserve"> </w:t>
      </w:r>
      <w:r w:rsidRPr="00E300E2">
        <w:t>1</w:t>
      </w:r>
      <w:r w:rsidR="00211350">
        <w:t> </w:t>
      </w:r>
      <w:r w:rsidRPr="00E300E2">
        <w:t>000 kronor per månad (0,258 prisbasbelopp) som ett första steg, i stället för regeringens föreslagna höjning om 200 kronor per månad. För att finansiera vår före</w:t>
      </w:r>
      <w:r w:rsidR="005603D9">
        <w:softHyphen/>
      </w:r>
      <w:r w:rsidRPr="00E300E2">
        <w:t xml:space="preserve">slagna höjning av garantipensionen vill vi anslå ytterligare 5,8 miljarder kronor till anslaget för 2020. </w:t>
      </w:r>
    </w:p>
    <w:p w:rsidRPr="00C26815" w:rsidR="00B6636C" w:rsidP="00C26815" w:rsidRDefault="00B6636C" w14:paraId="53C158EF" w14:textId="77777777">
      <w:r>
        <w:t xml:space="preserve">Till följd av förslaget om att införa en åldersfaktor i sjukförsäkringen minskar sannolikt kostnaderna för anslaget. Det beror på att delar av den grupp som genom förslaget får rätt till sjukersättning annars skulle erhålla garantipension. Hur stor gruppen är har inte gått att fastställa, varför vi inte föreslår några ändringar av anslaget som konsekvens av förslaget. </w:t>
      </w:r>
    </w:p>
    <w:p w:rsidR="00126D50" w:rsidP="00C26815" w:rsidRDefault="001523C3" w14:paraId="53C158F0" w14:textId="77777777">
      <w:pPr>
        <w:pStyle w:val="Rubrik2"/>
      </w:pPr>
      <w:r w:rsidRPr="00C26815">
        <w:t>Anslag 1:3</w:t>
      </w:r>
      <w:r w:rsidRPr="00C26815" w:rsidR="00126D50">
        <w:t xml:space="preserve"> </w:t>
      </w:r>
      <w:r w:rsidRPr="00C26815">
        <w:t>Bostadstillägg till pensionärer</w:t>
      </w:r>
    </w:p>
    <w:p w:rsidRPr="00C26815" w:rsidR="00C26815" w:rsidP="00C26815" w:rsidRDefault="00C26815" w14:paraId="53C158F1" w14:textId="44ED3FB1">
      <w:pPr>
        <w:pStyle w:val="Normalutanindragellerluft"/>
      </w:pPr>
      <w:r>
        <w:t>Till följd av förslaget om höjd garantipension minskar statens kostnader under anslaget. Bostadstillägget till pensionärer minskar med 2</w:t>
      </w:r>
      <w:r w:rsidR="00211350">
        <w:t> </w:t>
      </w:r>
      <w:r>
        <w:t xml:space="preserve">miljarder kronor och det särskilda bostadstillägget med 100 miljoner kronor för 2020. </w:t>
      </w:r>
    </w:p>
    <w:p w:rsidR="00C26815" w:rsidP="00C26815" w:rsidRDefault="00C26815" w14:paraId="53C158F2" w14:textId="77777777">
      <w:pPr>
        <w:pStyle w:val="Rubrik2"/>
      </w:pPr>
      <w:r>
        <w:t xml:space="preserve">Anslag 1:4 </w:t>
      </w:r>
      <w:r w:rsidRPr="00C26815">
        <w:t>Äldreförsörjningsstöd</w:t>
      </w:r>
    </w:p>
    <w:p w:rsidR="004107B9" w:rsidP="004107B9" w:rsidRDefault="004107B9" w14:paraId="53C158F3" w14:textId="123E8E56">
      <w:pPr>
        <w:pStyle w:val="Normalutanindragellerluft"/>
      </w:pPr>
      <w:r>
        <w:t>Till följd av förslaget om höjd garantipension minskar statens kostnader för äldre</w:t>
      </w:r>
      <w:r w:rsidR="005603D9">
        <w:softHyphen/>
      </w:r>
      <w:r>
        <w:t xml:space="preserve">försörjningsstöd. Anslaget minskar med 100 miljoner kronor för 2020. </w:t>
      </w:r>
    </w:p>
    <w:p w:rsidRPr="004107B9" w:rsidR="004107B9" w:rsidP="004107B9" w:rsidRDefault="004107B9" w14:paraId="53C158F4" w14:textId="52ED53ED">
      <w:r>
        <w:t>Förslagen om höjd garantipension och Vänsterpartiets politik för ett bättre pensionssystem redovisas i motion</w:t>
      </w:r>
      <w:r w:rsidR="00211350">
        <w:t>en</w:t>
      </w:r>
      <w:r>
        <w:t xml:space="preserve"> Alla ska kunna leva på sin pension (2019/20:</w:t>
      </w:r>
      <w:r w:rsidR="00211350">
        <w:t>587</w:t>
      </w:r>
      <w:r w:rsidR="00523079">
        <w:t>). De föreslagna kostnadsändringarna</w:t>
      </w:r>
      <w:r>
        <w:t xml:space="preserve"> under utgiftsområdet bygger på beräkningar från </w:t>
      </w:r>
      <w:r w:rsidR="00211350">
        <w:t>r</w:t>
      </w:r>
      <w:r>
        <w:t>iksdagens utredningstjänst (</w:t>
      </w:r>
      <w:r w:rsidR="00211350">
        <w:t>d</w:t>
      </w:r>
      <w:r>
        <w:t>nr 2019:1019).</w:t>
      </w:r>
    </w:p>
    <w:sdt>
      <w:sdtPr>
        <w:alias w:val="CC_Underskrifter"/>
        <w:tag w:val="CC_Underskrifter"/>
        <w:id w:val="583496634"/>
        <w:lock w:val="sdtContentLocked"/>
        <w:placeholder>
          <w:docPart w:val="37CAB830ED594DA680531E78CCF2034B"/>
        </w:placeholder>
      </w:sdtPr>
      <w:sdtEndPr/>
      <w:sdtContent>
        <w:p w:rsidR="00B66742" w:rsidP="00B66742" w:rsidRDefault="00B66742" w14:paraId="53C158F5" w14:textId="77777777"/>
        <w:p w:rsidRPr="008E0FE2" w:rsidR="004801AC" w:rsidP="00B66742" w:rsidRDefault="00330577" w14:paraId="53C158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pPr>
            <w:r>
              <w:t> </w:t>
            </w:r>
          </w:p>
        </w:tc>
      </w:tr>
    </w:tbl>
    <w:p w:rsidR="00FD16BE" w:rsidRDefault="00FD16BE" w14:paraId="53C15906" w14:textId="77777777"/>
    <w:sectPr w:rsidR="00FD16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5908" w14:textId="77777777" w:rsidR="007577E8" w:rsidRDefault="007577E8" w:rsidP="000C1CAD">
      <w:pPr>
        <w:spacing w:line="240" w:lineRule="auto"/>
      </w:pPr>
      <w:r>
        <w:separator/>
      </w:r>
    </w:p>
  </w:endnote>
  <w:endnote w:type="continuationSeparator" w:id="0">
    <w:p w14:paraId="53C15909" w14:textId="77777777" w:rsidR="007577E8" w:rsidRDefault="00757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59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59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5F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5917" w14:textId="77777777" w:rsidR="00262EA3" w:rsidRPr="00B66742" w:rsidRDefault="00262EA3" w:rsidP="00B66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5906" w14:textId="77777777" w:rsidR="007577E8" w:rsidRDefault="007577E8" w:rsidP="000C1CAD">
      <w:pPr>
        <w:spacing w:line="240" w:lineRule="auto"/>
      </w:pPr>
      <w:r>
        <w:separator/>
      </w:r>
    </w:p>
  </w:footnote>
  <w:footnote w:type="continuationSeparator" w:id="0">
    <w:p w14:paraId="53C15907" w14:textId="77777777" w:rsidR="007577E8" w:rsidRDefault="00757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C159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15919" wp14:anchorId="53C159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577" w14:paraId="53C1591C" w14:textId="77777777">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4107B9">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C159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3D9" w14:paraId="53C1591C" w14:textId="77777777">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4107B9">
                          <w:t>253</w:t>
                        </w:r>
                      </w:sdtContent>
                    </w:sdt>
                  </w:p>
                </w:txbxContent>
              </v:textbox>
              <w10:wrap anchorx="page"/>
            </v:shape>
          </w:pict>
        </mc:Fallback>
      </mc:AlternateContent>
    </w:r>
  </w:p>
  <w:p w:rsidRPr="00293C4F" w:rsidR="00262EA3" w:rsidP="00776B74" w:rsidRDefault="00262EA3" w14:paraId="53C159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C1590C" w14:textId="77777777">
    <w:pPr>
      <w:jc w:val="right"/>
    </w:pPr>
  </w:p>
  <w:p w:rsidR="00262EA3" w:rsidP="00776B74" w:rsidRDefault="00262EA3" w14:paraId="53C159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577" w14:paraId="53C159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1591B" wp14:anchorId="53C159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577" w14:paraId="53C1591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577E8">
          <w:t>V</w:t>
        </w:r>
      </w:sdtContent>
    </w:sdt>
    <w:sdt>
      <w:sdtPr>
        <w:alias w:val="CC_Noformat_Partinummer"/>
        <w:tag w:val="CC_Noformat_Partinummer"/>
        <w:id w:val="-2014525982"/>
        <w:text/>
      </w:sdtPr>
      <w:sdtEndPr/>
      <w:sdtContent>
        <w:r w:rsidR="004107B9">
          <w:t>253</w:t>
        </w:r>
      </w:sdtContent>
    </w:sdt>
  </w:p>
  <w:p w:rsidRPr="008227B3" w:rsidR="00262EA3" w:rsidP="008227B3" w:rsidRDefault="00330577" w14:paraId="53C159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577" w14:paraId="53C159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:3014</w:t>
        </w:r>
      </w:sdtContent>
    </w:sdt>
  </w:p>
  <w:p w:rsidR="00262EA3" w:rsidP="00E03A3D" w:rsidRDefault="00330577" w14:paraId="53C15914"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FD1567" w14:paraId="53C15915"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53C159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4C7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06AD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C62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FA3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4450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8E2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65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2A48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7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5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C3"/>
    <w:rsid w:val="001532BF"/>
    <w:rsid w:val="0015385D"/>
    <w:rsid w:val="001544D6"/>
    <w:rsid w:val="001545B9"/>
    <w:rsid w:val="0015610E"/>
    <w:rsid w:val="00156688"/>
    <w:rsid w:val="001567C6"/>
    <w:rsid w:val="00157681"/>
    <w:rsid w:val="00157F3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32"/>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4EB"/>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42"/>
    <w:rsid w:val="002064B1"/>
    <w:rsid w:val="00206C33"/>
    <w:rsid w:val="0020768B"/>
    <w:rsid w:val="00207EDF"/>
    <w:rsid w:val="00210904"/>
    <w:rsid w:val="0021135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1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7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9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F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7B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EC"/>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5A"/>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79"/>
    <w:rsid w:val="005231E7"/>
    <w:rsid w:val="0052357B"/>
    <w:rsid w:val="005245CB"/>
    <w:rsid w:val="00524798"/>
    <w:rsid w:val="00524D25"/>
    <w:rsid w:val="005266EF"/>
    <w:rsid w:val="00526C4A"/>
    <w:rsid w:val="005305C6"/>
    <w:rsid w:val="00530BD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D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B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62"/>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FE"/>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8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D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E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7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6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05"/>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B7"/>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4B"/>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2A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38"/>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6C"/>
    <w:rsid w:val="00B66446"/>
    <w:rsid w:val="00B66687"/>
    <w:rsid w:val="00B6674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E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6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1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0E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2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5F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2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C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DF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67"/>
    <w:rsid w:val="00FD16B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158C3"/>
  <w15:chartTrackingRefBased/>
  <w15:docId w15:val="{984F0235-6B48-479E-A9C9-C5B32E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2">
    <w:name w:val="Plain Table 2"/>
    <w:basedOn w:val="Normaltabell"/>
    <w:uiPriority w:val="42"/>
    <w:rsid w:val="00757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0074A548B4000995EB6403495F085"/>
        <w:category>
          <w:name w:val="Allmänt"/>
          <w:gallery w:val="placeholder"/>
        </w:category>
        <w:types>
          <w:type w:val="bbPlcHdr"/>
        </w:types>
        <w:behaviors>
          <w:behavior w:val="content"/>
        </w:behaviors>
        <w:guid w:val="{A5A11F4F-6D91-4E28-9E16-8900DDE9814F}"/>
      </w:docPartPr>
      <w:docPartBody>
        <w:p w:rsidR="00C97E63" w:rsidRDefault="00C97E63">
          <w:pPr>
            <w:pStyle w:val="99D0074A548B4000995EB6403495F085"/>
          </w:pPr>
          <w:r w:rsidRPr="005A0A93">
            <w:rPr>
              <w:rStyle w:val="Platshllartext"/>
            </w:rPr>
            <w:t>Förslag till riksdagsbeslut</w:t>
          </w:r>
        </w:p>
      </w:docPartBody>
    </w:docPart>
    <w:docPart>
      <w:docPartPr>
        <w:name w:val="4EA820C15B6042C59A985F6B20A99CEE"/>
        <w:category>
          <w:name w:val="Allmänt"/>
          <w:gallery w:val="placeholder"/>
        </w:category>
        <w:types>
          <w:type w:val="bbPlcHdr"/>
        </w:types>
        <w:behaviors>
          <w:behavior w:val="content"/>
        </w:behaviors>
        <w:guid w:val="{FCB1DD4D-4102-434E-B3F4-696CFCD29083}"/>
      </w:docPartPr>
      <w:docPartBody>
        <w:p w:rsidR="00C97E63" w:rsidRDefault="00C97E63">
          <w:pPr>
            <w:pStyle w:val="4EA820C15B6042C59A985F6B20A99CEE"/>
          </w:pPr>
          <w:r w:rsidRPr="005A0A93">
            <w:rPr>
              <w:rStyle w:val="Platshllartext"/>
            </w:rPr>
            <w:t>Motivering</w:t>
          </w:r>
        </w:p>
      </w:docPartBody>
    </w:docPart>
    <w:docPart>
      <w:docPartPr>
        <w:name w:val="D4037A7EFAC244EEAACDDB1389EDA681"/>
        <w:category>
          <w:name w:val="Allmänt"/>
          <w:gallery w:val="placeholder"/>
        </w:category>
        <w:types>
          <w:type w:val="bbPlcHdr"/>
        </w:types>
        <w:behaviors>
          <w:behavior w:val="content"/>
        </w:behaviors>
        <w:guid w:val="{680FAC00-BA6B-4363-8F1F-091DC2DD0271}"/>
      </w:docPartPr>
      <w:docPartBody>
        <w:p w:rsidR="00C97E63" w:rsidRDefault="00C97E63">
          <w:pPr>
            <w:pStyle w:val="D4037A7EFAC244EEAACDDB1389EDA681"/>
          </w:pPr>
          <w:r>
            <w:rPr>
              <w:rStyle w:val="Platshllartext"/>
            </w:rPr>
            <w:t xml:space="preserve"> </w:t>
          </w:r>
        </w:p>
      </w:docPartBody>
    </w:docPart>
    <w:docPart>
      <w:docPartPr>
        <w:name w:val="58F069B024B04D98BFFFC9D61C010852"/>
        <w:category>
          <w:name w:val="Allmänt"/>
          <w:gallery w:val="placeholder"/>
        </w:category>
        <w:types>
          <w:type w:val="bbPlcHdr"/>
        </w:types>
        <w:behaviors>
          <w:behavior w:val="content"/>
        </w:behaviors>
        <w:guid w:val="{EC05AE39-3E67-4CBF-B2BD-09C535CEADBA}"/>
      </w:docPartPr>
      <w:docPartBody>
        <w:p w:rsidR="00C97E63" w:rsidRDefault="00C97E63">
          <w:pPr>
            <w:pStyle w:val="58F069B024B04D98BFFFC9D61C010852"/>
          </w:pPr>
          <w:r>
            <w:t xml:space="preserve"> </w:t>
          </w:r>
        </w:p>
      </w:docPartBody>
    </w:docPart>
    <w:docPart>
      <w:docPartPr>
        <w:name w:val="37CAB830ED594DA680531E78CCF2034B"/>
        <w:category>
          <w:name w:val="Allmänt"/>
          <w:gallery w:val="placeholder"/>
        </w:category>
        <w:types>
          <w:type w:val="bbPlcHdr"/>
        </w:types>
        <w:behaviors>
          <w:behavior w:val="content"/>
        </w:behaviors>
        <w:guid w:val="{E37624AC-C327-4BE9-A3B7-82F8857B1E2A}"/>
      </w:docPartPr>
      <w:docPartBody>
        <w:p w:rsidR="00681B68" w:rsidRDefault="00681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63"/>
    <w:rsid w:val="00681B68"/>
    <w:rsid w:val="00C97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0074A548B4000995EB6403495F085">
    <w:name w:val="99D0074A548B4000995EB6403495F085"/>
  </w:style>
  <w:style w:type="paragraph" w:customStyle="1" w:styleId="82B01D69AF434F2292EE6E2D3B283DB7">
    <w:name w:val="82B01D69AF434F2292EE6E2D3B283D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895E476A543A585EFF34AAB17E7FA">
    <w:name w:val="330895E476A543A585EFF34AAB17E7FA"/>
  </w:style>
  <w:style w:type="paragraph" w:customStyle="1" w:styleId="4EA820C15B6042C59A985F6B20A99CEE">
    <w:name w:val="4EA820C15B6042C59A985F6B20A99CEE"/>
  </w:style>
  <w:style w:type="paragraph" w:customStyle="1" w:styleId="C32D9F59AA654561B2D7DAAA6278DC66">
    <w:name w:val="C32D9F59AA654561B2D7DAAA6278DC66"/>
  </w:style>
  <w:style w:type="paragraph" w:customStyle="1" w:styleId="4ADD5EDDBC6345E387D189EDC00B001C">
    <w:name w:val="4ADD5EDDBC6345E387D189EDC00B001C"/>
  </w:style>
  <w:style w:type="paragraph" w:customStyle="1" w:styleId="D4037A7EFAC244EEAACDDB1389EDA681">
    <w:name w:val="D4037A7EFAC244EEAACDDB1389EDA681"/>
  </w:style>
  <w:style w:type="paragraph" w:customStyle="1" w:styleId="58F069B024B04D98BFFFC9D61C010852">
    <w:name w:val="58F069B024B04D98BFFFC9D61C010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8E06B-04F9-41AB-9F8B-98AE23913C87}"/>
</file>

<file path=customXml/itemProps2.xml><?xml version="1.0" encoding="utf-8"?>
<ds:datastoreItem xmlns:ds="http://schemas.openxmlformats.org/officeDocument/2006/customXml" ds:itemID="{163ACB40-32EA-4039-85D6-B89D522B32B8}"/>
</file>

<file path=customXml/itemProps3.xml><?xml version="1.0" encoding="utf-8"?>
<ds:datastoreItem xmlns:ds="http://schemas.openxmlformats.org/officeDocument/2006/customXml" ds:itemID="{F5441669-3A3C-47F8-8766-589E65B87351}"/>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2737</Characters>
  <Application>Microsoft Office Word</Application>
  <DocSecurity>0</DocSecurity>
  <Lines>76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V253 Utgiftsområde 11 Ekonomisk trygghet vid ålderdom</vt:lpstr>
      <vt:lpstr>
      </vt:lpstr>
    </vt:vector>
  </TitlesOfParts>
  <Company>Sveriges riksdag</Company>
  <LinksUpToDate>false</LinksUpToDate>
  <CharactersWithSpaces>3142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