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D3FDB">
        <w:tblPrEx>
          <w:tblCellMar>
            <w:top w:w="0" w:type="dxa"/>
            <w:bottom w:w="0" w:type="dxa"/>
          </w:tblCellMar>
        </w:tblPrEx>
        <w:trPr>
          <w:cantSplit/>
          <w:trHeight w:hRule="exact" w:val="1260"/>
        </w:trPr>
        <w:tc>
          <w:tcPr>
            <w:tcW w:w="6024" w:type="dxa"/>
            <w:gridSpan w:val="2"/>
            <w:vMerge w:val="restart"/>
          </w:tcPr>
          <w:p w:rsidR="00AD1575" w:rsidRPr="009D3FDB" w:rsidRDefault="00AD1575">
            <w:pPr>
              <w:pStyle w:val="HuvudRubrik"/>
            </w:pPr>
            <w:bookmarkStart w:id="0" w:name="BetänkandeRubrik"/>
            <w:bookmarkEnd w:id="0"/>
            <w:r w:rsidRPr="009D3FDB">
              <w:t>Lagutskottets yttrande</w:t>
            </w:r>
            <w:r w:rsidR="009D3FDB" w:rsidRPr="009D3FD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63268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D1575" w:rsidRPr="009D3FDB" w:rsidRDefault="00AD1575">
                                  <w:pPr>
                                    <w:pStyle w:val="Logo"/>
                                  </w:pPr>
                                  <w:r w:rsidRPr="009D3FD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9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D1575" w:rsidRPr="009D3FDB" w:rsidRDefault="00AD1575">
                            <w:pPr>
                              <w:pStyle w:val="Logo"/>
                            </w:pPr>
                            <w:r w:rsidRPr="009D3FDB">
                              <w:object w:dxaOrig="840" w:dyaOrig="1545">
                                <v:shape id="_x0000_i1025" type="#_x0000_t75" style="width:90.45pt;height:77.15pt" fillcolor="window">
                                  <v:imagedata r:id="rId6" o:title="" cropright="-75835f"/>
                                </v:shape>
                                <o:OLEObject Type="Embed" ProgID="Word.Picture.8" ShapeID="_x0000_i1025" DrawAspect="Content" ObjectID="_1827347597" r:id="rId8"/>
                              </w:object>
                            </w:r>
                          </w:p>
                        </w:txbxContent>
                      </v:textbox>
                      <w10:wrap anchorx="page" anchory="page"/>
                    </v:shape>
                  </w:pict>
                </mc:Fallback>
              </mc:AlternateContent>
            </w:r>
          </w:p>
          <w:p w:rsidR="00AD1575" w:rsidRPr="009D3FDB" w:rsidRDefault="00AD1575">
            <w:pPr>
              <w:pStyle w:val="HuvudRubrikRad2"/>
            </w:pPr>
            <w:bookmarkStart w:id="17" w:name="BetänkandeNr"/>
            <w:bookmarkEnd w:id="17"/>
            <w:r w:rsidRPr="009D3FDB">
              <w:t>1999/2000:LU1y</w:t>
            </w:r>
          </w:p>
          <w:p w:rsidR="00AD1575" w:rsidRPr="009D3FDB" w:rsidRDefault="00AD1575">
            <w:pPr>
              <w:pStyle w:val="BetnkandeRubrik"/>
            </w:pPr>
            <w:bookmarkStart w:id="18" w:name="Huvudrubrik"/>
            <w:bookmarkEnd w:id="18"/>
            <w:r w:rsidRPr="009D3FDB">
              <w:t>Regeringens behandling av riksdagens skrivelser</w:t>
            </w:r>
          </w:p>
        </w:tc>
        <w:tc>
          <w:tcPr>
            <w:tcW w:w="1559" w:type="dxa"/>
            <w:tcBorders>
              <w:bottom w:val="nil"/>
            </w:tcBorders>
          </w:tcPr>
          <w:p w:rsidR="00AD1575" w:rsidRPr="009D3FDB" w:rsidRDefault="00AD1575">
            <w:pPr>
              <w:spacing w:before="0" w:line="230" w:lineRule="auto"/>
              <w:rPr>
                <w:sz w:val="24"/>
              </w:rPr>
            </w:pPr>
          </w:p>
        </w:tc>
      </w:tr>
      <w:tr w:rsidR="00000000" w:rsidRPr="009D3FDB">
        <w:tblPrEx>
          <w:tblCellMar>
            <w:top w:w="0" w:type="dxa"/>
            <w:bottom w:w="0" w:type="dxa"/>
          </w:tblCellMar>
        </w:tblPrEx>
        <w:trPr>
          <w:cantSplit/>
          <w:trHeight w:hRule="exact" w:val="240"/>
        </w:trPr>
        <w:tc>
          <w:tcPr>
            <w:tcW w:w="6024" w:type="dxa"/>
            <w:gridSpan w:val="2"/>
            <w:vMerge/>
            <w:tcBorders>
              <w:top w:val="nil"/>
              <w:bottom w:val="nil"/>
            </w:tcBorders>
          </w:tcPr>
          <w:p w:rsidR="00AD1575" w:rsidRPr="009D3FDB" w:rsidRDefault="00AD1575">
            <w:pPr>
              <w:spacing w:before="40" w:after="900" w:line="280" w:lineRule="exact"/>
              <w:jc w:val="left"/>
              <w:rPr>
                <w:sz w:val="28"/>
              </w:rPr>
            </w:pPr>
          </w:p>
        </w:tc>
        <w:tc>
          <w:tcPr>
            <w:tcW w:w="1559" w:type="dxa"/>
          </w:tcPr>
          <w:p w:rsidR="00AD1575" w:rsidRPr="009D3FDB" w:rsidRDefault="00AD1575">
            <w:pPr>
              <w:pStyle w:val="rtal"/>
            </w:pPr>
            <w:r w:rsidRPr="009D3FDB">
              <w:t>1999/2000</w:t>
            </w:r>
          </w:p>
        </w:tc>
      </w:tr>
      <w:tr w:rsidR="00000000" w:rsidRPr="009D3FDB">
        <w:tblPrEx>
          <w:tblCellMar>
            <w:top w:w="0" w:type="dxa"/>
            <w:bottom w:w="0" w:type="dxa"/>
          </w:tblCellMar>
        </w:tblPrEx>
        <w:trPr>
          <w:cantSplit/>
          <w:trHeight w:val="560"/>
        </w:trPr>
        <w:tc>
          <w:tcPr>
            <w:tcW w:w="6024" w:type="dxa"/>
            <w:gridSpan w:val="2"/>
            <w:vMerge/>
            <w:tcBorders>
              <w:top w:val="nil"/>
              <w:bottom w:val="single" w:sz="6" w:space="0" w:color="auto"/>
            </w:tcBorders>
          </w:tcPr>
          <w:p w:rsidR="00AD1575" w:rsidRPr="009D3FDB" w:rsidRDefault="00AD1575">
            <w:pPr>
              <w:spacing w:before="40" w:after="900" w:line="280" w:lineRule="exact"/>
              <w:jc w:val="left"/>
              <w:rPr>
                <w:sz w:val="28"/>
              </w:rPr>
            </w:pPr>
          </w:p>
        </w:tc>
        <w:tc>
          <w:tcPr>
            <w:tcW w:w="1559" w:type="dxa"/>
            <w:tcBorders>
              <w:bottom w:val="single" w:sz="6" w:space="0" w:color="auto"/>
            </w:tcBorders>
          </w:tcPr>
          <w:p w:rsidR="00AD1575" w:rsidRPr="009D3FDB" w:rsidRDefault="00AD1575">
            <w:pPr>
              <w:pStyle w:val="rtal"/>
            </w:pPr>
            <w:r w:rsidRPr="009D3FDB">
              <w:t>LU1y</w:t>
            </w:r>
          </w:p>
        </w:tc>
      </w:tr>
      <w:tr w:rsidR="00000000" w:rsidRPr="009D3FDB">
        <w:tblPrEx>
          <w:tblCellMar>
            <w:top w:w="0" w:type="dxa"/>
            <w:bottom w:w="0" w:type="dxa"/>
          </w:tblCellMar>
        </w:tblPrEx>
        <w:trPr>
          <w:cantSplit/>
          <w:trHeight w:hRule="exact" w:val="660"/>
        </w:trPr>
        <w:tc>
          <w:tcPr>
            <w:tcW w:w="3012" w:type="dxa"/>
          </w:tcPr>
          <w:p w:rsidR="00AD1575" w:rsidRPr="009D3FDB" w:rsidRDefault="00AD1575">
            <w:pPr>
              <w:pStyle w:val="StatusSida1"/>
            </w:pPr>
          </w:p>
        </w:tc>
        <w:tc>
          <w:tcPr>
            <w:tcW w:w="3012" w:type="dxa"/>
          </w:tcPr>
          <w:p w:rsidR="00AD1575" w:rsidRPr="009D3FDB" w:rsidRDefault="00AD1575">
            <w:pPr>
              <w:pStyle w:val="UtskriftsdatumSida1"/>
              <w:rPr>
                <w:b/>
                <w:sz w:val="28"/>
              </w:rPr>
            </w:pPr>
          </w:p>
        </w:tc>
        <w:tc>
          <w:tcPr>
            <w:tcW w:w="1559" w:type="dxa"/>
          </w:tcPr>
          <w:p w:rsidR="00AD1575" w:rsidRPr="009D3FDB" w:rsidRDefault="00AD1575"/>
        </w:tc>
      </w:tr>
    </w:tbl>
    <w:p w:rsidR="00AD1575" w:rsidRPr="009D3FDB" w:rsidRDefault="00AD1575">
      <w:pPr>
        <w:pStyle w:val="Rubrik1"/>
        <w:spacing w:before="0"/>
      </w:pPr>
      <w:bookmarkStart w:id="19" w:name="_Toc463245019"/>
      <w:r w:rsidRPr="009D3FDB">
        <w:t>Till konstitutionsutskottet</w:t>
      </w:r>
      <w:bookmarkEnd w:id="19"/>
    </w:p>
    <w:p w:rsidR="00AD1575" w:rsidRPr="009D3FDB" w:rsidRDefault="00AD1575">
      <w:bookmarkStart w:id="20" w:name="Textstart"/>
      <w:bookmarkEnd w:id="20"/>
      <w:r w:rsidRPr="009D3FDB">
        <w:t>Konstitutionsutskottet har den 6 maj 1999 beslutat anmoda övriga utskott att senast den 29 oktober 1999 yttra sig över regeringens skrivelse 1998/99:75 med redogörelse för behandlingen av riksdagens skrivelser till regeringen i de delar som har samband med respektive utskotts beredningsområde. Ingen motion har väckts med anledning av skrive</w:t>
      </w:r>
      <w:r w:rsidRPr="009D3FDB">
        <w:t>l</w:t>
      </w:r>
      <w:r w:rsidRPr="009D3FDB">
        <w:t xml:space="preserve">sen. </w:t>
      </w:r>
    </w:p>
    <w:p w:rsidR="00AD1575" w:rsidRPr="009D3FDB" w:rsidRDefault="00AD1575">
      <w:r w:rsidRPr="009D3FDB">
        <w:t>Konstitutionsutskottets anmodan föranleder följande yttrande från lagu</w:t>
      </w:r>
      <w:r w:rsidRPr="009D3FDB">
        <w:t>t</w:t>
      </w:r>
      <w:r w:rsidRPr="009D3FDB">
        <w:t>skottet.</w:t>
      </w:r>
    </w:p>
    <w:p w:rsidR="00AD1575" w:rsidRPr="009D3FDB" w:rsidRDefault="00AD1575">
      <w:pPr>
        <w:pStyle w:val="Rubrik1"/>
      </w:pPr>
      <w:r w:rsidRPr="009D3FDB">
        <w:t>Utskottet</w:t>
      </w:r>
    </w:p>
    <w:p w:rsidR="00AD1575" w:rsidRPr="009D3FDB" w:rsidRDefault="00AD1575">
      <w:r w:rsidRPr="009D3FDB">
        <w:t>I skrivelsen 1998/99:75 lämnar regeringen en redovisning av de beslut reg</w:t>
      </w:r>
      <w:r w:rsidRPr="009D3FDB">
        <w:t>e</w:t>
      </w:r>
      <w:r w:rsidRPr="009D3FDB">
        <w:t xml:space="preserve">ringen fattat med anledning av de riksdagsbeslut som meddelats i riksdagens skrivelser till regeringen. Redogörelsen omfattar huvudsakligen åtgärder vidtagna under tiden den 1 januari–den 31 december 1998. Vidare lämnar regeringen vissa uppgifter om antalet gällande författningar samt arbetet med regelreformering och språkvård. </w:t>
      </w:r>
    </w:p>
    <w:p w:rsidR="00AD1575" w:rsidRPr="009D3FDB" w:rsidRDefault="00AD1575">
      <w:pPr>
        <w:pStyle w:val="Normaltindrag"/>
      </w:pPr>
      <w:r w:rsidRPr="009D3FDB">
        <w:t>Liksom i tidigare skrivelser är redogörelsen uppställd departementsvis, som regel efter det departement riksdagsskrivelsen ställts till. En sådan pri</w:t>
      </w:r>
      <w:r w:rsidRPr="009D3FDB">
        <w:t>n</w:t>
      </w:r>
      <w:r w:rsidRPr="009D3FDB">
        <w:t>cip har dock inte kunnat upprätthållas fullt ut. Detta beror på att vissa depa</w:t>
      </w:r>
      <w:r w:rsidRPr="009D3FDB">
        <w:t>r</w:t>
      </w:r>
      <w:r w:rsidRPr="009D3FDB">
        <w:t>tement har upphört eller ändrat namn och att vissa ärendegrupper flyttats mellan olika departements verksamhetsområden. I sådana fall redovisas riksdagsskrivelserna under de departement som numera är ansvariga för beredningen av sakfrågorna. De departementsvisa avsnitten är kompletterade med två register. Ett är kronologiskt uppställt och innehåller hänvisningar om var i redogörelsen varje riksdagsskrivelse finns, uppgift om vil</w:t>
      </w:r>
      <w:r w:rsidRPr="009D3FDB">
        <w:t>ket riksdag</w:t>
      </w:r>
      <w:r w:rsidRPr="009D3FDB">
        <w:t>s</w:t>
      </w:r>
      <w:r w:rsidRPr="009D3FDB">
        <w:t>utskott som berett ärendet och om regeringen har slutbehandlat skrivelsen eller inte. I det andra registret, som innehåller samma sakuppgifter, är rik</w:t>
      </w:r>
      <w:r w:rsidRPr="009D3FDB">
        <w:t>s</w:t>
      </w:r>
      <w:r w:rsidRPr="009D3FDB">
        <w:t>dagsskrivelserna grupperade efter de utskott i vilka ärendena har beretts. För att på ett snabbt sätt hitta de för varje utskott aktuella skrivelserna är utsko</w:t>
      </w:r>
      <w:r w:rsidRPr="009D3FDB">
        <w:t>t</w:t>
      </w:r>
      <w:r w:rsidRPr="009D3FDB">
        <w:t>ten hänvis</w:t>
      </w:r>
      <w:r w:rsidRPr="009D3FDB">
        <w:t>a</w:t>
      </w:r>
      <w:r w:rsidRPr="009D3FDB">
        <w:t>de till det utskottsindelade registret.</w:t>
      </w:r>
    </w:p>
    <w:p w:rsidR="00AD1575" w:rsidRPr="009D3FDB" w:rsidRDefault="00AD1575">
      <w:pPr>
        <w:pStyle w:val="Normaltindrag"/>
      </w:pPr>
      <w:r w:rsidRPr="009D3FDB">
        <w:t>Enligt lagutskottets mening utgör de årliga återrapporteringarna som reg</w:t>
      </w:r>
      <w:r w:rsidRPr="009D3FDB">
        <w:t>e</w:t>
      </w:r>
      <w:r w:rsidRPr="009D3FDB">
        <w:t>ringen sedan år 1961 gör till riksdagen ett viktigt instrument för utskotten att inom sina respektive beredningsområden följa upp hur riksdagens tidigare beslut har genomförts av regeringen. När det gäller utformningen av redog</w:t>
      </w:r>
      <w:r w:rsidRPr="009D3FDB">
        <w:t>ö</w:t>
      </w:r>
      <w:r w:rsidRPr="009D3FDB">
        <w:lastRenderedPageBreak/>
        <w:t>relserna vill lagutskottet väcka frågan om man från regeringens sida i framt</w:t>
      </w:r>
      <w:r w:rsidRPr="009D3FDB">
        <w:t>i</w:t>
      </w:r>
      <w:r w:rsidRPr="009D3FDB">
        <w:t>den inte kunde göra ifrågavarande skrivelser mer överblickbara för riksdag</w:t>
      </w:r>
      <w:r w:rsidRPr="009D3FDB">
        <w:t>s</w:t>
      </w:r>
      <w:r w:rsidRPr="009D3FDB">
        <w:t>utskotten. Om regeringen ställde upp redogörelserna utskottsvis i stället för departementsvis skulle utskotten inte behöva gå omväg</w:t>
      </w:r>
      <w:r w:rsidRPr="009D3FDB">
        <w:t>en via det utskottsi</w:t>
      </w:r>
      <w:r w:rsidRPr="009D3FDB">
        <w:t>n</w:t>
      </w:r>
      <w:r w:rsidRPr="009D3FDB">
        <w:t>delade registret för att finna de för varje utskott aktuella skrivelserna. En sådan uppställning skulle dessutom göra skrivelserna mer lättillgängliga och användbara i utsko</w:t>
      </w:r>
      <w:r w:rsidRPr="009D3FDB">
        <w:t>t</w:t>
      </w:r>
      <w:r w:rsidRPr="009D3FDB">
        <w:t>tens uppföljningsarbete.</w:t>
      </w:r>
    </w:p>
    <w:p w:rsidR="00AD1575" w:rsidRPr="009D3FDB" w:rsidRDefault="00AD1575">
      <w:r w:rsidRPr="009D3FDB">
        <w:t>Av de riksdagsskrivelser som redovisats i årets skrivelse från regeringen faller sammanlagt 34 under lagutskottets beredningsområde, varav 17 äre</w:t>
      </w:r>
      <w:r w:rsidRPr="009D3FDB">
        <w:t>n</w:t>
      </w:r>
      <w:r w:rsidRPr="009D3FDB">
        <w:t>den anges som slubehandlade under redovisningsperioden. I 1998 års skr</w:t>
      </w:r>
      <w:r w:rsidRPr="009D3FDB">
        <w:t>i</w:t>
      </w:r>
      <w:r w:rsidRPr="009D3FDB">
        <w:t>velse (skr. 1997/98:75) redovisades för lagutskottets del sammanlagt 36 skrivelser, varav 24 som slutb</w:t>
      </w:r>
      <w:r w:rsidRPr="009D3FDB">
        <w:t>e</w:t>
      </w:r>
      <w:r w:rsidRPr="009D3FDB">
        <w:t xml:space="preserve">handlade. </w:t>
      </w:r>
    </w:p>
    <w:p w:rsidR="00AD1575" w:rsidRPr="009D3FDB" w:rsidRDefault="00AD1575">
      <w:pPr>
        <w:pStyle w:val="Normaltindrag"/>
      </w:pPr>
      <w:r w:rsidRPr="009D3FDB">
        <w:t xml:space="preserve">Inom lagutskottet har genomförts en granskning av de i årets skrivelse upptagna riksdagsskrivelserna som rör utskottet. Granskningen har avsett dels redovisningen i formell mening, dels de åtgärder regeringen vidtagit i anledning av riksdagens beslut. Utskottet kan konstatera att redovisningarna i allt väsentligt ger en god </w:t>
      </w:r>
      <w:r w:rsidRPr="009D3FDB">
        <w:t>bild av beredningsläget i de enskilda ärendena och att pågående beredningsarbete ligger väl i linje med riksdagens beslut. I något fall kunde redovisningen ha varit fylligare. Den kompletterande info</w:t>
      </w:r>
      <w:r w:rsidRPr="009D3FDB">
        <w:t>r</w:t>
      </w:r>
      <w:r w:rsidRPr="009D3FDB">
        <w:t>mation som inhämtats har dock givit vid handen att även dessa ärenden är föremål för ändamålse</w:t>
      </w:r>
      <w:r w:rsidRPr="009D3FDB">
        <w:t>n</w:t>
      </w:r>
      <w:r w:rsidRPr="009D3FDB">
        <w:t xml:space="preserve">lig beredning. </w:t>
      </w:r>
    </w:p>
    <w:p w:rsidR="00AD1575" w:rsidRPr="009D3FDB" w:rsidRDefault="00AD1575">
      <w:pPr>
        <w:pStyle w:val="Normaltindrag"/>
      </w:pPr>
      <w:r w:rsidRPr="009D3FDB">
        <w:t>Vid granskningen har lagutskottet särskilt noterat att det äldsta inte slutb</w:t>
      </w:r>
      <w:r w:rsidRPr="009D3FDB">
        <w:t>e</w:t>
      </w:r>
      <w:r w:rsidRPr="009D3FDB">
        <w:t>handlade ärendet är en skrivelse från maj 1986 (bet. LU 1985/86:32, rskr. 293) som gäller producentskydd för sceniska verk. I förra årets redogörelse hänvisades till att frågan diskuteras vid överläggningar med ansvariga d</w:t>
      </w:r>
      <w:r w:rsidRPr="009D3FDB">
        <w:t>e</w:t>
      </w:r>
      <w:r w:rsidRPr="009D3FDB">
        <w:t>partement i övriga nordiska länder och kommer att övervägas ytterligare. I årets redogörelse (s. 14) anges att frågan kommer att behandlas i samband med en översyn av upphovsrättslagen som påbörjas under år 1999. Utskottet förutsätter att skrivelsen därvid kommer att slutbehandlas inom e</w:t>
      </w:r>
      <w:r w:rsidRPr="009D3FDB">
        <w:t>n snar framtid.</w:t>
      </w:r>
    </w:p>
    <w:p w:rsidR="00AD1575" w:rsidRPr="009D3FDB" w:rsidRDefault="00AD1575">
      <w:r w:rsidRPr="009D3FDB">
        <w:t xml:space="preserve">I övrigt föranleder regeringens redogörelse för behandlingen av riksdagens skrivelser till regeringen – såvitt avser de ärenden som beretts av lagutskottet – inga ytterligare kommentarer från lagutskottets sida. </w:t>
      </w:r>
    </w:p>
    <w:p w:rsidR="00AD1575" w:rsidRPr="009D3FDB" w:rsidRDefault="00AD1575">
      <w:pPr>
        <w:pStyle w:val="Stockholm"/>
      </w:pPr>
      <w:r w:rsidRPr="009D3FDB">
        <w:t>Stockholm den 19 oktober 1999</w:t>
      </w:r>
    </w:p>
    <w:p w:rsidR="00AD1575" w:rsidRPr="009D3FDB" w:rsidRDefault="00AD1575">
      <w:pPr>
        <w:pStyle w:val="Vgnar"/>
      </w:pPr>
      <w:r w:rsidRPr="009D3FDB">
        <w:t>På lagutskottets vägnar</w:t>
      </w:r>
    </w:p>
    <w:p w:rsidR="00AD1575" w:rsidRPr="009D3FDB" w:rsidRDefault="00AD1575">
      <w:pPr>
        <w:pStyle w:val="Ordfnamn"/>
        <w:spacing w:before="360"/>
      </w:pPr>
      <w:bookmarkStart w:id="21" w:name="Ordförande"/>
      <w:bookmarkEnd w:id="21"/>
      <w:r w:rsidRPr="009D3FDB">
        <w:t xml:space="preserve">Tanja Linderborg </w:t>
      </w:r>
    </w:p>
    <w:p w:rsidR="00AD1575" w:rsidRPr="009D3FDB" w:rsidRDefault="00AD1575">
      <w:pPr>
        <w:pStyle w:val="Deltagare"/>
        <w:spacing w:before="360"/>
      </w:pPr>
      <w:bookmarkStart w:id="22" w:name="Deltagare"/>
      <w:bookmarkEnd w:id="22"/>
      <w:r w:rsidRPr="009D3FDB">
        <w:t>I beslutet har deltagit: Tanja Linderborg (v), Marianne Carlström (s), Stig Rindborg (m), Rune Berglund (s), Karin Olsson (s), Henrik S Järrel (m), Elizabeth Nyström (m), Christina Nenes (s), Tasso Stafilidis (v), Kjell Elde</w:t>
      </w:r>
      <w:r w:rsidRPr="009D3FDB">
        <w:t>n</w:t>
      </w:r>
      <w:r w:rsidRPr="009D3FDB">
        <w:t>sjö (kd), Berit Adolfsson (m), Anders Berglöv (s), Ana Maria Narti (fp) och Raimo Pär</w:t>
      </w:r>
      <w:r w:rsidRPr="009D3FDB">
        <w:t>s</w:t>
      </w:r>
      <w:r w:rsidRPr="009D3FDB">
        <w:t>sinen (s).</w:t>
      </w:r>
    </w:p>
    <w:p w:rsidR="00AD1575" w:rsidRPr="009D3FDB" w:rsidRDefault="00AD1575">
      <w:pPr>
        <w:pStyle w:val="Tryckort"/>
        <w:framePr w:wrap="around"/>
      </w:pPr>
      <w:r w:rsidRPr="009D3FDB">
        <w:t>Elanders Gotab, Stockholm  1999</w:t>
      </w:r>
    </w:p>
    <w:p w:rsidR="00AD1575" w:rsidRPr="009D3FDB" w:rsidRDefault="00AD1575">
      <w:pPr>
        <w:pStyle w:val="Normaltindrag"/>
      </w:pPr>
    </w:p>
    <w:sectPr w:rsidR="00AD1575" w:rsidRPr="009D3FDB">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575" w:rsidRPr="009D3FDB" w:rsidRDefault="00AD1575">
      <w:pPr>
        <w:spacing w:before="0" w:line="240" w:lineRule="auto"/>
      </w:pPr>
      <w:r w:rsidRPr="009D3FDB">
        <w:separator/>
      </w:r>
    </w:p>
  </w:endnote>
  <w:endnote w:type="continuationSeparator" w:id="0">
    <w:p w:rsidR="00AD1575" w:rsidRPr="009D3FDB" w:rsidRDefault="00AD1575">
      <w:pPr>
        <w:spacing w:before="0" w:line="240" w:lineRule="auto"/>
      </w:pPr>
      <w:r w:rsidRPr="009D3F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575" w:rsidRPr="009D3FDB" w:rsidRDefault="00AD1575">
    <w:pPr>
      <w:pStyle w:val="SidfotH"/>
      <w:framePr w:wrap="around"/>
    </w:pPr>
    <w:r w:rsidRPr="009D3FDB">
      <w:fldChar w:fldCharType="begin" w:fldLock="1"/>
    </w:r>
    <w:r w:rsidRPr="009D3FDB">
      <w:instrText xml:space="preserve"> PAGE </w:instrText>
    </w:r>
    <w:r w:rsidRPr="009D3FDB">
      <w:fldChar w:fldCharType="separate"/>
    </w:r>
    <w:r w:rsidRPr="009D3FDB">
      <w:t>1</w:t>
    </w:r>
    <w:r w:rsidRPr="009D3FDB">
      <w:fldChar w:fldCharType="end"/>
    </w:r>
  </w:p>
  <w:p w:rsidR="00AD1575" w:rsidRPr="009D3FDB" w:rsidRDefault="00AD15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575" w:rsidRPr="009D3FDB" w:rsidRDefault="00AD1575">
      <w:pPr>
        <w:pStyle w:val="Sidfot"/>
      </w:pPr>
    </w:p>
  </w:footnote>
  <w:footnote w:type="continuationSeparator" w:id="0">
    <w:p w:rsidR="00AD1575" w:rsidRPr="009D3FDB" w:rsidRDefault="00AD1575">
      <w:pPr>
        <w:spacing w:before="0" w:line="240" w:lineRule="auto"/>
      </w:pPr>
      <w:r w:rsidRPr="009D3F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575" w:rsidRPr="009D3FDB" w:rsidRDefault="00AD1575">
    <w:pPr>
      <w:pStyle w:val="SidhuvudKant"/>
      <w:framePr w:w="1758" w:h="2744" w:hRule="exact" w:wrap="around" w:vAnchor="page" w:hAnchor="page" w:x="7372" w:y="568" w:anchorLock="0"/>
    </w:pPr>
  </w:p>
  <w:p w:rsidR="00AD1575" w:rsidRPr="009D3FDB" w:rsidRDefault="00AD157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1377A1"/>
    <w:rsid w:val="001377A1"/>
    <w:rsid w:val="009D3FDB"/>
    <w:rsid w:val="00AD15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36C19D-8261-4985-9E52-133B4954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4361</Characters>
  <Application>Microsoft Office Word</Application>
  <DocSecurity>4</DocSecurity>
  <Lines>85</Lines>
  <Paragraphs>24</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Lagutskottets yttrande</vt:lpstr>
      <vt:lpstr>Till konstitutionsutskottet</vt:lpstr>
      <vt:lpstr>Utskottet</vt:lpstr>
    </vt:vector>
  </TitlesOfParts>
  <Company>Riksdagen</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yttrande</dc:title>
  <dc:subject>Lagutskottets yttrande</dc:subject>
  <dc:creator>Riksdagen</dc:creator>
  <cp:keywords>Riksdagen</cp:keywords>
  <cp:lastModifiedBy>Lars Brink</cp:lastModifiedBy>
  <cp:revision>2</cp:revision>
  <cp:lastPrinted>1999-10-27T07:25:00Z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