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3FE" w:rsidRPr="003753FE" w:rsidRDefault="003753FE">
      <w:pPr>
        <w:pStyle w:val="Frslagsrubrik"/>
      </w:pPr>
      <w:r w:rsidRPr="003753FE">
        <w:t>Förslag till riksdagsbeslut</w:t>
      </w:r>
    </w:p>
    <w:p w:rsidR="003753FE" w:rsidRPr="003753FE" w:rsidRDefault="003753FE">
      <w:pPr>
        <w:pStyle w:val="Hemstlatt"/>
        <w:numPr>
          <w:ilvl w:val="0"/>
          <w:numId w:val="0"/>
        </w:numPr>
      </w:pPr>
      <w:r w:rsidRPr="003753FE">
        <w:t>Riksdagen anvisar med följande ändringar i förhålla</w:t>
      </w:r>
      <w:r w:rsidRPr="003753FE">
        <w:t>n</w:t>
      </w:r>
      <w:r w:rsidRPr="003753FE">
        <w:t>de till regeringens förslag anslagen 2011 under utgiftsområde 13 Integration och jämställdhet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480"/>
        <w:gridCol w:w="2655"/>
        <w:gridCol w:w="1603"/>
        <w:gridCol w:w="1216"/>
      </w:tblGrid>
      <w:tr w:rsidR="00000000" w:rsidRPr="003753FE">
        <w:tc>
          <w:tcPr>
            <w:tcW w:w="480" w:type="dxa"/>
            <w:tcBorders>
              <w:top w:val="single" w:sz="4" w:space="0" w:color="auto"/>
              <w:left w:val="nil"/>
              <w:bottom w:val="single" w:sz="4" w:space="0" w:color="auto"/>
              <w:right w:val="nil"/>
            </w:tcBorders>
            <w:noWrap/>
          </w:tcPr>
          <w:p w:rsidR="003753FE" w:rsidRPr="003753FE" w:rsidRDefault="003753FE">
            <w:pPr>
              <w:spacing w:before="60" w:line="200" w:lineRule="exact"/>
              <w:jc w:val="center"/>
              <w:rPr>
                <w:b/>
                <w:bCs/>
                <w:sz w:val="16"/>
                <w:szCs w:val="16"/>
              </w:rPr>
            </w:pPr>
            <w:r w:rsidRPr="003753FE">
              <w:rPr>
                <w:b/>
                <w:bCs/>
                <w:sz w:val="16"/>
                <w:szCs w:val="16"/>
              </w:rPr>
              <w:t> </w:t>
            </w:r>
          </w:p>
        </w:tc>
        <w:tc>
          <w:tcPr>
            <w:tcW w:w="2655" w:type="dxa"/>
            <w:tcBorders>
              <w:top w:val="single" w:sz="4" w:space="0" w:color="auto"/>
              <w:left w:val="nil"/>
              <w:bottom w:val="single" w:sz="4" w:space="0" w:color="auto"/>
              <w:right w:val="nil"/>
            </w:tcBorders>
          </w:tcPr>
          <w:p w:rsidR="003753FE" w:rsidRPr="003753FE" w:rsidRDefault="003753FE">
            <w:pPr>
              <w:spacing w:before="60" w:line="200" w:lineRule="exact"/>
              <w:rPr>
                <w:b/>
                <w:bCs/>
                <w:sz w:val="16"/>
                <w:szCs w:val="16"/>
              </w:rPr>
            </w:pPr>
            <w:r w:rsidRPr="003753FE">
              <w:rPr>
                <w:b/>
                <w:bCs/>
                <w:sz w:val="16"/>
                <w:szCs w:val="16"/>
              </w:rPr>
              <w:t> Anslag</w:t>
            </w:r>
          </w:p>
        </w:tc>
        <w:tc>
          <w:tcPr>
            <w:tcW w:w="1603" w:type="dxa"/>
            <w:tcBorders>
              <w:top w:val="single" w:sz="4" w:space="0" w:color="auto"/>
              <w:left w:val="nil"/>
              <w:bottom w:val="single" w:sz="4" w:space="0" w:color="auto"/>
              <w:right w:val="nil"/>
            </w:tcBorders>
          </w:tcPr>
          <w:p w:rsidR="003753FE" w:rsidRPr="003753FE" w:rsidRDefault="003753FE">
            <w:pPr>
              <w:spacing w:before="60" w:line="200" w:lineRule="exact"/>
              <w:jc w:val="right"/>
              <w:rPr>
                <w:b/>
                <w:bCs/>
                <w:sz w:val="16"/>
                <w:szCs w:val="16"/>
              </w:rPr>
            </w:pPr>
            <w:r w:rsidRPr="003753FE">
              <w:rPr>
                <w:b/>
                <w:bCs/>
                <w:sz w:val="16"/>
                <w:szCs w:val="16"/>
              </w:rPr>
              <w:t>Regeringens förslag (tkr)</w:t>
            </w:r>
          </w:p>
        </w:tc>
        <w:tc>
          <w:tcPr>
            <w:tcW w:w="1216" w:type="dxa"/>
            <w:tcBorders>
              <w:top w:val="single" w:sz="4" w:space="0" w:color="auto"/>
              <w:left w:val="nil"/>
              <w:bottom w:val="single" w:sz="4" w:space="0" w:color="auto"/>
              <w:right w:val="nil"/>
            </w:tcBorders>
            <w:noWrap/>
          </w:tcPr>
          <w:p w:rsidR="003753FE" w:rsidRPr="003753FE" w:rsidRDefault="003753FE">
            <w:pPr>
              <w:spacing w:before="60" w:line="200" w:lineRule="exact"/>
              <w:jc w:val="right"/>
              <w:rPr>
                <w:b/>
                <w:bCs/>
                <w:sz w:val="16"/>
                <w:szCs w:val="16"/>
              </w:rPr>
            </w:pPr>
            <w:r w:rsidRPr="003753FE">
              <w:rPr>
                <w:b/>
                <w:bCs/>
                <w:sz w:val="16"/>
                <w:szCs w:val="16"/>
              </w:rPr>
              <w:t>Förändring (tkr)</w:t>
            </w:r>
          </w:p>
        </w:tc>
      </w:tr>
      <w:tr w:rsidR="00000000" w:rsidRPr="003753FE">
        <w:tc>
          <w:tcPr>
            <w:tcW w:w="480" w:type="dxa"/>
            <w:tcBorders>
              <w:top w:val="nil"/>
              <w:left w:val="nil"/>
              <w:bottom w:val="nil"/>
              <w:right w:val="nil"/>
            </w:tcBorders>
            <w:noWrap/>
          </w:tcPr>
          <w:p w:rsidR="003753FE" w:rsidRPr="003753FE" w:rsidRDefault="003753FE">
            <w:pPr>
              <w:spacing w:before="60" w:line="200" w:lineRule="exact"/>
              <w:rPr>
                <w:sz w:val="16"/>
                <w:szCs w:val="16"/>
              </w:rPr>
            </w:pPr>
            <w:r w:rsidRPr="003753FE">
              <w:rPr>
                <w:sz w:val="16"/>
                <w:szCs w:val="16"/>
              </w:rPr>
              <w:t>1:1</w:t>
            </w:r>
          </w:p>
        </w:tc>
        <w:tc>
          <w:tcPr>
            <w:tcW w:w="2655" w:type="dxa"/>
            <w:tcBorders>
              <w:top w:val="nil"/>
              <w:left w:val="nil"/>
              <w:bottom w:val="nil"/>
              <w:right w:val="nil"/>
            </w:tcBorders>
          </w:tcPr>
          <w:p w:rsidR="003753FE" w:rsidRPr="003753FE" w:rsidRDefault="003753FE">
            <w:pPr>
              <w:spacing w:before="60" w:line="200" w:lineRule="exact"/>
              <w:rPr>
                <w:sz w:val="16"/>
                <w:szCs w:val="16"/>
              </w:rPr>
            </w:pPr>
            <w:r w:rsidRPr="003753FE">
              <w:rPr>
                <w:sz w:val="16"/>
                <w:szCs w:val="16"/>
              </w:rPr>
              <w:t>Integrationsåtgärder</w:t>
            </w:r>
          </w:p>
        </w:tc>
        <w:tc>
          <w:tcPr>
            <w:tcW w:w="1603" w:type="dxa"/>
            <w:tcBorders>
              <w:top w:val="nil"/>
              <w:left w:val="nil"/>
              <w:bottom w:val="nil"/>
              <w:right w:val="nil"/>
            </w:tcBorders>
            <w:noWrap/>
          </w:tcPr>
          <w:p w:rsidR="003753FE" w:rsidRPr="003753FE" w:rsidRDefault="003753FE">
            <w:pPr>
              <w:spacing w:before="60" w:line="200" w:lineRule="exact"/>
              <w:jc w:val="right"/>
              <w:rPr>
                <w:sz w:val="16"/>
                <w:szCs w:val="16"/>
              </w:rPr>
            </w:pPr>
            <w:r w:rsidRPr="003753FE">
              <w:rPr>
                <w:sz w:val="16"/>
                <w:szCs w:val="16"/>
              </w:rPr>
              <w:t>127 905</w:t>
            </w:r>
          </w:p>
        </w:tc>
        <w:tc>
          <w:tcPr>
            <w:tcW w:w="1216" w:type="dxa"/>
            <w:tcBorders>
              <w:top w:val="nil"/>
              <w:left w:val="nil"/>
              <w:bottom w:val="nil"/>
              <w:right w:val="nil"/>
            </w:tcBorders>
            <w:noWrap/>
          </w:tcPr>
          <w:p w:rsidR="003753FE" w:rsidRPr="003753FE" w:rsidRDefault="003753FE">
            <w:pPr>
              <w:spacing w:before="60" w:line="200" w:lineRule="exact"/>
              <w:jc w:val="right"/>
              <w:rPr>
                <w:sz w:val="16"/>
                <w:szCs w:val="16"/>
              </w:rPr>
            </w:pPr>
            <w:r w:rsidRPr="003753FE">
              <w:rPr>
                <w:sz w:val="16"/>
                <w:szCs w:val="16"/>
              </w:rPr>
              <w:t>–100 000</w:t>
            </w:r>
          </w:p>
        </w:tc>
      </w:tr>
      <w:tr w:rsidR="00000000" w:rsidRPr="003753FE">
        <w:tc>
          <w:tcPr>
            <w:tcW w:w="480" w:type="dxa"/>
            <w:tcBorders>
              <w:top w:val="nil"/>
              <w:left w:val="nil"/>
              <w:bottom w:val="nil"/>
              <w:right w:val="nil"/>
            </w:tcBorders>
            <w:noWrap/>
          </w:tcPr>
          <w:p w:rsidR="003753FE" w:rsidRPr="003753FE" w:rsidRDefault="003753FE">
            <w:pPr>
              <w:spacing w:before="60" w:line="200" w:lineRule="exact"/>
              <w:rPr>
                <w:sz w:val="16"/>
                <w:szCs w:val="16"/>
              </w:rPr>
            </w:pPr>
            <w:r w:rsidRPr="003753FE">
              <w:rPr>
                <w:sz w:val="16"/>
                <w:szCs w:val="16"/>
              </w:rPr>
              <w:t>1:3</w:t>
            </w:r>
          </w:p>
        </w:tc>
        <w:tc>
          <w:tcPr>
            <w:tcW w:w="2655" w:type="dxa"/>
            <w:tcBorders>
              <w:top w:val="nil"/>
              <w:left w:val="nil"/>
              <w:bottom w:val="nil"/>
              <w:right w:val="nil"/>
            </w:tcBorders>
          </w:tcPr>
          <w:p w:rsidR="003753FE" w:rsidRPr="003753FE" w:rsidRDefault="003753FE">
            <w:pPr>
              <w:spacing w:before="60" w:line="200" w:lineRule="exact"/>
              <w:rPr>
                <w:sz w:val="16"/>
                <w:szCs w:val="16"/>
              </w:rPr>
            </w:pPr>
            <w:r w:rsidRPr="003753FE">
              <w:rPr>
                <w:sz w:val="16"/>
                <w:szCs w:val="16"/>
              </w:rPr>
              <w:t>Etableringsersättning till vissa nya</w:t>
            </w:r>
            <w:r w:rsidRPr="003753FE">
              <w:rPr>
                <w:sz w:val="16"/>
                <w:szCs w:val="16"/>
              </w:rPr>
              <w:t>n</w:t>
            </w:r>
            <w:r w:rsidRPr="003753FE">
              <w:rPr>
                <w:sz w:val="16"/>
                <w:szCs w:val="16"/>
              </w:rPr>
              <w:t>lända invandrare</w:t>
            </w:r>
          </w:p>
        </w:tc>
        <w:tc>
          <w:tcPr>
            <w:tcW w:w="1603" w:type="dxa"/>
            <w:tcBorders>
              <w:top w:val="nil"/>
              <w:left w:val="nil"/>
              <w:bottom w:val="nil"/>
              <w:right w:val="nil"/>
            </w:tcBorders>
            <w:noWrap/>
            <w:vAlign w:val="bottom"/>
          </w:tcPr>
          <w:p w:rsidR="003753FE" w:rsidRPr="003753FE" w:rsidRDefault="003753FE">
            <w:pPr>
              <w:spacing w:before="60" w:line="200" w:lineRule="exact"/>
              <w:jc w:val="right"/>
              <w:rPr>
                <w:sz w:val="16"/>
                <w:szCs w:val="16"/>
              </w:rPr>
            </w:pPr>
            <w:r w:rsidRPr="003753FE">
              <w:rPr>
                <w:sz w:val="16"/>
                <w:szCs w:val="16"/>
              </w:rPr>
              <w:t>521 536</w:t>
            </w:r>
          </w:p>
        </w:tc>
        <w:tc>
          <w:tcPr>
            <w:tcW w:w="1216" w:type="dxa"/>
            <w:tcBorders>
              <w:top w:val="nil"/>
              <w:left w:val="nil"/>
              <w:bottom w:val="nil"/>
              <w:right w:val="nil"/>
            </w:tcBorders>
            <w:noWrap/>
            <w:vAlign w:val="bottom"/>
          </w:tcPr>
          <w:p w:rsidR="003753FE" w:rsidRPr="003753FE" w:rsidRDefault="003753FE">
            <w:pPr>
              <w:spacing w:before="60" w:line="200" w:lineRule="exact"/>
              <w:jc w:val="right"/>
              <w:rPr>
                <w:sz w:val="16"/>
                <w:szCs w:val="16"/>
              </w:rPr>
            </w:pPr>
            <w:r w:rsidRPr="003753FE">
              <w:rPr>
                <w:sz w:val="16"/>
                <w:szCs w:val="16"/>
              </w:rPr>
              <w:t>30 000</w:t>
            </w:r>
          </w:p>
        </w:tc>
      </w:tr>
      <w:tr w:rsidR="00000000" w:rsidRPr="003753FE">
        <w:tc>
          <w:tcPr>
            <w:tcW w:w="480" w:type="dxa"/>
            <w:tcBorders>
              <w:top w:val="nil"/>
              <w:left w:val="nil"/>
              <w:bottom w:val="nil"/>
              <w:right w:val="nil"/>
            </w:tcBorders>
            <w:noWrap/>
          </w:tcPr>
          <w:p w:rsidR="003753FE" w:rsidRPr="003753FE" w:rsidRDefault="003753FE">
            <w:pPr>
              <w:spacing w:before="60" w:line="200" w:lineRule="exact"/>
              <w:rPr>
                <w:sz w:val="16"/>
                <w:szCs w:val="16"/>
              </w:rPr>
            </w:pPr>
            <w:r w:rsidRPr="003753FE">
              <w:rPr>
                <w:sz w:val="16"/>
                <w:szCs w:val="16"/>
              </w:rPr>
              <w:t>1:4</w:t>
            </w:r>
          </w:p>
        </w:tc>
        <w:tc>
          <w:tcPr>
            <w:tcW w:w="2655" w:type="dxa"/>
            <w:tcBorders>
              <w:top w:val="nil"/>
              <w:left w:val="nil"/>
              <w:bottom w:val="nil"/>
              <w:right w:val="nil"/>
            </w:tcBorders>
          </w:tcPr>
          <w:p w:rsidR="003753FE" w:rsidRPr="003753FE" w:rsidRDefault="003753FE">
            <w:pPr>
              <w:spacing w:before="60" w:line="200" w:lineRule="exact"/>
              <w:rPr>
                <w:sz w:val="16"/>
                <w:szCs w:val="16"/>
              </w:rPr>
            </w:pPr>
            <w:r w:rsidRPr="003753FE">
              <w:rPr>
                <w:sz w:val="16"/>
                <w:szCs w:val="16"/>
              </w:rPr>
              <w:t>Ersättning till etableringslotsar och insatser för vissa nyanlända invandrare</w:t>
            </w:r>
          </w:p>
        </w:tc>
        <w:tc>
          <w:tcPr>
            <w:tcW w:w="1603" w:type="dxa"/>
            <w:tcBorders>
              <w:top w:val="nil"/>
              <w:left w:val="nil"/>
              <w:bottom w:val="nil"/>
              <w:right w:val="nil"/>
            </w:tcBorders>
            <w:noWrap/>
            <w:vAlign w:val="bottom"/>
          </w:tcPr>
          <w:p w:rsidR="003753FE" w:rsidRPr="003753FE" w:rsidRDefault="003753FE">
            <w:pPr>
              <w:spacing w:before="60" w:line="200" w:lineRule="exact"/>
              <w:jc w:val="right"/>
              <w:rPr>
                <w:sz w:val="16"/>
                <w:szCs w:val="16"/>
              </w:rPr>
            </w:pPr>
            <w:r w:rsidRPr="003753FE">
              <w:rPr>
                <w:sz w:val="16"/>
                <w:szCs w:val="16"/>
              </w:rPr>
              <w:t>474 700</w:t>
            </w:r>
          </w:p>
        </w:tc>
        <w:tc>
          <w:tcPr>
            <w:tcW w:w="1216" w:type="dxa"/>
            <w:tcBorders>
              <w:top w:val="nil"/>
              <w:left w:val="nil"/>
              <w:bottom w:val="nil"/>
              <w:right w:val="nil"/>
            </w:tcBorders>
            <w:noWrap/>
            <w:vAlign w:val="bottom"/>
          </w:tcPr>
          <w:p w:rsidR="003753FE" w:rsidRPr="003753FE" w:rsidRDefault="003753FE">
            <w:pPr>
              <w:spacing w:before="60" w:line="200" w:lineRule="exact"/>
              <w:jc w:val="right"/>
              <w:rPr>
                <w:sz w:val="16"/>
                <w:szCs w:val="16"/>
              </w:rPr>
            </w:pPr>
            <w:r w:rsidRPr="003753FE">
              <w:rPr>
                <w:sz w:val="16"/>
                <w:szCs w:val="16"/>
              </w:rPr>
              <w:t>–474 000</w:t>
            </w:r>
          </w:p>
        </w:tc>
      </w:tr>
      <w:tr w:rsidR="00000000" w:rsidRPr="003753FE">
        <w:tc>
          <w:tcPr>
            <w:tcW w:w="480" w:type="dxa"/>
            <w:tcBorders>
              <w:top w:val="nil"/>
              <w:left w:val="nil"/>
              <w:bottom w:val="single" w:sz="4" w:space="0" w:color="auto"/>
              <w:right w:val="nil"/>
            </w:tcBorders>
            <w:noWrap/>
          </w:tcPr>
          <w:p w:rsidR="003753FE" w:rsidRPr="003753FE" w:rsidRDefault="003753FE">
            <w:pPr>
              <w:spacing w:before="60" w:line="200" w:lineRule="exact"/>
              <w:rPr>
                <w:sz w:val="16"/>
                <w:szCs w:val="16"/>
              </w:rPr>
            </w:pPr>
          </w:p>
        </w:tc>
        <w:tc>
          <w:tcPr>
            <w:tcW w:w="2655" w:type="dxa"/>
            <w:tcBorders>
              <w:top w:val="nil"/>
              <w:left w:val="nil"/>
              <w:bottom w:val="single" w:sz="4" w:space="0" w:color="auto"/>
              <w:right w:val="nil"/>
            </w:tcBorders>
          </w:tcPr>
          <w:p w:rsidR="003753FE" w:rsidRPr="003753FE" w:rsidRDefault="003753FE">
            <w:pPr>
              <w:spacing w:before="60" w:line="200" w:lineRule="exact"/>
              <w:rPr>
                <w:b/>
                <w:bCs/>
                <w:sz w:val="16"/>
                <w:szCs w:val="16"/>
              </w:rPr>
            </w:pPr>
            <w:r w:rsidRPr="003753FE">
              <w:rPr>
                <w:b/>
                <w:bCs/>
                <w:sz w:val="16"/>
                <w:szCs w:val="16"/>
              </w:rPr>
              <w:t>Summa</w:t>
            </w:r>
          </w:p>
        </w:tc>
        <w:tc>
          <w:tcPr>
            <w:tcW w:w="1603" w:type="dxa"/>
            <w:tcBorders>
              <w:top w:val="nil"/>
              <w:left w:val="nil"/>
              <w:bottom w:val="single" w:sz="4" w:space="0" w:color="auto"/>
              <w:right w:val="nil"/>
            </w:tcBorders>
            <w:noWrap/>
          </w:tcPr>
          <w:p w:rsidR="003753FE" w:rsidRPr="003753FE" w:rsidRDefault="003753FE">
            <w:pPr>
              <w:spacing w:before="60" w:line="200" w:lineRule="exact"/>
              <w:jc w:val="right"/>
              <w:rPr>
                <w:b/>
                <w:bCs/>
                <w:sz w:val="16"/>
                <w:szCs w:val="16"/>
              </w:rPr>
            </w:pPr>
          </w:p>
        </w:tc>
        <w:tc>
          <w:tcPr>
            <w:tcW w:w="1216" w:type="dxa"/>
            <w:tcBorders>
              <w:top w:val="nil"/>
              <w:left w:val="nil"/>
              <w:bottom w:val="single" w:sz="4" w:space="0" w:color="auto"/>
              <w:right w:val="nil"/>
            </w:tcBorders>
            <w:noWrap/>
          </w:tcPr>
          <w:p w:rsidR="003753FE" w:rsidRPr="003753FE" w:rsidRDefault="003753FE">
            <w:pPr>
              <w:spacing w:before="60" w:line="200" w:lineRule="exact"/>
              <w:jc w:val="right"/>
              <w:rPr>
                <w:b/>
                <w:bCs/>
                <w:sz w:val="16"/>
                <w:szCs w:val="16"/>
              </w:rPr>
            </w:pPr>
            <w:r w:rsidRPr="003753FE">
              <w:rPr>
                <w:b/>
                <w:bCs/>
                <w:sz w:val="16"/>
                <w:szCs w:val="16"/>
              </w:rPr>
              <w:t>–544 000</w:t>
            </w:r>
          </w:p>
        </w:tc>
      </w:tr>
    </w:tbl>
    <w:p w:rsidR="003753FE" w:rsidRPr="003753FE" w:rsidRDefault="003753FE"/>
    <w:p w:rsidR="003753FE" w:rsidRPr="003753FE" w:rsidRDefault="003753FE">
      <w:pPr>
        <w:pStyle w:val="Rubrik1"/>
        <w:spacing w:before="360"/>
      </w:pPr>
      <w:r w:rsidRPr="003753FE">
        <w:t>Motivering</w:t>
      </w:r>
    </w:p>
    <w:p w:rsidR="003753FE" w:rsidRPr="003753FE" w:rsidRDefault="003753FE">
      <w:r w:rsidRPr="003753FE">
        <w:t>Att människor av olika skäl flyttar mellan länder är en naturlig process som ställer naturliga krav på samhället och som tillför nya erfarenheter och ku</w:t>
      </w:r>
      <w:r w:rsidRPr="003753FE">
        <w:t>n</w:t>
      </w:r>
      <w:r w:rsidRPr="003753FE">
        <w:t>skaper. Anledningarna till att en individ migrerar kan vara många och sa</w:t>
      </w:r>
      <w:r w:rsidRPr="003753FE">
        <w:t>m</w:t>
      </w:r>
      <w:r w:rsidRPr="003753FE">
        <w:t>mansatta. Det kan bland annat handla om fattigdom, miljöförstöring, klima</w:t>
      </w:r>
      <w:r w:rsidRPr="003753FE">
        <w:t>t</w:t>
      </w:r>
      <w:r w:rsidRPr="003753FE">
        <w:t>förändring, krig, förtryck eller förföljelse i hemlandet.</w:t>
      </w:r>
    </w:p>
    <w:p w:rsidR="003753FE" w:rsidRPr="003753FE" w:rsidRDefault="003753FE">
      <w:pPr>
        <w:pStyle w:val="Normaltindrag"/>
      </w:pPr>
      <w:r w:rsidRPr="003753FE">
        <w:t>Migrationen i världen ökar och Sverige är en del av den utvecklingen. U</w:t>
      </w:r>
      <w:r w:rsidRPr="003753FE">
        <w:t>n</w:t>
      </w:r>
      <w:r w:rsidRPr="003753FE">
        <w:t>der de senaste 25 åren har antalet människor som flyttar till ett annat land i världen fördubblats och uppgår idag till cirka 200 miljoner.</w:t>
      </w:r>
    </w:p>
    <w:p w:rsidR="003753FE" w:rsidRPr="003753FE" w:rsidRDefault="003753FE">
      <w:pPr>
        <w:pStyle w:val="Normaltindrag"/>
      </w:pPr>
      <w:r w:rsidRPr="003753FE">
        <w:t>När människor flyttar sprids kunskap, nätverk växer och nya möjligheter uppstår. Sverige är i sig ett tydligt exempel på att den kunskap, arbetskraft och mångfald som har kommit hit har haft stor betydelse för svensk tillväxt och utveckling. Men migration kan också innebära stora utmaningar, såväl för de människor som flyttar som för de länder de lämnar eller flyttar t</w:t>
      </w:r>
      <w:r w:rsidRPr="003753FE">
        <w:t>ill.</w:t>
      </w:r>
    </w:p>
    <w:p w:rsidR="003753FE" w:rsidRPr="003753FE" w:rsidRDefault="003753FE">
      <w:pPr>
        <w:pStyle w:val="Rubrik2"/>
      </w:pPr>
      <w:r w:rsidRPr="003753FE">
        <w:lastRenderedPageBreak/>
        <w:t>Anslagsförändringar</w:t>
      </w:r>
    </w:p>
    <w:p w:rsidR="003753FE" w:rsidRPr="003753FE" w:rsidRDefault="003753FE">
      <w:r w:rsidRPr="003753FE">
        <w:t>Vår utgångspunkt är att nyanlända invandrare ska vara en prioriterad grupp och få ta del av Arbetsförmedlingens insatser. Därför avvisar vi regeringens lotsar för nyanlända och skjuter i stället till 250 miljoner kronor till Arbet</w:t>
      </w:r>
      <w:r w:rsidRPr="003753FE">
        <w:t>s</w:t>
      </w:r>
      <w:r w:rsidRPr="003753FE">
        <w:t>förmedlingen för bättre introduktion av nyanlända (se utg.omr. 14). Dessu</w:t>
      </w:r>
      <w:r w:rsidRPr="003753FE">
        <w:t>t</w:t>
      </w:r>
      <w:r w:rsidRPr="003753FE">
        <w:t>om vill vi att i princip alla nyanlända ska ha rätt till en individuell etabl</w:t>
      </w:r>
      <w:r w:rsidRPr="003753FE">
        <w:t>e</w:t>
      </w:r>
      <w:r w:rsidRPr="003753FE">
        <w:t>ringsplan och anslår 30 miljoner årligen till det. Språket är en nyckel för att nyanlända lättare ska få jobb. Vi säger nej till regeringens ineffektiva sat</w:t>
      </w:r>
      <w:r w:rsidRPr="003753FE">
        <w:t>s</w:t>
      </w:r>
      <w:r w:rsidRPr="003753FE">
        <w:t>ning på SFI-bonus (anslag 1:1) och gör i stället en kvalitetssatsning på SFI (redov</w:t>
      </w:r>
      <w:r w:rsidRPr="003753FE">
        <w:t>i</w:t>
      </w:r>
      <w:r w:rsidRPr="003753FE">
        <w:t>sas under utg.omr. 16).</w:t>
      </w:r>
    </w:p>
    <w:p w:rsidR="003753FE" w:rsidRPr="003753FE" w:rsidRDefault="003753FE">
      <w:pPr>
        <w:pStyle w:val="Normaltindrag"/>
      </w:pPr>
      <w:r w:rsidRPr="003753FE">
        <w:t>Vi vill att alla kommuner ska göras skyldiga att kunna ta emot flyktingar. Under mandatperiode</w:t>
      </w:r>
      <w:r w:rsidRPr="003753FE">
        <w:t>n vill vi också höja kommunersättningen vid flyktin</w:t>
      </w:r>
      <w:r w:rsidRPr="003753FE">
        <w:t>g</w:t>
      </w:r>
      <w:r w:rsidRPr="003753FE">
        <w:t xml:space="preserve">mottagande med 130 miljoner kronor. </w:t>
      </w:r>
    </w:p>
    <w:p w:rsidR="003753FE" w:rsidRPr="003753FE" w:rsidRDefault="003753FE">
      <w:pPr>
        <w:pStyle w:val="Normaltindrag"/>
      </w:pPr>
      <w:r w:rsidRPr="003753FE">
        <w:t>Utöver dessa förslag har vi som reformambition att tillföra Diskrimin</w:t>
      </w:r>
      <w:r w:rsidRPr="003753FE">
        <w:t>e</w:t>
      </w:r>
      <w:r w:rsidRPr="003753FE">
        <w:t>ringsombudsmannen 10 miljoner kronor under mandatperioden.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53FE">
        <w:trPr>
          <w:cantSplit/>
        </w:trPr>
        <w:tc>
          <w:tcPr>
            <w:tcW w:w="3046" w:type="dxa"/>
          </w:tcPr>
          <w:p w:rsidR="003753FE" w:rsidRPr="003753FE" w:rsidRDefault="003753FE">
            <w:pPr>
              <w:pStyle w:val="UnderskriftDatum"/>
              <w:spacing w:before="240"/>
            </w:pPr>
            <w:r w:rsidRPr="003753FE">
              <w:t>Stockholm den 26 oktober 2010</w:t>
            </w:r>
          </w:p>
        </w:tc>
        <w:tc>
          <w:tcPr>
            <w:tcW w:w="3047" w:type="dxa"/>
          </w:tcPr>
          <w:p w:rsidR="003753FE" w:rsidRPr="003753FE" w:rsidRDefault="003753FE">
            <w:pPr>
              <w:pStyle w:val="Underskrifter"/>
              <w:spacing w:before="240"/>
            </w:pPr>
          </w:p>
        </w:tc>
      </w:tr>
      <w:tr w:rsidR="00000000" w:rsidRPr="003753FE">
        <w:trPr>
          <w:cantSplit/>
        </w:trPr>
        <w:tc>
          <w:tcPr>
            <w:tcW w:w="3046" w:type="dxa"/>
          </w:tcPr>
          <w:p w:rsidR="003753FE" w:rsidRPr="003753FE" w:rsidRDefault="003753FE">
            <w:pPr>
              <w:pStyle w:val="Underskrifter"/>
            </w:pPr>
            <w:r w:rsidRPr="003753FE">
              <w:t>Ylva Johansson (S)</w:t>
            </w:r>
          </w:p>
        </w:tc>
        <w:tc>
          <w:tcPr>
            <w:tcW w:w="3046" w:type="dxa"/>
          </w:tcPr>
          <w:p w:rsidR="003753FE" w:rsidRPr="003753FE" w:rsidRDefault="003753FE">
            <w:pPr>
              <w:pStyle w:val="Underskrifter"/>
            </w:pPr>
          </w:p>
        </w:tc>
      </w:tr>
      <w:tr w:rsidR="00000000" w:rsidRPr="003753FE">
        <w:trPr>
          <w:cantSplit/>
        </w:trPr>
        <w:tc>
          <w:tcPr>
            <w:tcW w:w="3046" w:type="dxa"/>
          </w:tcPr>
          <w:p w:rsidR="003753FE" w:rsidRPr="003753FE" w:rsidRDefault="003753FE">
            <w:pPr>
              <w:pStyle w:val="Underskrifter"/>
            </w:pPr>
            <w:r w:rsidRPr="003753FE">
              <w:t>Mehmet Kaplan (MP)</w:t>
            </w:r>
          </w:p>
        </w:tc>
        <w:tc>
          <w:tcPr>
            <w:tcW w:w="3046" w:type="dxa"/>
          </w:tcPr>
          <w:p w:rsidR="003753FE" w:rsidRPr="003753FE" w:rsidRDefault="003753FE">
            <w:pPr>
              <w:pStyle w:val="Underskrifter"/>
            </w:pPr>
            <w:r w:rsidRPr="003753FE">
              <w:t>Christina Höj Larsen (V)</w:t>
            </w:r>
          </w:p>
        </w:tc>
      </w:tr>
    </w:tbl>
    <w:p w:rsidR="003753FE" w:rsidRPr="003753FE" w:rsidRDefault="003753FE">
      <w:pPr>
        <w:pStyle w:val="Normaltindrag"/>
      </w:pPr>
    </w:p>
    <w:sectPr w:rsidR="00000000" w:rsidRPr="003753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3FE" w:rsidRPr="003753FE" w:rsidRDefault="003753FE">
      <w:r w:rsidRPr="003753FE">
        <w:separator/>
      </w:r>
    </w:p>
  </w:endnote>
  <w:endnote w:type="continuationSeparator" w:id="0">
    <w:p w:rsidR="003753FE" w:rsidRPr="003753FE" w:rsidRDefault="003753FE">
      <w:r w:rsidRPr="003753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FE" w:rsidRPr="003753FE" w:rsidRDefault="003753FE">
    <w:pPr>
      <w:pStyle w:val="Sidfot"/>
    </w:pPr>
    <w:r w:rsidRPr="003753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0631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3FE" w:rsidRDefault="003753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53FE" w:rsidRDefault="003753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FE" w:rsidRPr="003753FE" w:rsidRDefault="003753FE">
    <w:pPr>
      <w:pStyle w:val="Sidfot"/>
    </w:pPr>
    <w:r w:rsidRPr="003753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886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3FE" w:rsidRDefault="003753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53FE" w:rsidRDefault="003753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FE" w:rsidRPr="003753FE" w:rsidRDefault="003753FE">
    <w:pPr>
      <w:pStyle w:val="Sidfot"/>
    </w:pPr>
    <w:r w:rsidRPr="003753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2818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3FE" w:rsidRDefault="003753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53FE" w:rsidRDefault="003753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3FE" w:rsidRPr="003753FE" w:rsidRDefault="003753FE">
      <w:r w:rsidRPr="003753FE">
        <w:separator/>
      </w:r>
    </w:p>
  </w:footnote>
  <w:footnote w:type="continuationSeparator" w:id="0">
    <w:p w:rsidR="003753FE" w:rsidRPr="003753FE" w:rsidRDefault="003753FE">
      <w:r w:rsidRPr="003753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FE" w:rsidRPr="003753FE" w:rsidRDefault="003753FE">
    <w:pPr>
      <w:pStyle w:val="Sidhuvud"/>
    </w:pPr>
    <w:r w:rsidRPr="003753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0261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3FE" w:rsidRDefault="003753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53FE" w:rsidRDefault="003753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FE" w:rsidRPr="003753FE" w:rsidRDefault="003753FE">
    <w:pPr>
      <w:pStyle w:val="Sidhuvud"/>
    </w:pPr>
    <w:r w:rsidRPr="003753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35978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3FE" w:rsidRDefault="003753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53FE" w:rsidRDefault="003753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FE" w:rsidRPr="003753FE" w:rsidRDefault="003753FE">
    <w:pPr>
      <w:pStyle w:val="FSHNormal"/>
      <w:tabs>
        <w:tab w:val="right" w:pos="5840"/>
      </w:tabs>
    </w:pPr>
    <w:r w:rsidRPr="003753FE">
      <w:br/>
    </w:r>
    <w:r w:rsidRPr="003753FE">
      <w:fldChar w:fldCharType="begin" w:fldLock="1"/>
    </w:r>
    <w:r w:rsidRPr="003753FE">
      <w:instrText xml:space="preserve"> DOCPROPERTY</w:instrText>
    </w:r>
    <w:r w:rsidRPr="003753FE">
      <w:rPr>
        <w:sz w:val="18"/>
      </w:rPr>
      <w:instrText xml:space="preserve"> "YearUser" *\charformat </w:instrText>
    </w:r>
    <w:r w:rsidRPr="003753FE">
      <w:fldChar w:fldCharType="separate"/>
    </w:r>
    <w:r w:rsidRPr="003753FE">
      <w:t>2010/11</w:t>
    </w:r>
    <w:r w:rsidRPr="003753FE">
      <w:fldChar w:fldCharType="end"/>
    </w:r>
    <w:r w:rsidRPr="003753FE">
      <w:t xml:space="preserve"> </w:t>
    </w:r>
    <w:r w:rsidRPr="003753FE">
      <w:tab/>
      <w:t xml:space="preserve">mnr: </w:t>
    </w:r>
    <w:r w:rsidRPr="003753FE">
      <w:fldChar w:fldCharType="begin" w:fldLock="1"/>
    </w:r>
    <w:r w:rsidRPr="003753FE">
      <w:instrText xml:space="preserve"> DOCPROPERTY</w:instrText>
    </w:r>
    <w:r w:rsidRPr="003753FE">
      <w:rPr>
        <w:sz w:val="18"/>
      </w:rPr>
      <w:instrText xml:space="preserve"> "Motionsnummer" *\charformat </w:instrText>
    </w:r>
    <w:r w:rsidRPr="003753FE">
      <w:fldChar w:fldCharType="separate"/>
    </w:r>
    <w:r w:rsidRPr="003753FE">
      <w:t>A374</w:t>
    </w:r>
    <w:r w:rsidRPr="003753FE">
      <w:fldChar w:fldCharType="end"/>
    </w:r>
    <w:r w:rsidRPr="003753FE">
      <w:br/>
    </w:r>
    <w:r w:rsidRPr="003753FE">
      <w:fldChar w:fldCharType="begin" w:fldLock="1"/>
    </w:r>
    <w:r w:rsidRPr="003753FE">
      <w:instrText xml:space="preserve"> DOCPROPERTY</w:instrText>
    </w:r>
    <w:r w:rsidRPr="003753FE">
      <w:rPr>
        <w:sz w:val="18"/>
      </w:rPr>
      <w:instrText xml:space="preserve"> "Samling" *\charformat </w:instrText>
    </w:r>
    <w:r w:rsidRPr="003753FE">
      <w:fldChar w:fldCharType="end"/>
    </w:r>
    <w:r w:rsidRPr="003753FE">
      <w:tab/>
      <w:t xml:space="preserve">pnr: </w:t>
    </w:r>
    <w:r w:rsidRPr="003753FE">
      <w:fldChar w:fldCharType="begin" w:fldLock="1"/>
    </w:r>
    <w:r w:rsidRPr="003753FE">
      <w:instrText xml:space="preserve"> DOCPROPERTY</w:instrText>
    </w:r>
    <w:r w:rsidRPr="003753FE">
      <w:rPr>
        <w:sz w:val="18"/>
      </w:rPr>
      <w:instrText xml:space="preserve"> "Partinummer" *\charformat </w:instrText>
    </w:r>
    <w:r w:rsidRPr="003753FE">
      <w:fldChar w:fldCharType="separate"/>
    </w:r>
    <w:r w:rsidRPr="003753FE">
      <w:t>-MP1020</w:t>
    </w:r>
    <w:r w:rsidRPr="003753FE">
      <w:fldChar w:fldCharType="end"/>
    </w:r>
  </w:p>
  <w:p w:rsidR="003753FE" w:rsidRPr="003753FE" w:rsidRDefault="003753FE">
    <w:pPr>
      <w:pStyle w:val="FSHRub1"/>
    </w:pPr>
    <w:r w:rsidRPr="003753FE">
      <w:t>Motion till riksdagen</w:t>
    </w:r>
    <w:r w:rsidRPr="003753FE">
      <w:br/>
    </w:r>
    <w:r w:rsidRPr="003753FE">
      <w:fldChar w:fldCharType="begin" w:fldLock="1"/>
    </w:r>
    <w:r w:rsidRPr="003753FE">
      <w:instrText xml:space="preserve"> DOCPROPERTY "YearUser" *\charformat </w:instrText>
    </w:r>
    <w:r w:rsidRPr="003753FE">
      <w:fldChar w:fldCharType="separate"/>
    </w:r>
    <w:r w:rsidRPr="003753FE">
      <w:t>2010/11</w:t>
    </w:r>
    <w:r w:rsidRPr="003753FE">
      <w:fldChar w:fldCharType="end"/>
    </w:r>
    <w:r w:rsidRPr="003753FE">
      <w:t>:</w:t>
    </w:r>
    <w:r w:rsidRPr="003753FE">
      <w:fldChar w:fldCharType="begin" w:fldLock="1"/>
    </w:r>
    <w:r w:rsidRPr="003753FE">
      <w:instrText xml:space="preserve"> DOCPROPERTY "Motionsnummer" *\charformat </w:instrText>
    </w:r>
    <w:r w:rsidRPr="003753FE">
      <w:fldChar w:fldCharType="separate"/>
    </w:r>
    <w:r w:rsidRPr="003753FE">
      <w:t>A374</w:t>
    </w:r>
    <w:r w:rsidRPr="003753FE">
      <w:fldChar w:fldCharType="end"/>
    </w:r>
  </w:p>
  <w:p w:rsidR="003753FE" w:rsidRPr="003753FE" w:rsidRDefault="003753FE">
    <w:pPr>
      <w:pStyle w:val="FSHNormalS5"/>
    </w:pPr>
    <w:r w:rsidRPr="003753FE">
      <w:fldChar w:fldCharType="begin" w:fldLock="1"/>
    </w:r>
    <w:r w:rsidRPr="003753FE">
      <w:instrText xml:space="preserve"> DOCPROPERTY "MotionarText" *\charformat </w:instrText>
    </w:r>
    <w:r w:rsidRPr="003753FE">
      <w:fldChar w:fldCharType="separate"/>
    </w:r>
    <w:r w:rsidRPr="003753FE">
      <w:t>av Ylva Johansson m.fl. (S, MP, V)</w:t>
    </w:r>
    <w:r w:rsidRPr="003753FE">
      <w:fldChar w:fldCharType="end"/>
    </w:r>
    <w:r w:rsidRPr="003753FE">
      <w:br/>
    </w:r>
    <w:r w:rsidRPr="003753FE">
      <w:fldChar w:fldCharType="begin" w:fldLock="1"/>
    </w:r>
    <w:r w:rsidRPr="003753FE">
      <w:instrText xml:space="preserve"> DOCPROPERTY "SvarFrasKort" *\charformat </w:instrText>
    </w:r>
    <w:r w:rsidRPr="003753FE">
      <w:fldChar w:fldCharType="end"/>
    </w:r>
  </w:p>
  <w:p w:rsidR="003753FE" w:rsidRPr="003753FE" w:rsidRDefault="003753FE">
    <w:pPr>
      <w:pStyle w:val="FSHTitel"/>
    </w:pPr>
    <w:r w:rsidRPr="003753FE">
      <w:fldChar w:fldCharType="begin" w:fldLock="1"/>
    </w:r>
    <w:r w:rsidRPr="003753FE">
      <w:instrText xml:space="preserve"> DOCPROPERTY</w:instrText>
    </w:r>
    <w:r w:rsidRPr="003753FE">
      <w:rPr>
        <w:sz w:val="18"/>
      </w:rPr>
      <w:instrText xml:space="preserve"> "RubrikSvar" *\charformat </w:instrText>
    </w:r>
    <w:r w:rsidRPr="003753FE">
      <w:fldChar w:fldCharType="separate"/>
    </w:r>
    <w:r w:rsidRPr="003753FE">
      <w:t>Utgiftsområde 13 Integration och jämställdhet</w:t>
    </w:r>
    <w:r w:rsidRPr="003753FE">
      <w:fldChar w:fldCharType="end"/>
    </w:r>
  </w:p>
  <w:p w:rsidR="003753FE" w:rsidRPr="003753FE" w:rsidRDefault="003753FE">
    <w:pPr>
      <w:pStyle w:val="Normal00"/>
    </w:pPr>
  </w:p>
  <w:p w:rsidR="003753FE" w:rsidRPr="003753FE" w:rsidRDefault="003753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32164647"/>
    <w:multiLevelType w:val="hybridMultilevel"/>
    <w:tmpl w:val="41F6EB54"/>
    <w:lvl w:ilvl="0" w:tplc="F68AC5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7AC7660"/>
    <w:multiLevelType w:val="hybridMultilevel"/>
    <w:tmpl w:val="483A67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EF50455"/>
    <w:multiLevelType w:val="hybridMultilevel"/>
    <w:tmpl w:val="81CE35DE"/>
    <w:lvl w:ilvl="0" w:tplc="6674EF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9910293">
    <w:abstractNumId w:val="3"/>
  </w:num>
  <w:num w:numId="2" w16cid:durableId="805002436">
    <w:abstractNumId w:val="2"/>
  </w:num>
  <w:num w:numId="3" w16cid:durableId="91753410">
    <w:abstractNumId w:val="1"/>
  </w:num>
  <w:num w:numId="4" w16cid:durableId="865756341">
    <w:abstractNumId w:val="0"/>
  </w:num>
  <w:num w:numId="5" w16cid:durableId="961882522">
    <w:abstractNumId w:val="7"/>
  </w:num>
  <w:num w:numId="6" w16cid:durableId="680937707">
    <w:abstractNumId w:val="6"/>
  </w:num>
  <w:num w:numId="7" w16cid:durableId="430900879">
    <w:abstractNumId w:val="5"/>
  </w:num>
  <w:num w:numId="8" w16cid:durableId="1434671312">
    <w:abstractNumId w:val="4"/>
  </w:num>
  <w:num w:numId="9" w16cid:durableId="2064786317">
    <w:abstractNumId w:val="8"/>
  </w:num>
  <w:num w:numId="10" w16cid:durableId="272635083">
    <w:abstractNumId w:val="9"/>
  </w:num>
  <w:num w:numId="11" w16cid:durableId="1961181055">
    <w:abstractNumId w:val="10"/>
  </w:num>
  <w:num w:numId="12" w16cid:durableId="705716218">
    <w:abstractNumId w:val="13"/>
  </w:num>
  <w:num w:numId="13" w16cid:durableId="840510861">
    <w:abstractNumId w:val="18"/>
  </w:num>
  <w:num w:numId="14" w16cid:durableId="744574741">
    <w:abstractNumId w:val="19"/>
  </w:num>
  <w:num w:numId="15" w16cid:durableId="272906411">
    <w:abstractNumId w:val="11"/>
  </w:num>
  <w:num w:numId="16" w16cid:durableId="790317498">
    <w:abstractNumId w:val="21"/>
  </w:num>
  <w:num w:numId="17" w16cid:durableId="834343929">
    <w:abstractNumId w:val="20"/>
  </w:num>
  <w:num w:numId="18" w16cid:durableId="1761178538">
    <w:abstractNumId w:val="17"/>
  </w:num>
  <w:num w:numId="19" w16cid:durableId="53966946">
    <w:abstractNumId w:val="12"/>
  </w:num>
  <w:num w:numId="20" w16cid:durableId="567300295">
    <w:abstractNumId w:val="15"/>
  </w:num>
  <w:num w:numId="21" w16cid:durableId="513688082">
    <w:abstractNumId w:val="16"/>
  </w:num>
  <w:num w:numId="22" w16cid:durableId="20549610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4D77D590-5273-427B-A183-6C503B5C23D6},{9A68AC35-0A1A-4045-8FC1-AF1F64DEB2EB},{655152DA-9738-498E-8F40-529248027960}"/>
  </w:docVars>
  <w:rsids>
    <w:rsidRoot w:val="005F6F8B"/>
    <w:rsid w:val="003753FE"/>
    <w:rsid w:val="005F6F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249E186C-7573-4698-A36C-D2720514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583891">
      <w:bodyDiv w:val="1"/>
      <w:marLeft w:val="0"/>
      <w:marRight w:val="0"/>
      <w:marTop w:val="0"/>
      <w:marBottom w:val="0"/>
      <w:divBdr>
        <w:top w:val="none" w:sz="0" w:space="0" w:color="auto"/>
        <w:left w:val="none" w:sz="0" w:space="0" w:color="auto"/>
        <w:bottom w:val="none" w:sz="0" w:space="0" w:color="auto"/>
        <w:right w:val="none" w:sz="0" w:space="0" w:color="auto"/>
      </w:divBdr>
    </w:div>
    <w:div w:id="1224366039">
      <w:bodyDiv w:val="1"/>
      <w:marLeft w:val="0"/>
      <w:marRight w:val="0"/>
      <w:marTop w:val="0"/>
      <w:marBottom w:val="0"/>
      <w:divBdr>
        <w:top w:val="none" w:sz="0" w:space="0" w:color="auto"/>
        <w:left w:val="none" w:sz="0" w:space="0" w:color="auto"/>
        <w:bottom w:val="none" w:sz="0" w:space="0" w:color="auto"/>
        <w:right w:val="none" w:sz="0" w:space="0" w:color="auto"/>
      </w:divBdr>
    </w:div>
    <w:div w:id="1554586484">
      <w:bodyDiv w:val="1"/>
      <w:marLeft w:val="0"/>
      <w:marRight w:val="0"/>
      <w:marTop w:val="0"/>
      <w:marBottom w:val="0"/>
      <w:divBdr>
        <w:top w:val="none" w:sz="0" w:space="0" w:color="auto"/>
        <w:left w:val="none" w:sz="0" w:space="0" w:color="auto"/>
        <w:bottom w:val="none" w:sz="0" w:space="0" w:color="auto"/>
        <w:right w:val="none" w:sz="0" w:space="0" w:color="auto"/>
      </w:divBdr>
    </w:div>
    <w:div w:id="1904830689">
      <w:bodyDiv w:val="1"/>
      <w:marLeft w:val="0"/>
      <w:marRight w:val="0"/>
      <w:marTop w:val="0"/>
      <w:marBottom w:val="0"/>
      <w:divBdr>
        <w:top w:val="none" w:sz="0" w:space="0" w:color="auto"/>
        <w:left w:val="none" w:sz="0" w:space="0" w:color="auto"/>
        <w:bottom w:val="none" w:sz="0" w:space="0" w:color="auto"/>
        <w:right w:val="none" w:sz="0" w:space="0" w:color="auto"/>
      </w:divBdr>
    </w:div>
    <w:div w:id="1969890258">
      <w:bodyDiv w:val="1"/>
      <w:marLeft w:val="0"/>
      <w:marRight w:val="0"/>
      <w:marTop w:val="0"/>
      <w:marBottom w:val="0"/>
      <w:divBdr>
        <w:top w:val="none" w:sz="0" w:space="0" w:color="auto"/>
        <w:left w:val="none" w:sz="0" w:space="0" w:color="auto"/>
        <w:bottom w:val="none" w:sz="0" w:space="0" w:color="auto"/>
        <w:right w:val="none" w:sz="0" w:space="0" w:color="auto"/>
      </w:divBdr>
    </w:div>
    <w:div w:id="200496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2152</Characters>
  <Application>Microsoft Office Word</Application>
  <DocSecurity>4</DocSecurity>
  <Lines>65</Lines>
  <Paragraphs>36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2010-11-15T09:53:00Z</cp:lastPrinted>
  <dcterms:created xsi:type="dcterms:W3CDTF">2025-12-18T00:22:00Z</dcterms:created>
  <dcterms:modified xsi:type="dcterms:W3CDTF">2025-12-18T00:22:00Z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13 Integration och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13 Integration och jämställdhet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-MP1020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Ylva Johansson m.fl. (S, MP, V)</vt:lpwstr>
  </property>
  <property fmtid="{D5CDD505-2E9C-101B-9397-08002B2CF9AE}" pid="26" name="MotionarLista">
    <vt:lpwstr>Johansson, Ylva (S)\Kaplan, Mehmet (MP)\Höj Larsen, Christina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Mehmet Kaplan (MP), Christina Höj Larsen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20102011000000770080000010200070</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20102011000000770080000010200070</vt:lpwstr>
  </property>
  <property fmtid="{D5CDD505-2E9C-101B-9397-08002B2CF9AE}" pid="50" name="nummer">
    <vt:lpwstr>374</vt:lpwstr>
  </property>
  <property fmtid="{D5CDD505-2E9C-101B-9397-08002B2CF9AE}" pid="51" name="utskottsbeteckning">
    <vt:lpwstr>A</vt:lpwstr>
  </property>
  <property fmtid="{D5CDD505-2E9C-101B-9397-08002B2CF9AE}" pid="52" name="GlobalUID">
    <vt:lpwstr>{9068FAAB-B9B3-4579-9888-F0E727FEB677}</vt:lpwstr>
  </property>
  <property fmtid="{D5CDD505-2E9C-101B-9397-08002B2CF9AE}" pid="53" name="Överföringar">
    <vt:i4>0</vt:i4>
  </property>
  <property fmtid="{D5CDD505-2E9C-101B-9397-08002B2CF9AE}" pid="54" name="Checksum">
    <vt:lpwstr>*1010353423608*</vt:lpwstr>
  </property>
  <property fmtid="{D5CDD505-2E9C-101B-9397-08002B2CF9AE}" pid="55" name="skuggnummer">
    <vt:lpwstr>2555</vt:lpwstr>
  </property>
  <property fmtid="{D5CDD505-2E9C-101B-9397-08002B2CF9AE}" pid="56" name="urixVersion">
    <vt:lpwstr>4.3.0.0</vt:lpwstr>
  </property>
  <property fmtid="{D5CDD505-2E9C-101B-9397-08002B2CF9AE}" pid="57" name="urixOrigin">
    <vt:lpwstr>101115 09:54:46.725</vt:lpwstr>
  </property>
  <property fmtid="{D5CDD505-2E9C-101B-9397-08002B2CF9AE}" pid="58" name="urixGuid">
    <vt:lpwstr>{A453F1A5-0759-471A-BB0E-7473BC3BC88F}</vt:lpwstr>
  </property>
</Properties>
</file>