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946968">
              <w:rPr>
                <w:b/>
              </w:rPr>
              <w:t>60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816ABC">
            <w:r>
              <w:t>2018</w:t>
            </w:r>
            <w:r w:rsidR="007A09DA">
              <w:t>-</w:t>
            </w:r>
            <w:r w:rsidR="0007120E">
              <w:t>0</w:t>
            </w:r>
            <w:r w:rsidR="00816ABC">
              <w:t>6</w:t>
            </w:r>
            <w:r w:rsidR="0007120E">
              <w:t>-</w:t>
            </w:r>
            <w:r w:rsidR="00F06C30">
              <w:t>1</w:t>
            </w:r>
            <w:r w:rsidR="009F472F">
              <w:t>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946968" w:rsidP="00946968">
            <w:r>
              <w:t>08</w:t>
            </w:r>
            <w:r w:rsidR="006B167D">
              <w:t>.</w:t>
            </w:r>
            <w:r>
              <w:t>30</w:t>
            </w:r>
            <w:r w:rsidR="00EA271E">
              <w:t>–</w:t>
            </w:r>
            <w:r>
              <w:t>08</w:t>
            </w:r>
            <w:r w:rsidR="00E915DE">
              <w:t>.</w:t>
            </w:r>
            <w:r>
              <w:t>55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46968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46968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6968" w:rsidRPr="000A28D4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2017/18:58.</w:t>
            </w:r>
          </w:p>
          <w:p w:rsidR="00E92BF2" w:rsidRPr="00EE75F7" w:rsidRDefault="00E92BF2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62D14" w:rsidTr="003D3D2B">
        <w:tc>
          <w:tcPr>
            <w:tcW w:w="567" w:type="dxa"/>
          </w:tcPr>
          <w:p w:rsidR="00462D14" w:rsidRPr="00DA4B7A" w:rsidRDefault="00462D14" w:rsidP="00462D14">
            <w:pPr>
              <w:tabs>
                <w:tab w:val="left" w:pos="1701"/>
              </w:tabs>
            </w:pPr>
            <w:r w:rsidRPr="00DA4B7A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62D14" w:rsidRPr="00DA4B7A" w:rsidRDefault="00462D14" w:rsidP="00462D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4B7A">
              <w:rPr>
                <w:b/>
                <w:snapToGrid w:val="0"/>
                <w:szCs w:val="24"/>
              </w:rPr>
              <w:t>Inkomna skrivelser</w:t>
            </w:r>
          </w:p>
          <w:p w:rsidR="00462D14" w:rsidRPr="00DA4B7A" w:rsidRDefault="00462D14" w:rsidP="00462D14"/>
          <w:p w:rsidR="00462D14" w:rsidRPr="00DA4B7A" w:rsidRDefault="00462D14" w:rsidP="00462D14">
            <w:pPr>
              <w:rPr>
                <w:bCs/>
                <w:color w:val="000000"/>
                <w:szCs w:val="24"/>
              </w:rPr>
            </w:pPr>
            <w:r w:rsidRPr="00DA4B7A">
              <w:rPr>
                <w:bCs/>
                <w:color w:val="000000"/>
                <w:szCs w:val="24"/>
              </w:rPr>
              <w:t>Inkomna skrivelser enligt bilaga 2 anmäldes.</w:t>
            </w:r>
          </w:p>
          <w:p w:rsidR="00457B98" w:rsidRPr="00DA4B7A" w:rsidRDefault="00457B98" w:rsidP="00462D14"/>
        </w:tc>
      </w:tr>
      <w:tr w:rsidR="00462D14" w:rsidTr="003D3D2B">
        <w:tc>
          <w:tcPr>
            <w:tcW w:w="567" w:type="dxa"/>
          </w:tcPr>
          <w:p w:rsidR="00462D14" w:rsidRPr="00DA4B7A" w:rsidRDefault="00462D14" w:rsidP="00462D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A4B7A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62D14" w:rsidRPr="00DA4B7A" w:rsidRDefault="00462D14" w:rsidP="00462D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4B7A">
              <w:rPr>
                <w:b/>
                <w:snapToGrid w:val="0"/>
                <w:szCs w:val="24"/>
              </w:rPr>
              <w:t>Åtals</w:t>
            </w:r>
            <w:r w:rsidR="007543A2">
              <w:rPr>
                <w:b/>
                <w:snapToGrid w:val="0"/>
                <w:szCs w:val="24"/>
              </w:rPr>
              <w:t>anmälan</w:t>
            </w:r>
          </w:p>
          <w:p w:rsidR="00ED455C" w:rsidRPr="00DA4B7A" w:rsidRDefault="00ED455C" w:rsidP="00462D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Konstitutionsutskottet har den 25 maj 2018 mottagit en skrivelse, dnr 1123-2017/18.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 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Skrivelsen innefattar bl.a. anmälan mot statsråd och f.d. statsråd om brott.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 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Ärendet föredrogs.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 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Utskottet beslutade att skrivelsen inte skulle föranleda någon åtgärd. 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 </w:t>
            </w:r>
          </w:p>
          <w:p w:rsidR="00ED455C" w:rsidRPr="00DA4B7A" w:rsidRDefault="00ED455C" w:rsidP="00ED45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Denna paragraf förklarades omedelbart justerad.</w:t>
            </w:r>
          </w:p>
          <w:p w:rsidR="00457B98" w:rsidRPr="00DA4B7A" w:rsidRDefault="00457B98" w:rsidP="00CC34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2D1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E0534" w:rsidRDefault="00946968" w:rsidP="009469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EU-bevakning</w:t>
            </w:r>
          </w:p>
          <w:p w:rsidR="00946968" w:rsidRPr="00946968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46968" w:rsidRPr="00946968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46968">
              <w:rPr>
                <w:snapToGrid w:val="0"/>
                <w:szCs w:val="24"/>
              </w:rPr>
              <w:t xml:space="preserve">Förteckning över </w:t>
            </w:r>
            <w:r>
              <w:rPr>
                <w:snapToGrid w:val="0"/>
                <w:szCs w:val="24"/>
              </w:rPr>
              <w:t xml:space="preserve">inkomna </w:t>
            </w:r>
            <w:r w:rsidRPr="00946968">
              <w:rPr>
                <w:snapToGrid w:val="0"/>
                <w:szCs w:val="24"/>
              </w:rPr>
              <w:t xml:space="preserve">EU-handlingar anmäldes. </w:t>
            </w:r>
          </w:p>
          <w:p w:rsidR="00946968" w:rsidRDefault="00946968" w:rsidP="009469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B9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A50BB" w:rsidRDefault="00946968" w:rsidP="00946968">
            <w:pPr>
              <w:rPr>
                <w:b/>
                <w:bCs/>
                <w:color w:val="000000"/>
                <w:szCs w:val="24"/>
              </w:rPr>
            </w:pPr>
            <w:r w:rsidRPr="00382628">
              <w:rPr>
                <w:b/>
                <w:bCs/>
                <w:color w:val="000000"/>
                <w:szCs w:val="24"/>
              </w:rPr>
              <w:t>Förslag till direktiv om skydd för personer som rapporterar om överträdelser av unionsrätten</w:t>
            </w:r>
          </w:p>
          <w:p w:rsidR="00946968" w:rsidRPr="00382628" w:rsidRDefault="00946968" w:rsidP="00946968">
            <w:pPr>
              <w:rPr>
                <w:b/>
                <w:bCs/>
                <w:color w:val="000000"/>
                <w:szCs w:val="24"/>
              </w:rPr>
            </w:pPr>
          </w:p>
          <w:p w:rsidR="00946968" w:rsidRPr="00382628" w:rsidRDefault="00946968" w:rsidP="00946968">
            <w:pPr>
              <w:rPr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382628">
              <w:rPr>
                <w:bCs/>
                <w:color w:val="000000"/>
                <w:szCs w:val="24"/>
              </w:rPr>
              <w:t xml:space="preserve"> s</w:t>
            </w:r>
            <w:r w:rsidRPr="00382628">
              <w:rPr>
                <w:color w:val="000000"/>
                <w:szCs w:val="24"/>
              </w:rPr>
              <w:t>ubsidiaritetsprövningen av KOM(2018) 218.</w:t>
            </w:r>
          </w:p>
          <w:p w:rsidR="00946968" w:rsidRPr="00382628" w:rsidRDefault="00946968" w:rsidP="00946968">
            <w:pPr>
              <w:rPr>
                <w:bCs/>
                <w:color w:val="000000"/>
                <w:szCs w:val="24"/>
              </w:rPr>
            </w:pPr>
          </w:p>
          <w:p w:rsidR="00E92BF2" w:rsidRDefault="006B76CC" w:rsidP="006B76CC">
            <w:pPr>
              <w:rPr>
                <w:b/>
                <w:snapToGrid w:val="0"/>
                <w:szCs w:val="24"/>
              </w:rPr>
            </w:pPr>
            <w:r w:rsidRPr="006B76CC">
              <w:rPr>
                <w:bCs/>
                <w:color w:val="000000"/>
                <w:szCs w:val="24"/>
              </w:rPr>
              <w:t>Utskottet justerade utlåtande 20</w:t>
            </w:r>
            <w:r>
              <w:rPr>
                <w:bCs/>
                <w:color w:val="000000"/>
                <w:szCs w:val="24"/>
              </w:rPr>
              <w:t>17/18:KU48.</w:t>
            </w:r>
          </w:p>
          <w:p w:rsidR="00FA50BB" w:rsidRDefault="00FA50BB" w:rsidP="006B76CC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Pr="00DA4B7A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A4B7A">
              <w:rPr>
                <w:b/>
                <w:snapToGrid w:val="0"/>
              </w:rPr>
              <w:t>§</w:t>
            </w:r>
            <w:r w:rsidR="000705A6" w:rsidRPr="00DA4B7A">
              <w:rPr>
                <w:b/>
                <w:snapToGrid w:val="0"/>
              </w:rPr>
              <w:t xml:space="preserve"> </w:t>
            </w:r>
            <w:r w:rsidR="00457B98" w:rsidRPr="00DA4B7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946968" w:rsidRPr="00DA4B7A" w:rsidRDefault="00946968" w:rsidP="009469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4B7A">
              <w:rPr>
                <w:b/>
                <w:snapToGrid w:val="0"/>
                <w:szCs w:val="24"/>
              </w:rPr>
              <w:t>Fråga om översyn av Riksdagens ombudsmän (JO)</w:t>
            </w:r>
          </w:p>
          <w:p w:rsidR="00946968" w:rsidRPr="00DA4B7A" w:rsidRDefault="00946968" w:rsidP="009469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DC5" w:rsidRDefault="00CD3BE2" w:rsidP="00CD3BE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 xml:space="preserve">Utskottet beslutade att </w:t>
            </w:r>
            <w:r w:rsidR="000D2357" w:rsidRPr="00DA4B7A">
              <w:rPr>
                <w:snapToGrid w:val="0"/>
                <w:szCs w:val="24"/>
              </w:rPr>
              <w:t xml:space="preserve">som en bilaga till detta protokoll lägga </w:t>
            </w:r>
            <w:r w:rsidR="00ED455C" w:rsidRPr="00DA4B7A">
              <w:rPr>
                <w:snapToGrid w:val="0"/>
                <w:szCs w:val="24"/>
              </w:rPr>
              <w:t xml:space="preserve">en kanslipromemoria där utskottets uppfattning redovisas att en bred översyn av Riksdagens ombudsmän (JO) bör göras och vilka </w:t>
            </w:r>
            <w:r w:rsidR="00946968" w:rsidRPr="00DA4B7A">
              <w:rPr>
                <w:snapToGrid w:val="0"/>
                <w:szCs w:val="24"/>
              </w:rPr>
              <w:t xml:space="preserve">frågeställningar som </w:t>
            </w:r>
            <w:r w:rsidR="00ED455C" w:rsidRPr="00DA4B7A">
              <w:rPr>
                <w:snapToGrid w:val="0"/>
                <w:szCs w:val="24"/>
              </w:rPr>
              <w:t>enligt utskottet bör övervägas i en sådan översyn</w:t>
            </w:r>
            <w:r w:rsidRPr="00DA4B7A">
              <w:rPr>
                <w:snapToGrid w:val="0"/>
                <w:szCs w:val="24"/>
              </w:rPr>
              <w:t xml:space="preserve"> (se bilaga </w:t>
            </w:r>
            <w:r w:rsidR="00457B98" w:rsidRPr="00DA4B7A">
              <w:rPr>
                <w:snapToGrid w:val="0"/>
                <w:szCs w:val="24"/>
              </w:rPr>
              <w:t>3</w:t>
            </w:r>
            <w:r w:rsidRPr="00DA4B7A">
              <w:rPr>
                <w:snapToGrid w:val="0"/>
                <w:szCs w:val="24"/>
              </w:rPr>
              <w:t>)</w:t>
            </w:r>
            <w:r w:rsidR="00946968" w:rsidRPr="00DA4B7A">
              <w:rPr>
                <w:snapToGrid w:val="0"/>
                <w:szCs w:val="24"/>
              </w:rPr>
              <w:t>.</w:t>
            </w:r>
          </w:p>
          <w:p w:rsidR="00FA50BB" w:rsidRPr="00DA4B7A" w:rsidRDefault="00FA50BB" w:rsidP="00CD3BE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66DC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lastRenderedPageBreak/>
              <w:br w:type="page"/>
            </w:r>
            <w:r w:rsidR="00B8673E">
              <w:rPr>
                <w:b/>
                <w:snapToGrid w:val="0"/>
              </w:rPr>
              <w:t>§</w:t>
            </w:r>
            <w:r w:rsidR="000705A6">
              <w:rPr>
                <w:b/>
                <w:snapToGrid w:val="0"/>
              </w:rPr>
              <w:t xml:space="preserve"> </w:t>
            </w:r>
            <w:r w:rsidR="00457B9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C6715" w:rsidRDefault="00CD3BE2" w:rsidP="00946968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Val till Nämnden för prövning av statsråds och statssekreterares övergångsrestriktioner</w:t>
            </w:r>
          </w:p>
          <w:p w:rsidR="00CD3BE2" w:rsidRDefault="00CD3BE2" w:rsidP="00946968">
            <w:pPr>
              <w:rPr>
                <w:snapToGrid w:val="0"/>
                <w:szCs w:val="24"/>
              </w:rPr>
            </w:pPr>
          </w:p>
          <w:p w:rsidR="00CD3BE2" w:rsidRPr="00CD3BE2" w:rsidRDefault="00CD3BE2" w:rsidP="00CD3BE2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</w:t>
            </w:r>
            <w:r w:rsidR="009F466B">
              <w:rPr>
                <w:snapToGrid w:val="0"/>
                <w:szCs w:val="24"/>
              </w:rPr>
              <w:t xml:space="preserve">enhälligt </w:t>
            </w:r>
            <w:r>
              <w:rPr>
                <w:snapToGrid w:val="0"/>
                <w:szCs w:val="24"/>
              </w:rPr>
              <w:t xml:space="preserve">att </w:t>
            </w:r>
            <w:r w:rsidR="009F466B">
              <w:rPr>
                <w:snapToGrid w:val="0"/>
                <w:szCs w:val="24"/>
              </w:rPr>
              <w:t>föreslå</w:t>
            </w:r>
            <w:r w:rsidRPr="00CD3BE2">
              <w:rPr>
                <w:snapToGrid w:val="0"/>
                <w:szCs w:val="24"/>
              </w:rPr>
              <w:t xml:space="preserve"> att riksdagen för tiden</w:t>
            </w:r>
            <w:r w:rsidR="00D41DA5">
              <w:rPr>
                <w:snapToGrid w:val="0"/>
                <w:szCs w:val="24"/>
              </w:rPr>
              <w:t xml:space="preserve"> från och med den 1 juli 2018 </w:t>
            </w:r>
            <w:r w:rsidRPr="00CD3BE2">
              <w:rPr>
                <w:snapToGrid w:val="0"/>
                <w:szCs w:val="24"/>
              </w:rPr>
              <w:t xml:space="preserve">till dess ett nytt val har ägt rum till Nämnden för </w:t>
            </w:r>
            <w:r w:rsidR="009F466B">
              <w:rPr>
                <w:snapToGrid w:val="0"/>
                <w:szCs w:val="24"/>
              </w:rPr>
              <w:t xml:space="preserve">prövning av statsråds och statssekreterares övergångsrestriktioner </w:t>
            </w:r>
            <w:r w:rsidRPr="00CD3BE2">
              <w:rPr>
                <w:snapToGrid w:val="0"/>
                <w:szCs w:val="24"/>
              </w:rPr>
              <w:t xml:space="preserve">väljer </w:t>
            </w:r>
            <w:r w:rsidR="009F466B">
              <w:rPr>
                <w:snapToGrid w:val="0"/>
                <w:szCs w:val="24"/>
              </w:rPr>
              <w:t xml:space="preserve">justitiekansler Anna Skarhed som ordförande, kammarrättspresidenten Thomas Rolén som vice ordförande och landshövdingen </w:t>
            </w:r>
            <w:r w:rsidR="00D41DA5">
              <w:rPr>
                <w:snapToGrid w:val="0"/>
                <w:szCs w:val="24"/>
              </w:rPr>
              <w:t xml:space="preserve">tillika f.d. statsrådet </w:t>
            </w:r>
            <w:r w:rsidR="009F466B">
              <w:rPr>
                <w:snapToGrid w:val="0"/>
                <w:szCs w:val="24"/>
              </w:rPr>
              <w:t xml:space="preserve">Sven-Erik Österberg, kommerserådet </w:t>
            </w:r>
            <w:r w:rsidR="00D41DA5">
              <w:rPr>
                <w:snapToGrid w:val="0"/>
                <w:szCs w:val="24"/>
              </w:rPr>
              <w:t xml:space="preserve">tillika f.d. statssekreteraren </w:t>
            </w:r>
            <w:r w:rsidR="009F466B">
              <w:rPr>
                <w:snapToGrid w:val="0"/>
                <w:szCs w:val="24"/>
              </w:rPr>
              <w:t>Tanja Ra</w:t>
            </w:r>
            <w:r w:rsidR="00FA50BB">
              <w:rPr>
                <w:snapToGrid w:val="0"/>
                <w:szCs w:val="24"/>
              </w:rPr>
              <w:t>smusson samt f.d. chefsjustitie</w:t>
            </w:r>
            <w:bookmarkStart w:id="0" w:name="_GoBack"/>
            <w:bookmarkEnd w:id="0"/>
            <w:r w:rsidR="009F466B">
              <w:rPr>
                <w:snapToGrid w:val="0"/>
                <w:szCs w:val="24"/>
              </w:rPr>
              <w:t>ombudsmannen Elisabet Fura som ledamot</w:t>
            </w:r>
            <w:r w:rsidRPr="00CD3BE2">
              <w:rPr>
                <w:snapToGrid w:val="0"/>
                <w:szCs w:val="24"/>
              </w:rPr>
              <w:t>.</w:t>
            </w:r>
          </w:p>
          <w:p w:rsidR="00CD3BE2" w:rsidRPr="00CD3BE2" w:rsidRDefault="00CD3BE2" w:rsidP="00CD3BE2">
            <w:pPr>
              <w:rPr>
                <w:snapToGrid w:val="0"/>
                <w:szCs w:val="24"/>
              </w:rPr>
            </w:pPr>
          </w:p>
          <w:p w:rsidR="00CD3BE2" w:rsidRPr="00CD3BE2" w:rsidRDefault="00CD3BE2" w:rsidP="00CD3BE2">
            <w:pPr>
              <w:rPr>
                <w:snapToGrid w:val="0"/>
                <w:szCs w:val="24"/>
              </w:rPr>
            </w:pPr>
            <w:r w:rsidRPr="00CD3BE2">
              <w:rPr>
                <w:snapToGrid w:val="0"/>
                <w:szCs w:val="24"/>
              </w:rPr>
              <w:t>Denna paragraf förklarades omedelbart justerad.</w:t>
            </w:r>
          </w:p>
          <w:p w:rsidR="00CD3BE2" w:rsidRDefault="00CD3BE2" w:rsidP="00946968">
            <w:pPr>
              <w:rPr>
                <w:b/>
                <w:snapToGrid w:val="0"/>
                <w:szCs w:val="24"/>
              </w:rPr>
            </w:pPr>
          </w:p>
        </w:tc>
      </w:tr>
      <w:tr w:rsidR="00457B98" w:rsidRPr="00DA4B7A" w:rsidTr="003D3D2B">
        <w:tc>
          <w:tcPr>
            <w:tcW w:w="567" w:type="dxa"/>
          </w:tcPr>
          <w:p w:rsidR="00457B98" w:rsidRPr="00DA4B7A" w:rsidRDefault="00457B98" w:rsidP="0096348C">
            <w:pPr>
              <w:tabs>
                <w:tab w:val="left" w:pos="1701"/>
              </w:tabs>
            </w:pPr>
            <w:r w:rsidRPr="00DA4B7A"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57B98" w:rsidRPr="00DA4B7A" w:rsidRDefault="00457B98" w:rsidP="00457B98">
            <w:pPr>
              <w:rPr>
                <w:b/>
                <w:snapToGrid w:val="0"/>
                <w:szCs w:val="24"/>
              </w:rPr>
            </w:pPr>
            <w:r w:rsidRPr="00DA4B7A">
              <w:rPr>
                <w:b/>
                <w:snapToGrid w:val="0"/>
                <w:szCs w:val="24"/>
              </w:rPr>
              <w:t>Inställt sammanträde</w:t>
            </w:r>
          </w:p>
          <w:p w:rsidR="00457B98" w:rsidRPr="00DA4B7A" w:rsidRDefault="00457B98" w:rsidP="00457B98">
            <w:pPr>
              <w:rPr>
                <w:b/>
                <w:snapToGrid w:val="0"/>
                <w:szCs w:val="24"/>
              </w:rPr>
            </w:pPr>
          </w:p>
          <w:p w:rsidR="00457B98" w:rsidRPr="00DA4B7A" w:rsidRDefault="00457B98" w:rsidP="00457B98">
            <w:pPr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Utskottet beslutade att ställa in sammanträdet tisdagen den 19 juni 2018.</w:t>
            </w:r>
          </w:p>
          <w:p w:rsidR="00457B98" w:rsidRPr="00DA4B7A" w:rsidRDefault="00457B98" w:rsidP="00946968">
            <w:pPr>
              <w:rPr>
                <w:b/>
                <w:snapToGrid w:val="0"/>
                <w:szCs w:val="24"/>
              </w:rPr>
            </w:pPr>
          </w:p>
        </w:tc>
      </w:tr>
      <w:tr w:rsidR="00457B98" w:rsidTr="003D3D2B">
        <w:tc>
          <w:tcPr>
            <w:tcW w:w="567" w:type="dxa"/>
          </w:tcPr>
          <w:p w:rsidR="00457B98" w:rsidRPr="00DA4B7A" w:rsidRDefault="00457B98" w:rsidP="0096348C">
            <w:pPr>
              <w:tabs>
                <w:tab w:val="left" w:pos="1701"/>
              </w:tabs>
            </w:pPr>
            <w:r w:rsidRPr="00DA4B7A"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457B98" w:rsidRPr="00DA4B7A" w:rsidRDefault="00457B98" w:rsidP="00457B98">
            <w:pPr>
              <w:rPr>
                <w:b/>
                <w:snapToGrid w:val="0"/>
                <w:szCs w:val="24"/>
              </w:rPr>
            </w:pPr>
            <w:r w:rsidRPr="00DA4B7A">
              <w:rPr>
                <w:b/>
                <w:snapToGrid w:val="0"/>
                <w:szCs w:val="24"/>
              </w:rPr>
              <w:t>Bemyndigande att justera dagens protokoll</w:t>
            </w:r>
          </w:p>
          <w:p w:rsidR="00457B98" w:rsidRPr="00DA4B7A" w:rsidRDefault="00457B98" w:rsidP="00457B98">
            <w:pPr>
              <w:rPr>
                <w:b/>
                <w:snapToGrid w:val="0"/>
                <w:szCs w:val="24"/>
              </w:rPr>
            </w:pPr>
          </w:p>
          <w:p w:rsidR="00457B98" w:rsidRPr="00DA4B7A" w:rsidRDefault="00457B98" w:rsidP="00457B98">
            <w:pPr>
              <w:rPr>
                <w:snapToGrid w:val="0"/>
                <w:szCs w:val="24"/>
              </w:rPr>
            </w:pPr>
            <w:r w:rsidRPr="00DA4B7A">
              <w:rPr>
                <w:snapToGrid w:val="0"/>
                <w:szCs w:val="24"/>
              </w:rPr>
              <w:t>Utskottet uppdrog åt ordföranden att justera dagens protokoll</w:t>
            </w:r>
            <w:r w:rsidR="002834FB">
              <w:rPr>
                <w:snapToGrid w:val="0"/>
                <w:szCs w:val="24"/>
              </w:rPr>
              <w:t xml:space="preserve"> och protokollet från den 12 juni 2018</w:t>
            </w:r>
            <w:r w:rsidRPr="00DA4B7A">
              <w:rPr>
                <w:snapToGrid w:val="0"/>
                <w:szCs w:val="24"/>
              </w:rPr>
              <w:t>.</w:t>
            </w: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FA50BB" w:rsidP="0096348C">
            <w:pPr>
              <w:tabs>
                <w:tab w:val="left" w:pos="1701"/>
              </w:tabs>
            </w:pPr>
            <w:r>
              <w:t>Justerat 2018-06-20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816AB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</w:t>
            </w:r>
            <w:r w:rsidR="00816ABC">
              <w:rPr>
                <w:sz w:val="20"/>
              </w:rPr>
              <w:t>6</w:t>
            </w:r>
            <w:r w:rsidR="00132909" w:rsidRPr="00132909">
              <w:rPr>
                <w:sz w:val="20"/>
              </w:rPr>
              <w:t>-</w:t>
            </w:r>
            <w:r w:rsidR="00816ABC">
              <w:rPr>
                <w:sz w:val="20"/>
              </w:rPr>
              <w:t>0</w:t>
            </w:r>
            <w:r w:rsidR="0017291F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0D2357">
              <w:rPr>
                <w:sz w:val="16"/>
                <w:szCs w:val="16"/>
              </w:rPr>
              <w:t>60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CC34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  <w:r w:rsidR="00CC34F6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CC34F6" w:rsidP="000D23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5-9 </w:t>
            </w:r>
            <w:r w:rsidR="00F54F71">
              <w:rPr>
                <w:sz w:val="20"/>
              </w:rPr>
              <w:t>§</w:t>
            </w:r>
            <w:r w:rsidR="00D30F6D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D235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CC34F6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0D2357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16AB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C5DB9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A4B7A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A4B7A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A4B7A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A4B7A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8"/>
      <w:footerReference w:type="default" r:id="rId9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763C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0BB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5D69"/>
    <w:multiLevelType w:val="hybridMultilevel"/>
    <w:tmpl w:val="C80C2446"/>
    <w:lvl w:ilvl="0" w:tplc="164266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6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05A6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2357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454CD"/>
    <w:rsid w:val="00161AA6"/>
    <w:rsid w:val="00171473"/>
    <w:rsid w:val="0017291F"/>
    <w:rsid w:val="00184F4B"/>
    <w:rsid w:val="00185C45"/>
    <w:rsid w:val="00190C88"/>
    <w:rsid w:val="001C0208"/>
    <w:rsid w:val="001C5DB9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35F3B"/>
    <w:rsid w:val="00253813"/>
    <w:rsid w:val="002544E0"/>
    <w:rsid w:val="002624FF"/>
    <w:rsid w:val="002657C3"/>
    <w:rsid w:val="00273C16"/>
    <w:rsid w:val="00275FEE"/>
    <w:rsid w:val="002834FB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D493D"/>
    <w:rsid w:val="002E5F58"/>
    <w:rsid w:val="002F284C"/>
    <w:rsid w:val="002F69A0"/>
    <w:rsid w:val="00301C98"/>
    <w:rsid w:val="00302575"/>
    <w:rsid w:val="00302602"/>
    <w:rsid w:val="0030316C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36977"/>
    <w:rsid w:val="00445AA2"/>
    <w:rsid w:val="004573B1"/>
    <w:rsid w:val="00457B98"/>
    <w:rsid w:val="00457C6B"/>
    <w:rsid w:val="004604AD"/>
    <w:rsid w:val="0046086D"/>
    <w:rsid w:val="00462D14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77581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6CC"/>
    <w:rsid w:val="006B7B0C"/>
    <w:rsid w:val="006C1C41"/>
    <w:rsid w:val="006C21FA"/>
    <w:rsid w:val="006C73EB"/>
    <w:rsid w:val="006D3126"/>
    <w:rsid w:val="006D4CBF"/>
    <w:rsid w:val="006D763C"/>
    <w:rsid w:val="006E7AAC"/>
    <w:rsid w:val="006E7FED"/>
    <w:rsid w:val="006F0E72"/>
    <w:rsid w:val="00704E52"/>
    <w:rsid w:val="007136CB"/>
    <w:rsid w:val="00715122"/>
    <w:rsid w:val="00723D66"/>
    <w:rsid w:val="00735794"/>
    <w:rsid w:val="00750FF0"/>
    <w:rsid w:val="007543A2"/>
    <w:rsid w:val="00757844"/>
    <w:rsid w:val="00760655"/>
    <w:rsid w:val="00762198"/>
    <w:rsid w:val="007627C2"/>
    <w:rsid w:val="0076475B"/>
    <w:rsid w:val="00767BDA"/>
    <w:rsid w:val="00773A18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564"/>
    <w:rsid w:val="00815AF7"/>
    <w:rsid w:val="00816ABC"/>
    <w:rsid w:val="00830962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124D4"/>
    <w:rsid w:val="0092209D"/>
    <w:rsid w:val="00923CF0"/>
    <w:rsid w:val="00946968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9F466B"/>
    <w:rsid w:val="009F472F"/>
    <w:rsid w:val="00A13FAA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2ECF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E2AE1"/>
    <w:rsid w:val="00AF4B27"/>
    <w:rsid w:val="00AF6BE7"/>
    <w:rsid w:val="00B0331F"/>
    <w:rsid w:val="00B151F5"/>
    <w:rsid w:val="00B16A2A"/>
    <w:rsid w:val="00B43385"/>
    <w:rsid w:val="00B460C7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0758D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7473F"/>
    <w:rsid w:val="00C8008E"/>
    <w:rsid w:val="00C9198C"/>
    <w:rsid w:val="00C93236"/>
    <w:rsid w:val="00C959F6"/>
    <w:rsid w:val="00CB233E"/>
    <w:rsid w:val="00CB2EE2"/>
    <w:rsid w:val="00CC1AA4"/>
    <w:rsid w:val="00CC3223"/>
    <w:rsid w:val="00CC34F6"/>
    <w:rsid w:val="00CC3B28"/>
    <w:rsid w:val="00CD0056"/>
    <w:rsid w:val="00CD1F09"/>
    <w:rsid w:val="00CD3BE1"/>
    <w:rsid w:val="00CD3BE2"/>
    <w:rsid w:val="00D15663"/>
    <w:rsid w:val="00D23BCB"/>
    <w:rsid w:val="00D2696C"/>
    <w:rsid w:val="00D30F6D"/>
    <w:rsid w:val="00D3172B"/>
    <w:rsid w:val="00D32EC9"/>
    <w:rsid w:val="00D41DA5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4B7A"/>
    <w:rsid w:val="00DA56B7"/>
    <w:rsid w:val="00DA7507"/>
    <w:rsid w:val="00DC612A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64F6"/>
    <w:rsid w:val="00E4756B"/>
    <w:rsid w:val="00E558A7"/>
    <w:rsid w:val="00E65CDC"/>
    <w:rsid w:val="00E66DC5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B5B51"/>
    <w:rsid w:val="00EC41D1"/>
    <w:rsid w:val="00ED1982"/>
    <w:rsid w:val="00ED455C"/>
    <w:rsid w:val="00EE07EE"/>
    <w:rsid w:val="00EE0ACA"/>
    <w:rsid w:val="00EE75F7"/>
    <w:rsid w:val="00EF1192"/>
    <w:rsid w:val="00EF67DE"/>
    <w:rsid w:val="00F0277E"/>
    <w:rsid w:val="00F06C30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A50BB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40B9A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25C8-369B-4D51-AC78-514C2158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2</TotalTime>
  <Pages>3</Pages>
  <Words>663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2018-06-18T09:30:00Z</cp:lastPrinted>
  <dcterms:created xsi:type="dcterms:W3CDTF">2018-06-21T11:42:00Z</dcterms:created>
  <dcterms:modified xsi:type="dcterms:W3CDTF">2018-06-21T11:43:00Z</dcterms:modified>
</cp:coreProperties>
</file>