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C85" w:rsidRPr="00287C85" w:rsidRDefault="00287C85">
      <w:pPr>
        <w:pStyle w:val="Frslagsrubrik"/>
      </w:pPr>
      <w:r w:rsidRPr="00287C85">
        <w:t>Förslag till riksdagsbeslut</w:t>
      </w:r>
    </w:p>
    <w:p w:rsidR="00287C85" w:rsidRPr="00287C85" w:rsidRDefault="00287C85">
      <w:pPr>
        <w:pStyle w:val="Hemstlatt"/>
        <w:numPr>
          <w:ilvl w:val="0"/>
          <w:numId w:val="1"/>
        </w:numPr>
      </w:pPr>
      <w:r w:rsidRPr="00287C85">
        <w:t>Riksdagen tillkännager för regeringen som sin mening vad som anförs i motionen om att se över lagstiftningen om socialförsäkring för dem som arbetar i både Danmark och Sver</w:t>
      </w:r>
      <w:r w:rsidRPr="00287C85">
        <w:t>i</w:t>
      </w:r>
      <w:r w:rsidRPr="00287C85">
        <w:t>ge.</w:t>
      </w:r>
    </w:p>
    <w:p w:rsidR="00287C85" w:rsidRPr="00287C85" w:rsidRDefault="00287C85">
      <w:pPr>
        <w:pStyle w:val="Hemstlatt"/>
        <w:numPr>
          <w:ilvl w:val="0"/>
          <w:numId w:val="1"/>
        </w:numPr>
      </w:pPr>
      <w:r w:rsidRPr="00287C85">
        <w:t>Riksdagen tillkännager för regeringen som sin mening vad som anförs i motionen om att se över lagstiftningen om arbetslöshet</w:t>
      </w:r>
      <w:r w:rsidRPr="00287C85">
        <w:t>s</w:t>
      </w:r>
      <w:r w:rsidRPr="00287C85">
        <w:t>försäkring för dem som arbetar i både Danmark och Sver</w:t>
      </w:r>
      <w:r w:rsidRPr="00287C85">
        <w:t>i</w:t>
      </w:r>
      <w:r w:rsidRPr="00287C85">
        <w:t>ge.</w:t>
      </w:r>
      <w:r w:rsidRPr="00287C85">
        <w:rPr>
          <w:rStyle w:val="Fotnotsreferens"/>
        </w:rPr>
        <w:t>1</w:t>
      </w:r>
    </w:p>
    <w:p w:rsidR="00287C85" w:rsidRPr="00287C85" w:rsidRDefault="00287C85"/>
    <w:p w:rsidR="00287C85" w:rsidRPr="00287C85" w:rsidRDefault="00287C85"/>
    <w:p w:rsidR="00287C85" w:rsidRPr="00287C85" w:rsidRDefault="00287C85"/>
    <w:p w:rsidR="00287C85" w:rsidRPr="00287C85" w:rsidRDefault="00287C85"/>
    <w:p w:rsidR="00287C85" w:rsidRPr="00287C85" w:rsidRDefault="00287C85"/>
    <w:p w:rsidR="00287C85" w:rsidRPr="00287C85" w:rsidRDefault="00287C85"/>
    <w:p w:rsidR="00287C85" w:rsidRPr="00287C85" w:rsidRDefault="00287C85">
      <w:pPr>
        <w:pStyle w:val="Normaltindrag"/>
      </w:pPr>
    </w:p>
    <w:p w:rsidR="00287C85" w:rsidRPr="00287C85" w:rsidRDefault="00287C85"/>
    <w:p w:rsidR="00287C85" w:rsidRPr="00287C85" w:rsidRDefault="00287C85"/>
    <w:p w:rsidR="00287C85" w:rsidRPr="00287C85" w:rsidRDefault="00287C85"/>
    <w:p w:rsidR="00287C85" w:rsidRPr="00287C85" w:rsidRDefault="00287C85"/>
    <w:p w:rsidR="00287C85" w:rsidRPr="00287C85" w:rsidRDefault="00287C85"/>
    <w:p w:rsidR="00287C85" w:rsidRPr="00287C85" w:rsidRDefault="00287C85"/>
    <w:p w:rsidR="00287C85" w:rsidRPr="00287C85" w:rsidRDefault="00287C85"/>
    <w:p w:rsidR="00287C85" w:rsidRPr="00287C85" w:rsidRDefault="00287C85">
      <w:r w:rsidRPr="00287C85">
        <w:rPr>
          <w:rStyle w:val="Fotnotsreferens"/>
        </w:rPr>
        <w:t>1</w:t>
      </w:r>
      <w:r w:rsidRPr="00287C85">
        <w:t xml:space="preserve"> Yrkande 2 hänvisat till AU.</w:t>
      </w:r>
    </w:p>
    <w:p w:rsidR="00287C85" w:rsidRPr="00287C85" w:rsidRDefault="00287C85">
      <w:pPr>
        <w:pStyle w:val="Rubrik1"/>
        <w:pageBreakBefore/>
        <w:spacing w:before="0"/>
      </w:pPr>
      <w:r w:rsidRPr="00287C85">
        <w:lastRenderedPageBreak/>
        <w:t>Motivering</w:t>
      </w:r>
    </w:p>
    <w:p w:rsidR="00287C85" w:rsidRPr="00287C85" w:rsidRDefault="00287C85">
      <w:r w:rsidRPr="00287C85">
        <w:t>Öresundsregionen har en mycket stor potential som tillväxtsregion för både Sverige och Danmark. Möjligheten att utnyttja potentialen är dock starkt avhängig av hur man hanterar de hinder som fortfarande begränsar interakti</w:t>
      </w:r>
      <w:r w:rsidRPr="00287C85">
        <w:t>o</w:t>
      </w:r>
      <w:r w:rsidRPr="00287C85">
        <w:t>nen över landgränserna i fråga om pendling, rekrytering och migration över Öresund.</w:t>
      </w:r>
    </w:p>
    <w:p w:rsidR="00287C85" w:rsidRPr="00287C85" w:rsidRDefault="00287C85">
      <w:pPr>
        <w:pStyle w:val="Normaltindrag"/>
      </w:pPr>
      <w:r w:rsidRPr="00287C85">
        <w:t>Det är av stor vikt att de båda länderna blir kompatibla när det gäller lagar och system så att människor kan förflytta sig över nationsgränserna utan att drabbas av oönskade konsekvenser. Inte minst kräver detta reformer rörande arbetslöshets- och socialförsäkringarna – områden som berör såväl EG-rätten som nationell lagstiftning.</w:t>
      </w:r>
    </w:p>
    <w:p w:rsidR="00287C85" w:rsidRPr="00287C85" w:rsidRDefault="00287C85">
      <w:pPr>
        <w:pStyle w:val="Normaltindrag"/>
      </w:pPr>
      <w:r w:rsidRPr="00287C85">
        <w:t>I Öresundsregionen pendlar ca 19 000 arbetare dagligen från Sverige till Danmark. I nuläget är majoriteten av dessa heltidsanställda, vilket till viss del beror på att i grupper där heltidsanställningar inte är lika vanliga finns det bestämmelser som direkt försvårar möjligheten att samtidigt arbeta på båda sidorna om Sundet.</w:t>
      </w:r>
    </w:p>
    <w:p w:rsidR="00287C85" w:rsidRPr="00287C85" w:rsidRDefault="00287C85">
      <w:pPr>
        <w:pStyle w:val="Rubrik2"/>
        <w:spacing w:before="480" w:after="0"/>
      </w:pPr>
      <w:r w:rsidRPr="00287C85">
        <w:t>Socialförsäkringsproblematiken</w:t>
      </w:r>
    </w:p>
    <w:p w:rsidR="00287C85" w:rsidRPr="00287C85" w:rsidRDefault="00287C85">
      <w:r w:rsidRPr="00287C85">
        <w:t>Ett av de största problemen i Öresundsregionen är förknippat med socialfö</w:t>
      </w:r>
      <w:r w:rsidRPr="00287C85">
        <w:t>r</w:t>
      </w:r>
      <w:r w:rsidRPr="00287C85">
        <w:t>säkringen. EU:s förordning 1408/71 handlar om att arbetstagare ska vara socialförsäkrade i det land där de arbetar. Vid arbete i mer än ett land är pe</w:t>
      </w:r>
      <w:r w:rsidRPr="00287C85">
        <w:t>r</w:t>
      </w:r>
      <w:r w:rsidRPr="00287C85">
        <w:t>sonen enligt huvudregeln socialförsäkrad i boendelandet.</w:t>
      </w:r>
    </w:p>
    <w:p w:rsidR="00287C85" w:rsidRPr="00287C85" w:rsidRDefault="00287C85">
      <w:pPr>
        <w:pStyle w:val="Normaltindrag"/>
      </w:pPr>
      <w:r w:rsidRPr="00287C85">
        <w:t>För den som arbetar på båda sidorna av Sundet innebär detta i nuläget att den danska arbetsgivaren får betala de betydligt högre svenska arbetsavgifte</w:t>
      </w:r>
      <w:r w:rsidRPr="00287C85">
        <w:t>r</w:t>
      </w:r>
      <w:r w:rsidRPr="00287C85">
        <w:t>na, om den anställde bor i Sverige och har parallella anställningar hos en svensk och en dansk arbetsgivare. Särskilt drabbade är anställda inom ha</w:t>
      </w:r>
      <w:r w:rsidRPr="00287C85">
        <w:t>n</w:t>
      </w:r>
      <w:r w:rsidRPr="00287C85">
        <w:t>dels-, kultur- och restaurangbranscherna eftersom de ofta är beroende av olika former av flexibla, parallella korttidsarbeten.</w:t>
      </w:r>
    </w:p>
    <w:p w:rsidR="00287C85" w:rsidRPr="00287C85" w:rsidRDefault="00287C85">
      <w:pPr>
        <w:pStyle w:val="Normaltindrag"/>
      </w:pPr>
      <w:r w:rsidRPr="00287C85">
        <w:t xml:space="preserve">Förutom reducerad flexibilitet på arbetsmarknaden har följden blivit att danska arbetsgivare nu lägger in klausuler i anställningskontrakten eller på andra sätt informerar om att de anställda inte får ta ett extraarbete i Sverige under </w:t>
      </w:r>
      <w:r w:rsidRPr="00287C85">
        <w:t>tiden de arbetar i Danmark. Flexibla jobb är en viktig resurs både för arbetsgivaren och för arbetstagaren, men att ta flera deltidsarbeten vid samma tillfälle oberoende av plats är i dagsläget en principiell omöjlighet i Öresund</w:t>
      </w:r>
      <w:r w:rsidRPr="00287C85">
        <w:t>s</w:t>
      </w:r>
      <w:r w:rsidRPr="00287C85">
        <w:t>regionen.</w:t>
      </w:r>
    </w:p>
    <w:p w:rsidR="00287C85" w:rsidRPr="00287C85" w:rsidRDefault="00287C85">
      <w:pPr>
        <w:pStyle w:val="Normaltindrag"/>
      </w:pPr>
      <w:r w:rsidRPr="00287C85">
        <w:t>Inom EU pågår arbetet med att anta en implementeringsförordning till den nya EG-förordningen 883/04 om social trygghet. Enligt den nya förordningen kommer frågan om arbete i två länder samtidigt troligen att lösas så att man betalar sociala avgifter i det land där man arb</w:t>
      </w:r>
      <w:r w:rsidRPr="00287C85">
        <w:t>etar mest. Detta liknar dispen</w:t>
      </w:r>
      <w:r w:rsidRPr="00287C85">
        <w:t>s</w:t>
      </w:r>
      <w:r w:rsidRPr="00287C85">
        <w:t>överenskommelsen mellan Danmark och Sverige från 2002 som innebär att personen får tillhöra lagstiftningen i det land där arbetsgivaren har sitt säte om arbetet utförs där till minst 50 procent under en sammanhängande period av tre månader.</w:t>
      </w:r>
    </w:p>
    <w:p w:rsidR="00287C85" w:rsidRPr="00287C85" w:rsidRDefault="00287C85">
      <w:pPr>
        <w:pStyle w:val="Normaltindrag"/>
      </w:pPr>
      <w:r w:rsidRPr="00287C85">
        <w:t>I avvaktan på att vi får en ny samordningsförordning borde det finnas mö</w:t>
      </w:r>
      <w:r w:rsidRPr="00287C85">
        <w:t>j</w:t>
      </w:r>
      <w:r w:rsidRPr="00287C85">
        <w:t>lighet att utöka denna dispensöverenskommelse till att gälla även andra gru</w:t>
      </w:r>
      <w:r w:rsidRPr="00287C85">
        <w:t>p</w:t>
      </w:r>
      <w:r w:rsidRPr="00287C85">
        <w:t>per än de som arbetar för samma arbetsgivare.</w:t>
      </w:r>
    </w:p>
    <w:p w:rsidR="00287C85" w:rsidRPr="00287C85" w:rsidRDefault="00287C85">
      <w:pPr>
        <w:pStyle w:val="Rubrik2"/>
        <w:spacing w:before="480" w:after="0"/>
      </w:pPr>
      <w:r w:rsidRPr="00287C85">
        <w:t>A-kassa vid flexibla arbetsformer</w:t>
      </w:r>
    </w:p>
    <w:p w:rsidR="00287C85" w:rsidRPr="00287C85" w:rsidRDefault="00287C85">
      <w:r w:rsidRPr="00287C85">
        <w:t>En person som bor i Sverige och börjar arbeta i Danmark omfattas inte längre av den svenska arbetslöshetsförsäkringen. Detta innebär att personen ifråga inte längre ska vara medlem i svensk arbetslöshetskassa utan istället ska söka medlemskap i en dansk arbetslöshetskassa. För personer som är bosatta i Sverige, men som har flera korta anställningar i Danmark, skapar detta pr</w:t>
      </w:r>
      <w:r w:rsidRPr="00287C85">
        <w:t>o</w:t>
      </w:r>
      <w:r w:rsidRPr="00287C85">
        <w:t>blem. Dessa personer ska följaktligen vara medlem i dansk arbetslöshetskassa de dagar de arbetar i Danmark och i svensk arbetslöshetskassa perioderna däremellan, det vill säga under arbetslöshetstiden. Detta innebär i vissa fall att en person behöver byta försäkringsland flera gånger under en månad.</w:t>
      </w:r>
    </w:p>
    <w:p w:rsidR="00287C85" w:rsidRPr="00287C85" w:rsidRDefault="00287C85">
      <w:pPr>
        <w:pStyle w:val="Normaltindrag"/>
      </w:pPr>
      <w:r w:rsidRPr="00287C85">
        <w:t>Problemet beskrivs ingående i IAF:s (Inspektionen för arbetslöshetsförsä</w:t>
      </w:r>
      <w:r w:rsidRPr="00287C85">
        <w:t>k</w:t>
      </w:r>
      <w:r w:rsidRPr="00287C85">
        <w:t>ringen) utredning Gränsarbetare i Norden som offentliggjordes i slutet av augusti 2008.</w:t>
      </w:r>
    </w:p>
    <w:p w:rsidR="00287C85" w:rsidRPr="00287C85" w:rsidRDefault="00287C85">
      <w:pPr>
        <w:pStyle w:val="Normaltindrag"/>
      </w:pPr>
      <w:r w:rsidRPr="00287C85">
        <w:t>Nu är det angeläget att vi skapar en hållbar lösning för personer som bor i Sverige, men som tar korta anställningar i Danmark, när det gäller arbetslö</w:t>
      </w:r>
      <w:r w:rsidRPr="00287C85">
        <w:t>s</w:t>
      </w:r>
      <w:r w:rsidRPr="00287C85">
        <w:t>hetsförsäkringen.</w:t>
      </w:r>
    </w:p>
    <w:p w:rsidR="00287C85" w:rsidRPr="00287C85" w:rsidRDefault="00287C85">
      <w:pPr>
        <w:pStyle w:val="Normaltindrag"/>
      </w:pPr>
      <w:r w:rsidRPr="00287C85">
        <w:t>I Danmark har arbetslöshetskassorna löst motsvarande problem genom att personer som är medlemmar i en dansk arbetslöshetskassa och bor i Danmark, tillåts vara kvar som medlem vid ett tillfälligt arbete i annat land. I efterhand återbetalar a-kassan medlemsavgiften för de dagar då personen ifråga inte omfattades av den danska arbetslöshetsförsäkringen. På detta sätt säkerställs att ingen är dubbelförsäkrad i EG-rättens bemärkelse. I den svenska arbet</w:t>
      </w:r>
      <w:r w:rsidRPr="00287C85">
        <w:t>s</w:t>
      </w:r>
      <w:r w:rsidRPr="00287C85">
        <w:t>löshetsförsäkringen finns det ingen motsvarighet till den danska lösningen, men då man i Danmark redan utvecklat denna modell borde det vara lätt att ta efter den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C85">
        <w:trPr>
          <w:cantSplit/>
        </w:trPr>
        <w:tc>
          <w:tcPr>
            <w:tcW w:w="3046" w:type="dxa"/>
          </w:tcPr>
          <w:p w:rsidR="00287C85" w:rsidRPr="00287C85" w:rsidRDefault="00287C85">
            <w:pPr>
              <w:pStyle w:val="UnderskriftDatum"/>
              <w:spacing w:before="240"/>
            </w:pPr>
            <w:r w:rsidRPr="00287C85">
              <w:t>Stockholm den 25 oktober 2010</w:t>
            </w:r>
          </w:p>
        </w:tc>
        <w:tc>
          <w:tcPr>
            <w:tcW w:w="3047" w:type="dxa"/>
          </w:tcPr>
          <w:p w:rsidR="00287C85" w:rsidRPr="00287C85" w:rsidRDefault="00287C85">
            <w:pPr>
              <w:pStyle w:val="Underskrifter"/>
              <w:spacing w:before="240"/>
            </w:pPr>
          </w:p>
        </w:tc>
      </w:tr>
      <w:tr w:rsidR="00000000" w:rsidRPr="00287C85">
        <w:trPr>
          <w:cantSplit/>
        </w:trPr>
        <w:tc>
          <w:tcPr>
            <w:tcW w:w="3046" w:type="dxa"/>
          </w:tcPr>
          <w:p w:rsidR="00287C85" w:rsidRPr="00287C85" w:rsidRDefault="00287C85">
            <w:pPr>
              <w:pStyle w:val="Underskrifter"/>
            </w:pPr>
            <w:r w:rsidRPr="00287C85">
              <w:t>Otto von Arnold (KD)</w:t>
            </w:r>
          </w:p>
        </w:tc>
        <w:tc>
          <w:tcPr>
            <w:tcW w:w="3046" w:type="dxa"/>
          </w:tcPr>
          <w:p w:rsidR="00287C85" w:rsidRPr="00287C85" w:rsidRDefault="00287C85">
            <w:pPr>
              <w:pStyle w:val="Underskrifter"/>
            </w:pPr>
          </w:p>
        </w:tc>
      </w:tr>
    </w:tbl>
    <w:p w:rsidR="00287C85" w:rsidRPr="00287C85" w:rsidRDefault="00287C85">
      <w:pPr>
        <w:pStyle w:val="Normaltindrag"/>
      </w:pPr>
    </w:p>
    <w:sectPr w:rsidR="00000000" w:rsidRPr="00287C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C85" w:rsidRPr="00287C85" w:rsidRDefault="00287C85">
      <w:r w:rsidRPr="00287C85">
        <w:separator/>
      </w:r>
    </w:p>
  </w:endnote>
  <w:endnote w:type="continuationSeparator" w:id="0">
    <w:p w:rsidR="00287C85" w:rsidRPr="00287C85" w:rsidRDefault="00287C85">
      <w:r w:rsidRPr="00287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fot"/>
    </w:pPr>
    <w:r w:rsidRPr="00287C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949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C85" w:rsidRDefault="00287C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fot"/>
    </w:pPr>
    <w:r w:rsidRPr="00287C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788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C85" w:rsidRDefault="00287C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fot"/>
    </w:pPr>
    <w:r w:rsidRPr="00287C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021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C85" w:rsidRDefault="00287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C85" w:rsidRPr="00287C85" w:rsidRDefault="00287C85">
      <w:r w:rsidRPr="00287C85">
        <w:separator/>
      </w:r>
    </w:p>
  </w:footnote>
  <w:footnote w:type="continuationSeparator" w:id="0">
    <w:p w:rsidR="00287C85" w:rsidRPr="00287C85" w:rsidRDefault="00287C85">
      <w:r w:rsidRPr="00287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huvud"/>
    </w:pPr>
    <w:r w:rsidRPr="00287C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41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C85" w:rsidRDefault="00287C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huvud"/>
    </w:pPr>
    <w:r w:rsidRPr="00287C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275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C85" w:rsidRDefault="00287C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FSHNormal"/>
      <w:tabs>
        <w:tab w:val="right" w:pos="5840"/>
      </w:tabs>
    </w:pPr>
    <w:r w:rsidRPr="00287C85">
      <w:br/>
    </w:r>
    <w:r w:rsidRPr="00287C85">
      <w:fldChar w:fldCharType="begin" w:fldLock="1"/>
    </w:r>
    <w:r w:rsidRPr="00287C85">
      <w:instrText xml:space="preserve"> DOCPROPERTY</w:instrText>
    </w:r>
    <w:r w:rsidRPr="00287C85">
      <w:rPr>
        <w:sz w:val="18"/>
      </w:rPr>
      <w:instrText xml:space="preserve"> "YearUser" *\charformat </w:instrText>
    </w:r>
    <w:r w:rsidRPr="00287C85">
      <w:fldChar w:fldCharType="separate"/>
    </w:r>
    <w:r w:rsidRPr="00287C85">
      <w:t>2010/11</w:t>
    </w:r>
    <w:r w:rsidRPr="00287C85">
      <w:fldChar w:fldCharType="end"/>
    </w:r>
    <w:r w:rsidRPr="00287C85">
      <w:t xml:space="preserve"> </w:t>
    </w:r>
    <w:r w:rsidRPr="00287C85">
      <w:tab/>
      <w:t xml:space="preserve">mnr: </w:t>
    </w:r>
    <w:r w:rsidRPr="00287C85">
      <w:fldChar w:fldCharType="begin" w:fldLock="1"/>
    </w:r>
    <w:r w:rsidRPr="00287C85">
      <w:instrText xml:space="preserve"> DOCPROPERTY</w:instrText>
    </w:r>
    <w:r w:rsidRPr="00287C85">
      <w:rPr>
        <w:sz w:val="18"/>
      </w:rPr>
      <w:instrText xml:space="preserve"> "Motionsnummer" *\charformat </w:instrText>
    </w:r>
    <w:r w:rsidRPr="00287C85">
      <w:fldChar w:fldCharType="separate"/>
    </w:r>
    <w:r w:rsidRPr="00287C85">
      <w:t>Sf310</w:t>
    </w:r>
    <w:r w:rsidRPr="00287C85">
      <w:fldChar w:fldCharType="end"/>
    </w:r>
    <w:r w:rsidRPr="00287C85">
      <w:br/>
    </w:r>
    <w:r w:rsidRPr="00287C85">
      <w:fldChar w:fldCharType="begin" w:fldLock="1"/>
    </w:r>
    <w:r w:rsidRPr="00287C85">
      <w:instrText xml:space="preserve"> DOCPROPERTY</w:instrText>
    </w:r>
    <w:r w:rsidRPr="00287C85">
      <w:rPr>
        <w:sz w:val="18"/>
      </w:rPr>
      <w:instrText xml:space="preserve"> "Samling" *\charformat </w:instrText>
    </w:r>
    <w:r w:rsidRPr="00287C85">
      <w:fldChar w:fldCharType="end"/>
    </w:r>
    <w:r w:rsidRPr="00287C85">
      <w:tab/>
      <w:t xml:space="preserve">pnr: </w:t>
    </w:r>
    <w:r w:rsidRPr="00287C85">
      <w:fldChar w:fldCharType="begin" w:fldLock="1"/>
    </w:r>
    <w:r w:rsidRPr="00287C85">
      <w:instrText xml:space="preserve"> DOCPROPERTY</w:instrText>
    </w:r>
    <w:r w:rsidRPr="00287C85">
      <w:rPr>
        <w:sz w:val="18"/>
      </w:rPr>
      <w:instrText xml:space="preserve"> "Partinummer" *\charformat </w:instrText>
    </w:r>
    <w:r w:rsidRPr="00287C85">
      <w:fldChar w:fldCharType="separate"/>
    </w:r>
    <w:r w:rsidRPr="00287C85">
      <w:t>KD666</w:t>
    </w:r>
    <w:r w:rsidRPr="00287C85">
      <w:fldChar w:fldCharType="end"/>
    </w:r>
  </w:p>
  <w:p w:rsidR="00287C85" w:rsidRPr="00287C85" w:rsidRDefault="00287C85">
    <w:pPr>
      <w:pStyle w:val="FSHRub1"/>
    </w:pPr>
    <w:r w:rsidRPr="00287C85">
      <w:t>Motion till riksdagen</w:t>
    </w:r>
    <w:r w:rsidRPr="00287C85">
      <w:br/>
    </w:r>
    <w:r w:rsidRPr="00287C85">
      <w:fldChar w:fldCharType="begin" w:fldLock="1"/>
    </w:r>
    <w:r w:rsidRPr="00287C85">
      <w:instrText xml:space="preserve"> DOCPROPERTY "YearUser" *\charformat </w:instrText>
    </w:r>
    <w:r w:rsidRPr="00287C85">
      <w:fldChar w:fldCharType="separate"/>
    </w:r>
    <w:r w:rsidRPr="00287C85">
      <w:t>2010/11</w:t>
    </w:r>
    <w:r w:rsidRPr="00287C85">
      <w:fldChar w:fldCharType="end"/>
    </w:r>
    <w:r w:rsidRPr="00287C85">
      <w:t>:</w:t>
    </w:r>
    <w:r w:rsidRPr="00287C85">
      <w:fldChar w:fldCharType="begin" w:fldLock="1"/>
    </w:r>
    <w:r w:rsidRPr="00287C85">
      <w:instrText xml:space="preserve"> DOCPROPERTY "Motionsnummer" *\charformat </w:instrText>
    </w:r>
    <w:r w:rsidRPr="00287C85">
      <w:fldChar w:fldCharType="separate"/>
    </w:r>
    <w:r w:rsidRPr="00287C85">
      <w:t>Sf310</w:t>
    </w:r>
    <w:r w:rsidRPr="00287C85">
      <w:fldChar w:fldCharType="end"/>
    </w:r>
  </w:p>
  <w:p w:rsidR="00287C85" w:rsidRPr="00287C85" w:rsidRDefault="00287C85">
    <w:pPr>
      <w:pStyle w:val="FSHNormalS5"/>
    </w:pPr>
    <w:r w:rsidRPr="00287C85">
      <w:fldChar w:fldCharType="begin" w:fldLock="1"/>
    </w:r>
    <w:r w:rsidRPr="00287C85">
      <w:instrText xml:space="preserve"> DOCPROPERTY "MotionarText" *\charformat </w:instrText>
    </w:r>
    <w:r w:rsidRPr="00287C85">
      <w:fldChar w:fldCharType="separate"/>
    </w:r>
    <w:r w:rsidRPr="00287C85">
      <w:t>av Otto von Arnold (KD)</w:t>
    </w:r>
    <w:r w:rsidRPr="00287C85">
      <w:fldChar w:fldCharType="end"/>
    </w:r>
    <w:r w:rsidRPr="00287C85">
      <w:br/>
    </w:r>
    <w:r w:rsidRPr="00287C85">
      <w:fldChar w:fldCharType="begin" w:fldLock="1"/>
    </w:r>
    <w:r w:rsidRPr="00287C85">
      <w:instrText xml:space="preserve"> DOCPROPERTY "SvarFrasKort" *\charformat </w:instrText>
    </w:r>
    <w:r w:rsidRPr="00287C85">
      <w:fldChar w:fldCharType="end"/>
    </w:r>
  </w:p>
  <w:p w:rsidR="00287C85" w:rsidRPr="00287C85" w:rsidRDefault="00287C85">
    <w:pPr>
      <w:pStyle w:val="FSHTitel"/>
    </w:pPr>
    <w:r w:rsidRPr="00287C85">
      <w:fldChar w:fldCharType="begin" w:fldLock="1"/>
    </w:r>
    <w:r w:rsidRPr="00287C85">
      <w:instrText xml:space="preserve"> DOCPROPERTY</w:instrText>
    </w:r>
    <w:r w:rsidRPr="00287C85">
      <w:rPr>
        <w:sz w:val="18"/>
      </w:rPr>
      <w:instrText xml:space="preserve"> "RubrikSvar" *\charformat </w:instrText>
    </w:r>
    <w:r w:rsidRPr="00287C85">
      <w:fldChar w:fldCharType="separate"/>
    </w:r>
    <w:r w:rsidRPr="00287C85">
      <w:t>Arbetsmarknadsintegration över Sundet</w:t>
    </w:r>
    <w:r w:rsidRPr="00287C85">
      <w:fldChar w:fldCharType="end"/>
    </w:r>
  </w:p>
  <w:p w:rsidR="00287C85" w:rsidRPr="00287C85" w:rsidRDefault="00287C85">
    <w:pPr>
      <w:pStyle w:val="Normal00"/>
    </w:pPr>
  </w:p>
  <w:p w:rsidR="00287C85" w:rsidRPr="00287C85" w:rsidRDefault="00287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D03DC9"/>
    <w:multiLevelType w:val="hybridMultilevel"/>
    <w:tmpl w:val="4BD48820"/>
    <w:lvl w:ilvl="0" w:tplc="6CE408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5630820">
    <w:abstractNumId w:val="3"/>
  </w:num>
  <w:num w:numId="2" w16cid:durableId="2059276734">
    <w:abstractNumId w:val="2"/>
  </w:num>
  <w:num w:numId="3" w16cid:durableId="1568153660">
    <w:abstractNumId w:val="1"/>
  </w:num>
  <w:num w:numId="4" w16cid:durableId="1723945509">
    <w:abstractNumId w:val="0"/>
  </w:num>
  <w:num w:numId="5" w16cid:durableId="687292678">
    <w:abstractNumId w:val="7"/>
  </w:num>
  <w:num w:numId="6" w16cid:durableId="1130048357">
    <w:abstractNumId w:val="6"/>
  </w:num>
  <w:num w:numId="7" w16cid:durableId="2039038851">
    <w:abstractNumId w:val="5"/>
  </w:num>
  <w:num w:numId="8" w16cid:durableId="1028140818">
    <w:abstractNumId w:val="4"/>
  </w:num>
  <w:num w:numId="9" w16cid:durableId="1957827431">
    <w:abstractNumId w:val="8"/>
  </w:num>
  <w:num w:numId="10" w16cid:durableId="358019">
    <w:abstractNumId w:val="9"/>
  </w:num>
  <w:num w:numId="11" w16cid:durableId="1114010716">
    <w:abstractNumId w:val="10"/>
  </w:num>
  <w:num w:numId="12" w16cid:durableId="937175599">
    <w:abstractNumId w:val="13"/>
  </w:num>
  <w:num w:numId="13" w16cid:durableId="351997375">
    <w:abstractNumId w:val="15"/>
  </w:num>
  <w:num w:numId="14" w16cid:durableId="333530112">
    <w:abstractNumId w:val="16"/>
  </w:num>
  <w:num w:numId="15" w16cid:durableId="2058119469">
    <w:abstractNumId w:val="11"/>
  </w:num>
  <w:num w:numId="16" w16cid:durableId="703404224">
    <w:abstractNumId w:val="19"/>
  </w:num>
  <w:num w:numId="17" w16cid:durableId="847330730">
    <w:abstractNumId w:val="17"/>
  </w:num>
  <w:num w:numId="18" w16cid:durableId="1973369182">
    <w:abstractNumId w:val="14"/>
  </w:num>
  <w:num w:numId="19" w16cid:durableId="2057267745">
    <w:abstractNumId w:val="12"/>
  </w:num>
  <w:num w:numId="20" w16cid:durableId="10569761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F38496E9-16DA-4B94-BCE4-4B841E9D6948}"/>
  </w:docVars>
  <w:rsids>
    <w:rsidRoot w:val="007E1A6B"/>
    <w:rsid w:val="00287C85"/>
    <w:rsid w:val="007E1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276800-2F00-4326-84AB-81690572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4348</Characters>
  <Application>Microsoft Office Word</Application>
  <DocSecurity>4</DocSecurity>
  <Lines>96</Lines>
  <Paragraphs>24</Paragraphs>
  <ScaleCrop>false</ScaleCrop>
  <HeadingPairs>
    <vt:vector size="2" baseType="variant">
      <vt:variant>
        <vt:lpstr>Rubrik</vt:lpstr>
      </vt:variant>
      <vt:variant>
        <vt:i4>1</vt:i4>
      </vt:variant>
    </vt:vector>
  </HeadingPairs>
  <TitlesOfParts>
    <vt:vector size="1" baseType="lpstr">
      <vt:lpstr>kd666</vt:lpstr>
    </vt:vector>
  </TitlesOfParts>
  <Company>Riksdagen</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kd666</dc:title>
  <dc:subject>kd666</dc:subject>
  <dc:creator>Riksdagen</dc:creator>
  <cp:keywords>Riksdagen</cp:keywords>
  <dc:description>Versal/gemen i partibeteckning. Gemen i tryck för 0910, versal för 1011 och nyare</dc:description>
  <cp:lastModifiedBy>Lars Brink</cp:lastModifiedBy>
  <cp:revision>2</cp:revision>
  <cp:lastPrinted>2010-12-06T09:36:00Z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Arbetsmarknadsintegration över Sundet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Arbetsmarknadsintegration över Sundet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20102011000001070100000006660069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20102011000001070100000006660069</vt:lpwstr>
  </property>
  <property fmtid="{D5CDD505-2E9C-101B-9397-08002B2CF9AE}" pid="50" name="nummer">
    <vt:lpwstr>310</vt:lpwstr>
  </property>
  <property fmtid="{D5CDD505-2E9C-101B-9397-08002B2CF9AE}" pid="51" name="utskottsbeteckning">
    <vt:lpwstr>Sf</vt:lpwstr>
  </property>
  <property fmtid="{D5CDD505-2E9C-101B-9397-08002B2CF9AE}" pid="52" name="GlobalUID">
    <vt:lpwstr>{F7A995EB-14DA-4BCC-93E1-D6D5DDAF0406}</vt:lpwstr>
  </property>
  <property fmtid="{D5CDD505-2E9C-101B-9397-08002B2CF9AE}" pid="53" name="Överföringar">
    <vt:i4>0</vt:i4>
  </property>
  <property fmtid="{D5CDD505-2E9C-101B-9397-08002B2CF9AE}" pid="54" name="Checksum">
    <vt:lpwstr>*1008761608786*</vt:lpwstr>
  </property>
  <property fmtid="{D5CDD505-2E9C-101B-9397-08002B2CF9AE}" pid="55" name="skuggnummer">
    <vt:lpwstr>1660</vt:lpwstr>
  </property>
  <property fmtid="{D5CDD505-2E9C-101B-9397-08002B2CF9AE}" pid="56" name="urixVersion">
    <vt:lpwstr>4.3.2.0</vt:lpwstr>
  </property>
  <property fmtid="{D5CDD505-2E9C-101B-9397-08002B2CF9AE}" pid="57" name="urixOrigin">
    <vt:lpwstr>101206 10:36:05.115</vt:lpwstr>
  </property>
  <property fmtid="{D5CDD505-2E9C-101B-9397-08002B2CF9AE}" pid="58" name="urixGuid">
    <vt:lpwstr>{111FDB54-A1E1-481E-8DE7-ADA18B1F252C}</vt:lpwstr>
  </property>
</Properties>
</file>