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0C6A96F3" w:rsidR="00F65DF8" w:rsidRPr="0012669A" w:rsidRDefault="00197781" w:rsidP="00F65DF8">
            <w:pPr>
              <w:rPr>
                <w:b/>
              </w:rPr>
            </w:pPr>
            <w:r w:rsidRPr="0012669A">
              <w:rPr>
                <w:b/>
              </w:rPr>
              <w:t>UTSKOTTSSAMMANTRÄDE 20</w:t>
            </w:r>
            <w:r w:rsidR="002C5A9C">
              <w:rPr>
                <w:b/>
              </w:rPr>
              <w:t>2</w:t>
            </w:r>
            <w:r w:rsidR="009F42FA">
              <w:rPr>
                <w:b/>
              </w:rPr>
              <w:t>4</w:t>
            </w:r>
            <w:r w:rsidRPr="0012669A">
              <w:rPr>
                <w:b/>
              </w:rPr>
              <w:t>/</w:t>
            </w:r>
            <w:r w:rsidR="00113C2E" w:rsidRPr="0012669A">
              <w:rPr>
                <w:b/>
              </w:rPr>
              <w:t>2</w:t>
            </w:r>
            <w:r w:rsidR="009F42FA">
              <w:rPr>
                <w:b/>
              </w:rPr>
              <w:t>5</w:t>
            </w:r>
            <w:r w:rsidR="0060686F">
              <w:rPr>
                <w:b/>
              </w:rPr>
              <w:t>:</w:t>
            </w:r>
            <w:r w:rsidR="00B27F79">
              <w:rPr>
                <w:b/>
              </w:rPr>
              <w:t>2</w:t>
            </w:r>
            <w:r w:rsidR="000424DB">
              <w:rPr>
                <w:b/>
              </w:rPr>
              <w:t>6</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2301B2AA" w:rsidR="00F65DF8" w:rsidRPr="0012669A" w:rsidRDefault="00D46F51" w:rsidP="005F596C">
            <w:r w:rsidRPr="0012669A">
              <w:t>20</w:t>
            </w:r>
            <w:r w:rsidR="00F053F8" w:rsidRPr="0012669A">
              <w:t>2</w:t>
            </w:r>
            <w:r w:rsidR="00583C98">
              <w:t>5</w:t>
            </w:r>
            <w:r w:rsidRPr="0012669A">
              <w:t>-</w:t>
            </w:r>
            <w:r w:rsidR="00583C98">
              <w:t>0</w:t>
            </w:r>
            <w:r w:rsidR="005F28AA">
              <w:t>3-</w:t>
            </w:r>
            <w:r w:rsidR="00DE1461">
              <w:t>2</w:t>
            </w:r>
            <w:r w:rsidR="000424DB">
              <w:t>5</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416B185F" w:rsidR="005A0CF3" w:rsidRPr="0012669A" w:rsidRDefault="00D36D3D" w:rsidP="00920FCA">
            <w:r>
              <w:t>1</w:t>
            </w:r>
            <w:r w:rsidR="000424DB">
              <w:t>1</w:t>
            </w:r>
            <w:r w:rsidR="006A30F1">
              <w:t>.</w:t>
            </w:r>
            <w:r w:rsidR="000424DB">
              <w:t>0</w:t>
            </w:r>
            <w:r w:rsidR="00AC75E3">
              <w:t>0</w:t>
            </w:r>
            <w:r w:rsidR="0073639C">
              <w:t>–</w:t>
            </w:r>
            <w:r w:rsidR="00E76184">
              <w:t>11.45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2DD7ED9A" w14:textId="77777777" w:rsidR="00B338B9" w:rsidRDefault="00B338B9"/>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583C98" w:rsidRPr="006C0F9A" w14:paraId="552EECE4" w14:textId="77777777" w:rsidTr="001324AA">
        <w:trPr>
          <w:trHeight w:val="950"/>
        </w:trPr>
        <w:tc>
          <w:tcPr>
            <w:tcW w:w="567" w:type="dxa"/>
          </w:tcPr>
          <w:p w14:paraId="353F0940" w14:textId="22B78D7B" w:rsidR="00583C98" w:rsidRDefault="00583C98" w:rsidP="00DC0D46">
            <w:pPr>
              <w:tabs>
                <w:tab w:val="left" w:pos="1701"/>
              </w:tabs>
              <w:rPr>
                <w:b/>
                <w:snapToGrid w:val="0"/>
              </w:rPr>
            </w:pPr>
            <w:r>
              <w:rPr>
                <w:b/>
                <w:snapToGrid w:val="0"/>
              </w:rPr>
              <w:t>§ 1</w:t>
            </w:r>
          </w:p>
        </w:tc>
        <w:tc>
          <w:tcPr>
            <w:tcW w:w="7162" w:type="dxa"/>
          </w:tcPr>
          <w:p w14:paraId="51859CAA" w14:textId="77777777" w:rsidR="009B631B" w:rsidRPr="006C0F9A" w:rsidRDefault="009B631B" w:rsidP="009B631B">
            <w:pPr>
              <w:widowControl w:val="0"/>
              <w:tabs>
                <w:tab w:val="left" w:pos="1701"/>
              </w:tabs>
              <w:rPr>
                <w:b/>
                <w:bCs/>
              </w:rPr>
            </w:pPr>
            <w:r w:rsidRPr="006C0F9A">
              <w:rPr>
                <w:b/>
                <w:bCs/>
              </w:rPr>
              <w:t>Justering av protokoll</w:t>
            </w:r>
          </w:p>
          <w:p w14:paraId="0DD81362" w14:textId="77777777" w:rsidR="009B631B" w:rsidRPr="006C0F9A" w:rsidRDefault="009B631B" w:rsidP="009B631B">
            <w:pPr>
              <w:widowControl w:val="0"/>
              <w:tabs>
                <w:tab w:val="left" w:pos="1701"/>
              </w:tabs>
              <w:rPr>
                <w:b/>
                <w:bCs/>
              </w:rPr>
            </w:pPr>
          </w:p>
          <w:p w14:paraId="356C401D" w14:textId="7DDFFB5A" w:rsidR="009B631B" w:rsidRPr="006C0F9A" w:rsidRDefault="009B631B" w:rsidP="009B631B">
            <w:pPr>
              <w:widowControl w:val="0"/>
              <w:tabs>
                <w:tab w:val="left" w:pos="1701"/>
              </w:tabs>
            </w:pPr>
            <w:r w:rsidRPr="006C0F9A">
              <w:t xml:space="preserve">Utskottet justerade protokoll </w:t>
            </w:r>
            <w:r>
              <w:t>2024/25:</w:t>
            </w:r>
            <w:r w:rsidR="004A2EE1">
              <w:t>2</w:t>
            </w:r>
            <w:r w:rsidR="000424DB">
              <w:t>5</w:t>
            </w:r>
            <w:r w:rsidRPr="006C0F9A">
              <w:t>.</w:t>
            </w:r>
          </w:p>
          <w:p w14:paraId="4E52AFCB" w14:textId="6F12243A" w:rsidR="00583C98" w:rsidRPr="000D2A40" w:rsidRDefault="00583C98" w:rsidP="000F537F">
            <w:pPr>
              <w:widowControl w:val="0"/>
              <w:tabs>
                <w:tab w:val="left" w:pos="1701"/>
              </w:tabs>
              <w:rPr>
                <w:b/>
                <w:bCs/>
              </w:rPr>
            </w:pPr>
          </w:p>
        </w:tc>
      </w:tr>
      <w:tr w:rsidR="00583C98" w:rsidRPr="006C0F9A" w14:paraId="4F018DDE" w14:textId="77777777" w:rsidTr="001324AA">
        <w:trPr>
          <w:trHeight w:val="950"/>
        </w:trPr>
        <w:tc>
          <w:tcPr>
            <w:tcW w:w="567" w:type="dxa"/>
          </w:tcPr>
          <w:p w14:paraId="0F334A58" w14:textId="479551B2" w:rsidR="00583C98" w:rsidRDefault="00583C98" w:rsidP="00DC0D46">
            <w:pPr>
              <w:tabs>
                <w:tab w:val="left" w:pos="1701"/>
              </w:tabs>
              <w:rPr>
                <w:b/>
                <w:snapToGrid w:val="0"/>
              </w:rPr>
            </w:pPr>
            <w:r>
              <w:rPr>
                <w:b/>
                <w:snapToGrid w:val="0"/>
              </w:rPr>
              <w:t xml:space="preserve">§ </w:t>
            </w:r>
            <w:r w:rsidR="00DE1461">
              <w:rPr>
                <w:b/>
                <w:snapToGrid w:val="0"/>
              </w:rPr>
              <w:t>2</w:t>
            </w:r>
          </w:p>
        </w:tc>
        <w:tc>
          <w:tcPr>
            <w:tcW w:w="7162" w:type="dxa"/>
          </w:tcPr>
          <w:p w14:paraId="4C5945AC" w14:textId="4A6D91E0" w:rsidR="000424DB" w:rsidRPr="000424DB" w:rsidRDefault="000424DB" w:rsidP="000424DB">
            <w:pPr>
              <w:widowControl w:val="0"/>
              <w:tabs>
                <w:tab w:val="left" w:pos="1701"/>
              </w:tabs>
              <w:rPr>
                <w:b/>
                <w:bCs/>
                <w:iCs/>
              </w:rPr>
            </w:pPr>
            <w:r w:rsidRPr="000424DB">
              <w:rPr>
                <w:b/>
                <w:bCs/>
                <w:iCs/>
              </w:rPr>
              <w:t>Effekter av Northvolts konkursbesked</w:t>
            </w:r>
          </w:p>
          <w:p w14:paraId="17D2C51B" w14:textId="04498E6F" w:rsidR="000424DB" w:rsidRPr="000424DB" w:rsidRDefault="000424DB" w:rsidP="000424DB">
            <w:pPr>
              <w:widowControl w:val="0"/>
              <w:tabs>
                <w:tab w:val="left" w:pos="1701"/>
              </w:tabs>
              <w:rPr>
                <w:iCs/>
              </w:rPr>
            </w:pPr>
          </w:p>
          <w:p w14:paraId="2D30100E" w14:textId="77777777" w:rsidR="00DE1461" w:rsidRDefault="000424DB" w:rsidP="000424DB">
            <w:pPr>
              <w:widowControl w:val="0"/>
              <w:tabs>
                <w:tab w:val="left" w:pos="1701"/>
              </w:tabs>
              <w:rPr>
                <w:iCs/>
              </w:rPr>
            </w:pPr>
            <w:r w:rsidRPr="000424DB">
              <w:rPr>
                <w:iCs/>
              </w:rPr>
              <w:t xml:space="preserve">Statssekreterare Sara Modig, </w:t>
            </w:r>
            <w:r>
              <w:rPr>
                <w:iCs/>
              </w:rPr>
              <w:t xml:space="preserve">biträdd av medarbetare från </w:t>
            </w:r>
            <w:r w:rsidRPr="000424DB">
              <w:rPr>
                <w:iCs/>
              </w:rPr>
              <w:t>Klimat- och näringslivsdepartementet</w:t>
            </w:r>
            <w:r>
              <w:rPr>
                <w:iCs/>
              </w:rPr>
              <w:t>, lämnade information och svarade på frågor om effekter av Northvolts konkursbesked.</w:t>
            </w:r>
          </w:p>
          <w:p w14:paraId="3DB7CB5D" w14:textId="77F5D66D" w:rsidR="000424DB" w:rsidRPr="004A2EE1" w:rsidRDefault="000424DB" w:rsidP="000424DB">
            <w:pPr>
              <w:widowControl w:val="0"/>
              <w:tabs>
                <w:tab w:val="left" w:pos="1701"/>
              </w:tabs>
              <w:rPr>
                <w:iCs/>
              </w:rPr>
            </w:pPr>
          </w:p>
        </w:tc>
      </w:tr>
      <w:tr w:rsidR="00DE1461" w:rsidRPr="006C0F9A" w14:paraId="604AD14E" w14:textId="77777777" w:rsidTr="001324AA">
        <w:trPr>
          <w:trHeight w:val="950"/>
        </w:trPr>
        <w:tc>
          <w:tcPr>
            <w:tcW w:w="567" w:type="dxa"/>
          </w:tcPr>
          <w:p w14:paraId="71FCE662" w14:textId="6F49AF26" w:rsidR="00DE1461" w:rsidRDefault="00DE1461" w:rsidP="00DC0D46">
            <w:pPr>
              <w:tabs>
                <w:tab w:val="left" w:pos="1701"/>
              </w:tabs>
              <w:rPr>
                <w:b/>
                <w:snapToGrid w:val="0"/>
              </w:rPr>
            </w:pPr>
            <w:r>
              <w:rPr>
                <w:b/>
                <w:snapToGrid w:val="0"/>
              </w:rPr>
              <w:t xml:space="preserve">§ </w:t>
            </w:r>
            <w:r w:rsidR="000424DB">
              <w:rPr>
                <w:b/>
                <w:snapToGrid w:val="0"/>
              </w:rPr>
              <w:t>3</w:t>
            </w:r>
          </w:p>
        </w:tc>
        <w:tc>
          <w:tcPr>
            <w:tcW w:w="7162" w:type="dxa"/>
          </w:tcPr>
          <w:p w14:paraId="525A6141" w14:textId="6DC5FBD2" w:rsidR="00DE1461" w:rsidRDefault="000424DB" w:rsidP="0050267B">
            <w:pPr>
              <w:widowControl w:val="0"/>
              <w:tabs>
                <w:tab w:val="left" w:pos="1701"/>
              </w:tabs>
              <w:rPr>
                <w:b/>
                <w:bCs/>
                <w:iCs/>
              </w:rPr>
            </w:pPr>
            <w:r w:rsidRPr="000424DB">
              <w:rPr>
                <w:b/>
                <w:bCs/>
                <w:iCs/>
              </w:rPr>
              <w:t>Förslag till direktiv om ändringar av rapporteringskraven kopplat till tillbörlig aktsamhet för företag</w:t>
            </w:r>
          </w:p>
          <w:p w14:paraId="5F5A955B" w14:textId="77777777" w:rsidR="000424DB" w:rsidRPr="00DE1461" w:rsidRDefault="000424DB" w:rsidP="0050267B">
            <w:pPr>
              <w:widowControl w:val="0"/>
              <w:tabs>
                <w:tab w:val="left" w:pos="1701"/>
              </w:tabs>
              <w:rPr>
                <w:b/>
                <w:bCs/>
                <w:iCs/>
              </w:rPr>
            </w:pPr>
          </w:p>
          <w:p w14:paraId="50019EF5" w14:textId="6049DD95" w:rsidR="000424DB" w:rsidRDefault="000424DB" w:rsidP="0050267B">
            <w:pPr>
              <w:widowControl w:val="0"/>
              <w:tabs>
                <w:tab w:val="left" w:pos="1701"/>
              </w:tabs>
              <w:rPr>
                <w:iCs/>
              </w:rPr>
            </w:pPr>
            <w:r w:rsidRPr="000424DB">
              <w:rPr>
                <w:iCs/>
              </w:rPr>
              <w:t xml:space="preserve">Utskottet överlade med </w:t>
            </w:r>
            <w:r>
              <w:rPr>
                <w:iCs/>
              </w:rPr>
              <w:t>s</w:t>
            </w:r>
            <w:r w:rsidRPr="000424DB">
              <w:rPr>
                <w:iCs/>
              </w:rPr>
              <w:t>tatssekreterare Sara Modig, biträdd av medarbetare från Klimat- och näringslivsdepartementet</w:t>
            </w:r>
            <w:r>
              <w:rPr>
                <w:iCs/>
              </w:rPr>
              <w:t>.</w:t>
            </w:r>
          </w:p>
          <w:p w14:paraId="0CC6970A" w14:textId="77777777" w:rsidR="000424DB" w:rsidRPr="000424DB" w:rsidRDefault="000424DB" w:rsidP="0050267B">
            <w:pPr>
              <w:widowControl w:val="0"/>
              <w:tabs>
                <w:tab w:val="left" w:pos="1701"/>
              </w:tabs>
              <w:rPr>
                <w:iCs/>
              </w:rPr>
            </w:pPr>
          </w:p>
          <w:p w14:paraId="4BE7D7D5" w14:textId="77777777" w:rsidR="000424DB" w:rsidRDefault="000424DB" w:rsidP="0050267B">
            <w:pPr>
              <w:widowControl w:val="0"/>
              <w:tabs>
                <w:tab w:val="left" w:pos="1701"/>
              </w:tabs>
              <w:rPr>
                <w:iCs/>
              </w:rPr>
            </w:pPr>
            <w:r>
              <w:rPr>
                <w:iCs/>
              </w:rPr>
              <w:t>S</w:t>
            </w:r>
            <w:r w:rsidRPr="000424DB">
              <w:rPr>
                <w:iCs/>
              </w:rPr>
              <w:t>tatssekreterare Sara Modig</w:t>
            </w:r>
            <w:r>
              <w:rPr>
                <w:iCs/>
              </w:rPr>
              <w:t xml:space="preserve"> </w:t>
            </w:r>
            <w:r w:rsidRPr="000424DB">
              <w:rPr>
                <w:iCs/>
              </w:rPr>
              <w:t xml:space="preserve">redogjorde för regeringens ståndpunkt i </w:t>
            </w:r>
          </w:p>
          <w:p w14:paraId="52A65E03" w14:textId="6F967146" w:rsidR="000424DB" w:rsidRDefault="000424DB" w:rsidP="0050267B">
            <w:pPr>
              <w:widowControl w:val="0"/>
              <w:tabs>
                <w:tab w:val="left" w:pos="1701"/>
              </w:tabs>
              <w:rPr>
                <w:iCs/>
              </w:rPr>
            </w:pPr>
            <w:r w:rsidRPr="000424DB">
              <w:rPr>
                <w:iCs/>
              </w:rPr>
              <w:t xml:space="preserve">enlighet med </w:t>
            </w:r>
            <w:r>
              <w:rPr>
                <w:iCs/>
              </w:rPr>
              <w:t>överläggningspromemorian</w:t>
            </w:r>
            <w:r w:rsidRPr="000424DB">
              <w:rPr>
                <w:iCs/>
              </w:rPr>
              <w:t>:</w:t>
            </w:r>
            <w:r>
              <w:rPr>
                <w:iCs/>
              </w:rPr>
              <w:t xml:space="preserve"> </w:t>
            </w:r>
            <w:r w:rsidRPr="000424DB">
              <w:rPr>
                <w:iCs/>
              </w:rPr>
              <w:t>(dnr. NU-1.8.4-</w:t>
            </w:r>
            <w:r>
              <w:rPr>
                <w:iCs/>
              </w:rPr>
              <w:t>1364</w:t>
            </w:r>
            <w:r w:rsidRPr="000424DB">
              <w:rPr>
                <w:iCs/>
              </w:rPr>
              <w:t>-2024/25).</w:t>
            </w:r>
          </w:p>
          <w:p w14:paraId="3F48B91A" w14:textId="63F1F661" w:rsidR="000424DB" w:rsidRDefault="000424DB" w:rsidP="0050267B">
            <w:pPr>
              <w:widowControl w:val="0"/>
              <w:tabs>
                <w:tab w:val="left" w:pos="1701"/>
              </w:tabs>
              <w:rPr>
                <w:iCs/>
              </w:rPr>
            </w:pPr>
          </w:p>
          <w:p w14:paraId="3B31F534" w14:textId="4BCB583D" w:rsidR="000424DB" w:rsidRDefault="000424DB" w:rsidP="0050267B">
            <w:pPr>
              <w:widowControl w:val="0"/>
              <w:tabs>
                <w:tab w:val="left" w:pos="1701"/>
              </w:tabs>
              <w:ind w:left="432"/>
              <w:rPr>
                <w:iCs/>
              </w:rPr>
            </w:pPr>
            <w:r w:rsidRPr="000424DB">
              <w:rPr>
                <w:iCs/>
              </w:rPr>
              <w:t xml:space="preserve">Regeringen välkomnar EU-kommissionens förslag om ändringar i direktivet om tillbörlig aktsamhet för företag i fråga om hållbarhet.  </w:t>
            </w:r>
          </w:p>
          <w:p w14:paraId="5304FB9E" w14:textId="77777777" w:rsidR="000424DB" w:rsidRPr="000424DB" w:rsidRDefault="000424DB" w:rsidP="0050267B">
            <w:pPr>
              <w:widowControl w:val="0"/>
              <w:tabs>
                <w:tab w:val="left" w:pos="1701"/>
              </w:tabs>
              <w:ind w:left="432"/>
              <w:rPr>
                <w:iCs/>
              </w:rPr>
            </w:pPr>
          </w:p>
          <w:p w14:paraId="41576A68" w14:textId="77777777" w:rsidR="000424DB" w:rsidRDefault="000424DB" w:rsidP="0050267B">
            <w:pPr>
              <w:widowControl w:val="0"/>
              <w:tabs>
                <w:tab w:val="left" w:pos="1701"/>
              </w:tabs>
              <w:ind w:left="432"/>
              <w:rPr>
                <w:iCs/>
              </w:rPr>
            </w:pPr>
            <w:r w:rsidRPr="000424DB">
              <w:rPr>
                <w:iCs/>
              </w:rPr>
              <w:t>EU behöver stärka konkurrenskraften för att säkerställa en positiv utveckling för tillväxt, handel och jobb i unionen samt för att klara klimatomställningen. Som utgångspunkt anser regeringen att stärkt produktivitet och goda ramvillkor är förutsättningar för EU:s konkurrenskraft. Regeringen verkar för att fortsatta åtgärder på konkurrenskraftsområdet fokuserar på en fördjupad inre marknad genom bland annat regelförenkling och minskad regelbörda för företag. Svenska och europeiska företag behöver ett ändamålsenligt och enkelt regelverk för att inte hamna efter i konkurrensen med företag utanför EU. En viktig del av arbetet med att stärka företagens konkurrenskraft är att motverka omotiverade regelbördor, öka samstämmigheten mellan olika regelverk samt minska administrativa kostnader och andra fullgörandekostnader för att företagen ska kunna fokusera på sin kärnverksamhet i så stor utsträckning som möjligt.</w:t>
            </w:r>
          </w:p>
          <w:p w14:paraId="60BED573" w14:textId="2D341005" w:rsidR="000424DB" w:rsidRPr="000424DB" w:rsidRDefault="000424DB" w:rsidP="0050267B">
            <w:pPr>
              <w:widowControl w:val="0"/>
              <w:tabs>
                <w:tab w:val="left" w:pos="1701"/>
              </w:tabs>
              <w:ind w:left="432"/>
              <w:rPr>
                <w:iCs/>
              </w:rPr>
            </w:pPr>
            <w:r w:rsidRPr="000424DB">
              <w:rPr>
                <w:iCs/>
              </w:rPr>
              <w:t xml:space="preserve">  </w:t>
            </w:r>
          </w:p>
          <w:p w14:paraId="7143CEB3" w14:textId="215BDD32" w:rsidR="000424DB" w:rsidRDefault="000424DB" w:rsidP="0050267B">
            <w:pPr>
              <w:widowControl w:val="0"/>
              <w:tabs>
                <w:tab w:val="left" w:pos="1701"/>
              </w:tabs>
              <w:ind w:left="432"/>
              <w:rPr>
                <w:iCs/>
              </w:rPr>
            </w:pPr>
            <w:r w:rsidRPr="000424DB">
              <w:rPr>
                <w:iCs/>
              </w:rPr>
              <w:t>Regeringen anser att kommissionens förslag har potential att bidra till att kraven som ställs på företagen blir enklare att tillämpa samt rimligare och mer proportionerliga samtidigt som direktivets syfte, att företagen ska bidra till hållbar utveckling och en hållbarhetsom</w:t>
            </w:r>
            <w:r w:rsidRPr="000424DB">
              <w:rPr>
                <w:iCs/>
              </w:rPr>
              <w:lastRenderedPageBreak/>
              <w:t>ställning i ekonomier och samhällen, tillgodoses. I det fortsatta förhandlingsarbetet kommer regeringen verka för de ändamålen samt för att lagstiftningen blir tydlig, enhetlig och förutsebar. Det är viktigt att gynna den inre marknadens näringslivs- och handelsfrämjande syfte och att så långt som möjligt undvika den fragmentisering som uppstår när krav på företag inte utformas på lika sätt inom EU. Det är också viktigt att bestämmelser utformas på ett sätt som är förenligt med grundläggande svenska civilrättsliga, förvaltningsrättsliga och</w:t>
            </w:r>
            <w:r>
              <w:rPr>
                <w:iCs/>
              </w:rPr>
              <w:t xml:space="preserve"> </w:t>
            </w:r>
            <w:r w:rsidRPr="000424DB">
              <w:rPr>
                <w:iCs/>
              </w:rPr>
              <w:t xml:space="preserve">processrättsliga principer. </w:t>
            </w:r>
          </w:p>
          <w:p w14:paraId="210B2B94" w14:textId="44938A6F" w:rsidR="000424DB" w:rsidRDefault="000424DB" w:rsidP="0050267B">
            <w:pPr>
              <w:widowControl w:val="0"/>
              <w:tabs>
                <w:tab w:val="left" w:pos="1701"/>
              </w:tabs>
              <w:rPr>
                <w:iCs/>
              </w:rPr>
            </w:pPr>
          </w:p>
          <w:p w14:paraId="6B33FB19" w14:textId="77777777" w:rsidR="000424DB" w:rsidRPr="000424DB" w:rsidRDefault="000424DB" w:rsidP="0050267B">
            <w:pPr>
              <w:widowControl w:val="0"/>
              <w:tabs>
                <w:tab w:val="left" w:pos="1701"/>
              </w:tabs>
              <w:rPr>
                <w:iCs/>
              </w:rPr>
            </w:pPr>
            <w:r w:rsidRPr="000424DB">
              <w:rPr>
                <w:iCs/>
              </w:rPr>
              <w:t>Ordföranden konstaterade att det fanns stöd för regeringens ståndpunkt.</w:t>
            </w:r>
          </w:p>
          <w:p w14:paraId="4434D7CE" w14:textId="77777777" w:rsidR="000424DB" w:rsidRPr="000424DB" w:rsidRDefault="000424DB" w:rsidP="0050267B">
            <w:pPr>
              <w:widowControl w:val="0"/>
              <w:tabs>
                <w:tab w:val="left" w:pos="1701"/>
              </w:tabs>
              <w:rPr>
                <w:iCs/>
              </w:rPr>
            </w:pPr>
          </w:p>
          <w:p w14:paraId="6B328A9B" w14:textId="621EAA9E" w:rsidR="000424DB" w:rsidRDefault="004A706E" w:rsidP="0050267B">
            <w:pPr>
              <w:widowControl w:val="0"/>
              <w:tabs>
                <w:tab w:val="left" w:pos="1701"/>
              </w:tabs>
              <w:rPr>
                <w:iCs/>
              </w:rPr>
            </w:pPr>
            <w:r>
              <w:rPr>
                <w:iCs/>
              </w:rPr>
              <w:t>S</w:t>
            </w:r>
            <w:r w:rsidR="000424DB" w:rsidRPr="000424DB">
              <w:rPr>
                <w:iCs/>
              </w:rPr>
              <w:t>-ledam</w:t>
            </w:r>
            <w:r>
              <w:rPr>
                <w:iCs/>
              </w:rPr>
              <w:t>öterna</w:t>
            </w:r>
            <w:r w:rsidR="000424DB" w:rsidRPr="000424DB">
              <w:rPr>
                <w:iCs/>
              </w:rPr>
              <w:t xml:space="preserve"> anmälde följande avvikande ståndpunkt:</w:t>
            </w:r>
          </w:p>
          <w:p w14:paraId="24D2E430" w14:textId="77777777" w:rsidR="0050267B" w:rsidRPr="0050267B" w:rsidRDefault="0050267B" w:rsidP="0050267B">
            <w:pPr>
              <w:widowControl w:val="0"/>
              <w:tabs>
                <w:tab w:val="left" w:pos="1701"/>
              </w:tabs>
              <w:ind w:left="574"/>
              <w:rPr>
                <w:iCs/>
              </w:rPr>
            </w:pPr>
            <w:r w:rsidRPr="0050267B">
              <w:rPr>
                <w:iCs/>
              </w:rPr>
              <w:t>Vi anser att näringslivet spelar en central roll i arbetet för en hållbar utveckling och att svenska företag ligger i framkant i denna omställning. Därför är det av stor vikt att regelverket för tillbörlig aktsamhet säkerställer rättvisa konkurrensvillkor och fortsatt höga ambitioner för hållbart företagande.</w:t>
            </w:r>
          </w:p>
          <w:p w14:paraId="4988CDD1" w14:textId="77777777" w:rsidR="0050267B" w:rsidRPr="0050267B" w:rsidRDefault="0050267B" w:rsidP="0050267B">
            <w:pPr>
              <w:widowControl w:val="0"/>
              <w:tabs>
                <w:tab w:val="left" w:pos="1701"/>
              </w:tabs>
              <w:ind w:left="574"/>
              <w:rPr>
                <w:iCs/>
              </w:rPr>
            </w:pPr>
            <w:r w:rsidRPr="0050267B">
              <w:rPr>
                <w:iCs/>
              </w:rPr>
              <w:t xml:space="preserve"> </w:t>
            </w:r>
          </w:p>
          <w:p w14:paraId="204CB69A" w14:textId="77777777" w:rsidR="0050267B" w:rsidRPr="0050267B" w:rsidRDefault="0050267B" w:rsidP="0050267B">
            <w:pPr>
              <w:widowControl w:val="0"/>
              <w:tabs>
                <w:tab w:val="left" w:pos="1701"/>
              </w:tabs>
              <w:ind w:left="574"/>
              <w:rPr>
                <w:iCs/>
              </w:rPr>
            </w:pPr>
            <w:r w:rsidRPr="0050267B">
              <w:rPr>
                <w:iCs/>
              </w:rPr>
              <w:t>Vi menar att den svenska regeringen måste driva på för att de föreslagna ändringarna inte medför en sänkning av direktivets ursprungliga ambitionsnivå samt att risker för kringgående minimeras. Skyddet för bl.a. miljö, mänskliga rättigheter och arbetstagares rättigheter ska inte urvattnas. Därutöver är det viktigt att förändringarna inte skapar rättsosäkerhet för svenska företag som redan investerat i regelefterlevnad och riskhantering. Svenska företag som ligger i framkant ska inte missgynnas i konkurrensen till följd av sänkta ambitioner.</w:t>
            </w:r>
          </w:p>
          <w:p w14:paraId="3A05E619" w14:textId="77777777" w:rsidR="0050267B" w:rsidRPr="0050267B" w:rsidRDefault="0050267B" w:rsidP="0050267B">
            <w:pPr>
              <w:widowControl w:val="0"/>
              <w:tabs>
                <w:tab w:val="left" w:pos="1701"/>
              </w:tabs>
              <w:ind w:left="574"/>
              <w:rPr>
                <w:iCs/>
              </w:rPr>
            </w:pPr>
            <w:r w:rsidRPr="0050267B">
              <w:rPr>
                <w:iCs/>
              </w:rPr>
              <w:t xml:space="preserve"> </w:t>
            </w:r>
          </w:p>
          <w:p w14:paraId="0F5910BF" w14:textId="77777777" w:rsidR="0050267B" w:rsidRPr="0050267B" w:rsidRDefault="0050267B" w:rsidP="0050267B">
            <w:pPr>
              <w:widowControl w:val="0"/>
              <w:tabs>
                <w:tab w:val="left" w:pos="1701"/>
              </w:tabs>
              <w:ind w:left="574"/>
              <w:rPr>
                <w:iCs/>
              </w:rPr>
            </w:pPr>
            <w:r w:rsidRPr="0050267B">
              <w:rPr>
                <w:iCs/>
              </w:rPr>
              <w:t>Vidare är det av yttersta vikt att små och medelstora företag ges adekvat stöd för att kunna möta ökade krav på tillbörlig aktsamhet. Förändringar i regelverket bör utformas på ett sätt som skapar förutsägbarhet och harmonisering inom EU, samtidigt som onödig administrativ börda undviks.</w:t>
            </w:r>
          </w:p>
          <w:p w14:paraId="66E423AF" w14:textId="77777777" w:rsidR="0050267B" w:rsidRPr="0050267B" w:rsidRDefault="0050267B" w:rsidP="0050267B">
            <w:pPr>
              <w:widowControl w:val="0"/>
              <w:tabs>
                <w:tab w:val="left" w:pos="1701"/>
              </w:tabs>
              <w:ind w:left="574"/>
              <w:rPr>
                <w:iCs/>
              </w:rPr>
            </w:pPr>
            <w:r w:rsidRPr="0050267B">
              <w:rPr>
                <w:iCs/>
              </w:rPr>
              <w:t xml:space="preserve"> </w:t>
            </w:r>
          </w:p>
          <w:p w14:paraId="2D3AA6A5" w14:textId="1D9AA231" w:rsidR="0050267B" w:rsidRDefault="0050267B" w:rsidP="0050267B">
            <w:pPr>
              <w:widowControl w:val="0"/>
              <w:tabs>
                <w:tab w:val="left" w:pos="1701"/>
              </w:tabs>
              <w:ind w:left="574"/>
              <w:rPr>
                <w:iCs/>
              </w:rPr>
            </w:pPr>
            <w:r w:rsidRPr="0050267B">
              <w:rPr>
                <w:iCs/>
              </w:rPr>
              <w:t>Mot bakgrund av detta anser vi att en fördjupad konsekvensanalys bör genomföras för att klarlägga hur de föreslagna ändringarna påverkar svenska företag och svensk konkurrenskraft, särskilt de företag som redan har anpassat sin verksamhet efter gällande krav och investerat i hållbara affärsmodeller.</w:t>
            </w:r>
          </w:p>
          <w:p w14:paraId="33913A99" w14:textId="77777777" w:rsidR="0050267B" w:rsidRDefault="0050267B" w:rsidP="0050267B">
            <w:pPr>
              <w:widowControl w:val="0"/>
              <w:tabs>
                <w:tab w:val="left" w:pos="1701"/>
              </w:tabs>
              <w:rPr>
                <w:iCs/>
              </w:rPr>
            </w:pPr>
          </w:p>
          <w:p w14:paraId="458BF5D2" w14:textId="58E247E0" w:rsidR="004A706E" w:rsidRDefault="004A706E" w:rsidP="0050267B">
            <w:pPr>
              <w:widowControl w:val="0"/>
              <w:tabs>
                <w:tab w:val="left" w:pos="1701"/>
              </w:tabs>
              <w:rPr>
                <w:iCs/>
              </w:rPr>
            </w:pPr>
            <w:r>
              <w:rPr>
                <w:iCs/>
              </w:rPr>
              <w:t>V-ledamoten anmälde följande avvikande ståndpunkt:</w:t>
            </w:r>
          </w:p>
          <w:p w14:paraId="00A5CF1F" w14:textId="77777777" w:rsidR="0050267B" w:rsidRPr="0050267B" w:rsidRDefault="0050267B" w:rsidP="0050267B">
            <w:pPr>
              <w:widowControl w:val="0"/>
              <w:tabs>
                <w:tab w:val="left" w:pos="1701"/>
              </w:tabs>
              <w:ind w:left="574"/>
              <w:rPr>
                <w:iCs/>
              </w:rPr>
            </w:pPr>
            <w:r w:rsidRPr="0050267B">
              <w:rPr>
                <w:iCs/>
              </w:rPr>
              <w:t>Jag motsätter mig regeringens ståndpunkt då jag anser att den i för stor utsträckning fokuserar på regellättnader utan att ta tillräcklig hänsyn till den ursprungliga ambitionen med direktivet om tillbörlig aktsamhet.</w:t>
            </w:r>
          </w:p>
          <w:p w14:paraId="74077DB9" w14:textId="77777777" w:rsidR="0050267B" w:rsidRPr="0050267B" w:rsidRDefault="0050267B" w:rsidP="0050267B">
            <w:pPr>
              <w:widowControl w:val="0"/>
              <w:tabs>
                <w:tab w:val="left" w:pos="1701"/>
              </w:tabs>
              <w:ind w:left="574"/>
              <w:rPr>
                <w:iCs/>
              </w:rPr>
            </w:pPr>
          </w:p>
          <w:p w14:paraId="5E6F1B84" w14:textId="77777777" w:rsidR="0050267B" w:rsidRPr="0050267B" w:rsidRDefault="0050267B" w:rsidP="0050267B">
            <w:pPr>
              <w:widowControl w:val="0"/>
              <w:tabs>
                <w:tab w:val="left" w:pos="1701"/>
              </w:tabs>
              <w:ind w:left="574"/>
              <w:rPr>
                <w:iCs/>
              </w:rPr>
            </w:pPr>
            <w:r w:rsidRPr="0050267B">
              <w:rPr>
                <w:iCs/>
              </w:rPr>
              <w:t xml:space="preserve">Direktivet är centralt för att stärka skyddet för mänskliga rättigheter, arbetsvillkor och miljöhänsyn i globala värdekedjor. Det är även ett viktigt steg för att göra europeiska företag till ansvarstagande aktörer i en global ekonomi. Jag motsätter mig därför förslagen om att kraftigt begränsa omfattningen av aktsamhetsplikterna, skjuta upp tillämpningen och avskaffa eller försvaga flera av de mekanismer som syftar till ansvarsutkrävande, såsom civilrättsligt ansvar. Jag anser att regeringens ståndpunkt bör ändras med syftet </w:t>
            </w:r>
            <w:r w:rsidRPr="0050267B">
              <w:rPr>
                <w:iCs/>
              </w:rPr>
              <w:lastRenderedPageBreak/>
              <w:t>att i högre grad värna om det sociala och miljömässiga innehållet i lagstiftningen, och motverka att ambitionerna inom hållbar utveckling urholkas.</w:t>
            </w:r>
          </w:p>
          <w:p w14:paraId="4960C293" w14:textId="77777777" w:rsidR="0050267B" w:rsidRDefault="0050267B" w:rsidP="0050267B">
            <w:pPr>
              <w:widowControl w:val="0"/>
              <w:tabs>
                <w:tab w:val="left" w:pos="1701"/>
              </w:tabs>
              <w:rPr>
                <w:iCs/>
              </w:rPr>
            </w:pPr>
          </w:p>
          <w:p w14:paraId="2DC7DE2B" w14:textId="77777777" w:rsidR="0050267B" w:rsidRPr="0050267B" w:rsidRDefault="004A706E" w:rsidP="0050267B">
            <w:pPr>
              <w:widowControl w:val="0"/>
              <w:tabs>
                <w:tab w:val="left" w:pos="1701"/>
              </w:tabs>
              <w:ind w:left="574" w:hanging="567"/>
              <w:rPr>
                <w:iCs/>
              </w:rPr>
            </w:pPr>
            <w:r>
              <w:rPr>
                <w:iCs/>
              </w:rPr>
              <w:t>C-ledamoten anmälde följande avvikande ståndpunkt:</w:t>
            </w:r>
            <w:r w:rsidR="0050267B">
              <w:rPr>
                <w:iCs/>
              </w:rPr>
              <w:br/>
            </w:r>
            <w:r w:rsidR="0050267B" w:rsidRPr="0050267B">
              <w:rPr>
                <w:iCs/>
              </w:rPr>
              <w:t>Jag delar regeringens uppfattning att det är angeläget att minska den administrativa bördan för företag och göra EU:s lagstiftning mer proportionerlig. Samtidigt vill jag betona att EU:s konkurrenskraft långsiktigt vilar på företag som tar ansvar för miljö, klimat och mänskliga rättigheter.</w:t>
            </w:r>
          </w:p>
          <w:p w14:paraId="67A2D762" w14:textId="77777777" w:rsidR="0050267B" w:rsidRPr="0050267B" w:rsidRDefault="0050267B" w:rsidP="0050267B">
            <w:pPr>
              <w:widowControl w:val="0"/>
              <w:tabs>
                <w:tab w:val="left" w:pos="1701"/>
              </w:tabs>
              <w:ind w:left="574"/>
              <w:rPr>
                <w:iCs/>
              </w:rPr>
            </w:pPr>
          </w:p>
          <w:p w14:paraId="6D2DBA8B" w14:textId="696C83D9" w:rsidR="0050267B" w:rsidRPr="0050267B" w:rsidRDefault="0050267B" w:rsidP="0050267B">
            <w:pPr>
              <w:widowControl w:val="0"/>
              <w:tabs>
                <w:tab w:val="left" w:pos="1701"/>
              </w:tabs>
              <w:ind w:left="574"/>
              <w:rPr>
                <w:iCs/>
              </w:rPr>
            </w:pPr>
            <w:r w:rsidRPr="0050267B">
              <w:rPr>
                <w:iCs/>
              </w:rPr>
              <w:t>Jag anser att regeringens ståndpunkt bör förtydligas i fråga om vikten av att lagstiftningen om tillbörlig aktsamhet för företag fortsatt håller hög kvalitet och ambitionsnivå. Förenklingsarbetet bör inriktas på att skapa tydlighet, rättssäkerhet och minskad byråkrati, men utan att göra avkall på lagstiftningens syfte. För att EU ska klara av klimatomställningen anser jag att svenska företag, som redan ligger i framkant i den gröna omställningen, inte får missgynnas av de föreslagna regelförenklingar</w:t>
            </w:r>
            <w:r w:rsidR="00C458DF">
              <w:rPr>
                <w:iCs/>
              </w:rPr>
              <w:t>na</w:t>
            </w:r>
            <w:r w:rsidRPr="0050267B">
              <w:rPr>
                <w:iCs/>
              </w:rPr>
              <w:t>.</w:t>
            </w:r>
          </w:p>
          <w:p w14:paraId="0E5A4E93" w14:textId="77777777" w:rsidR="0050267B" w:rsidRPr="0050267B" w:rsidRDefault="0050267B" w:rsidP="0050267B">
            <w:pPr>
              <w:widowControl w:val="0"/>
              <w:tabs>
                <w:tab w:val="left" w:pos="1701"/>
              </w:tabs>
              <w:ind w:left="574"/>
              <w:rPr>
                <w:iCs/>
              </w:rPr>
            </w:pPr>
          </w:p>
          <w:p w14:paraId="39851C6B" w14:textId="77777777" w:rsidR="0050267B" w:rsidRPr="0050267B" w:rsidRDefault="0050267B" w:rsidP="0050267B">
            <w:pPr>
              <w:widowControl w:val="0"/>
              <w:tabs>
                <w:tab w:val="left" w:pos="1701"/>
              </w:tabs>
              <w:ind w:left="574"/>
              <w:rPr>
                <w:iCs/>
              </w:rPr>
            </w:pPr>
            <w:r w:rsidRPr="0050267B">
              <w:rPr>
                <w:iCs/>
              </w:rPr>
              <w:t>Jag anser därför att Sverige bör inta en mer nyanserad ståndpunkt, där förenklingar genomförs på ett sätt som varken undergräver EU:s hållbarhetsmål eller konkurrenskraft på lång sikt, och som inte missgynnar de företag som redan har påbörjat arbetet med den gröna omställningen.</w:t>
            </w:r>
          </w:p>
          <w:p w14:paraId="6EEF86AB" w14:textId="760E44A8" w:rsidR="004A706E" w:rsidRDefault="004A706E" w:rsidP="0050267B">
            <w:pPr>
              <w:widowControl w:val="0"/>
              <w:tabs>
                <w:tab w:val="left" w:pos="1701"/>
              </w:tabs>
              <w:rPr>
                <w:iCs/>
              </w:rPr>
            </w:pPr>
          </w:p>
          <w:p w14:paraId="1C6CC8A9" w14:textId="571BE457" w:rsidR="004A706E" w:rsidRDefault="004A706E" w:rsidP="0050267B">
            <w:pPr>
              <w:widowControl w:val="0"/>
              <w:tabs>
                <w:tab w:val="left" w:pos="1701"/>
              </w:tabs>
              <w:rPr>
                <w:iCs/>
              </w:rPr>
            </w:pPr>
            <w:r>
              <w:rPr>
                <w:iCs/>
              </w:rPr>
              <w:t>MP-ledamoten anmälde följande avvikande ståndpunkt:</w:t>
            </w:r>
          </w:p>
          <w:p w14:paraId="5856F98C" w14:textId="77777777" w:rsidR="0050267B" w:rsidRPr="0050267B" w:rsidRDefault="0050267B" w:rsidP="0050267B">
            <w:pPr>
              <w:widowControl w:val="0"/>
              <w:tabs>
                <w:tab w:val="left" w:pos="1701"/>
              </w:tabs>
              <w:ind w:left="574"/>
              <w:rPr>
                <w:iCs/>
              </w:rPr>
            </w:pPr>
            <w:r w:rsidRPr="0050267B">
              <w:rPr>
                <w:iCs/>
              </w:rPr>
              <w:t>Direktivet om tillbörlig aktsamhet för företag är avgörande för att skapa långsiktigt hållbara, rättvisa och konkurrensneutrala förutsättningar för europeiska företag. Jag anser därför att regeringens ståndpunkt bör vara mer återhållsam gentemot de föreslagna urvattningarna i lagstiftningen.</w:t>
            </w:r>
          </w:p>
          <w:p w14:paraId="1BB050BF" w14:textId="77777777" w:rsidR="0050267B" w:rsidRPr="0050267B" w:rsidRDefault="0050267B" w:rsidP="0050267B">
            <w:pPr>
              <w:widowControl w:val="0"/>
              <w:tabs>
                <w:tab w:val="left" w:pos="1701"/>
              </w:tabs>
              <w:ind w:left="574"/>
              <w:rPr>
                <w:iCs/>
              </w:rPr>
            </w:pPr>
          </w:p>
          <w:p w14:paraId="56165D8B" w14:textId="181B2184" w:rsidR="0050267B" w:rsidRPr="0050267B" w:rsidRDefault="0050267B" w:rsidP="0050267B">
            <w:pPr>
              <w:widowControl w:val="0"/>
              <w:tabs>
                <w:tab w:val="left" w:pos="1701"/>
              </w:tabs>
              <w:ind w:left="574"/>
              <w:rPr>
                <w:iCs/>
              </w:rPr>
            </w:pPr>
            <w:r w:rsidRPr="0050267B">
              <w:rPr>
                <w:iCs/>
              </w:rPr>
              <w:t>Det är oroande att kommissionen nu föreslår omfattande undantag från tillämpningen, särskilt vad gäller att begränsa tillbörlig aktsamhet till endast direkta leverantörer. Detta riskerar att skapa kryphål i aktsamhetsplikterna och försvaga hela direktivets ändamål. Därtill riskerar kommissionens förslag att underminera svenska företags konkurrenskraft. Svenska företag har i regel ett högt förtroende när det gäller miljö, klimat och arbetsvillkor, och har i många fall redan investerat i åtgärder i linje med den tidigare beslutade lagstiftningen. Samtidigt möter de snedvriden konkurrens från aktörer som inte tar samma ansvar. Gemensamma EU-krav bidrar till att säkerställa rättvis konkurrenskraftsvillkor, och det är därför viktigt att regelverken inte urvattnas. Jag motsätter mig även förslaget om att kraftigt skjuta upp tillämpningen och att ta bort centrala delar såsom regler om civilrättsligt ansvar. En fördröjd eller urvattnad implementering riskerar att minska förutsägbarheten och försämra möjligheterna att bygga vidare på denna utveckling.</w:t>
            </w:r>
          </w:p>
          <w:p w14:paraId="330F7324" w14:textId="77777777" w:rsidR="0050267B" w:rsidRPr="0050267B" w:rsidRDefault="0050267B" w:rsidP="0050267B">
            <w:pPr>
              <w:widowControl w:val="0"/>
              <w:tabs>
                <w:tab w:val="left" w:pos="1701"/>
              </w:tabs>
              <w:ind w:left="574"/>
              <w:rPr>
                <w:iCs/>
              </w:rPr>
            </w:pPr>
          </w:p>
          <w:p w14:paraId="0E1F429A" w14:textId="3DB3EB8B" w:rsidR="00DE1461" w:rsidRPr="00D87883" w:rsidRDefault="0050267B" w:rsidP="00C47C63">
            <w:pPr>
              <w:widowControl w:val="0"/>
              <w:tabs>
                <w:tab w:val="left" w:pos="1701"/>
              </w:tabs>
              <w:ind w:left="574"/>
              <w:rPr>
                <w:b/>
                <w:bCs/>
                <w:iCs/>
              </w:rPr>
            </w:pPr>
            <w:r w:rsidRPr="0050267B">
              <w:rPr>
                <w:iCs/>
              </w:rPr>
              <w:t>Jag anser att regeringen i EU-sammanhang när det gäller tillbörlig aktsamhet för företag bör driva en linje som värnar lagstiftningens syfte, tydligt stödjer de delar som främjar hållbarhet och transparens samt verkar för att höga ambitioner bibehålls.</w:t>
            </w:r>
          </w:p>
        </w:tc>
      </w:tr>
      <w:tr w:rsidR="00716AAE" w:rsidRPr="006C0F9A" w14:paraId="1D9E4B88" w14:textId="77777777" w:rsidTr="001324AA">
        <w:trPr>
          <w:trHeight w:val="950"/>
        </w:trPr>
        <w:tc>
          <w:tcPr>
            <w:tcW w:w="567" w:type="dxa"/>
          </w:tcPr>
          <w:p w14:paraId="78E7A0C6" w14:textId="7B0DC657" w:rsidR="00716AAE" w:rsidRDefault="00716AAE" w:rsidP="00DC0D46">
            <w:pPr>
              <w:tabs>
                <w:tab w:val="left" w:pos="1701"/>
              </w:tabs>
              <w:rPr>
                <w:b/>
                <w:snapToGrid w:val="0"/>
              </w:rPr>
            </w:pPr>
            <w:r>
              <w:rPr>
                <w:b/>
                <w:snapToGrid w:val="0"/>
              </w:rPr>
              <w:lastRenderedPageBreak/>
              <w:t xml:space="preserve">§ </w:t>
            </w:r>
            <w:r w:rsidR="000424DB">
              <w:rPr>
                <w:b/>
                <w:snapToGrid w:val="0"/>
              </w:rPr>
              <w:t>4</w:t>
            </w:r>
          </w:p>
        </w:tc>
        <w:tc>
          <w:tcPr>
            <w:tcW w:w="7162" w:type="dxa"/>
          </w:tcPr>
          <w:p w14:paraId="492973AA" w14:textId="77777777" w:rsidR="005D03C6" w:rsidRDefault="000424DB" w:rsidP="00073238">
            <w:pPr>
              <w:widowControl w:val="0"/>
              <w:tabs>
                <w:tab w:val="left" w:pos="1701"/>
              </w:tabs>
              <w:rPr>
                <w:b/>
                <w:bCs/>
              </w:rPr>
            </w:pPr>
            <w:r w:rsidRPr="000424DB">
              <w:rPr>
                <w:b/>
                <w:bCs/>
              </w:rPr>
              <w:t>Inbjudan</w:t>
            </w:r>
          </w:p>
          <w:p w14:paraId="012A6D61" w14:textId="77777777" w:rsidR="000424DB" w:rsidRDefault="000424DB" w:rsidP="00073238">
            <w:pPr>
              <w:widowControl w:val="0"/>
              <w:tabs>
                <w:tab w:val="left" w:pos="1701"/>
              </w:tabs>
              <w:rPr>
                <w:b/>
                <w:bCs/>
              </w:rPr>
            </w:pPr>
          </w:p>
          <w:p w14:paraId="6E91B63B" w14:textId="77777777" w:rsidR="00DB79BF" w:rsidRDefault="000424DB" w:rsidP="00073238">
            <w:pPr>
              <w:widowControl w:val="0"/>
              <w:tabs>
                <w:tab w:val="left" w:pos="1701"/>
              </w:tabs>
            </w:pPr>
            <w:r w:rsidRPr="000424DB">
              <w:t xml:space="preserve">Kanslichefen informerade om interparlamentarisk konferens i </w:t>
            </w:r>
          </w:p>
          <w:p w14:paraId="52ED1DD8" w14:textId="442F886E" w:rsidR="000424DB" w:rsidRDefault="000424DB" w:rsidP="00073238">
            <w:pPr>
              <w:widowControl w:val="0"/>
              <w:tabs>
                <w:tab w:val="left" w:pos="1701"/>
              </w:tabs>
            </w:pPr>
            <w:r w:rsidRPr="000424DB">
              <w:t>Warszawa, Polen, den 13–14 april 2025.</w:t>
            </w:r>
          </w:p>
          <w:p w14:paraId="7EB861E0" w14:textId="77777777" w:rsidR="000424DB" w:rsidRDefault="000424DB" w:rsidP="00073238">
            <w:pPr>
              <w:widowControl w:val="0"/>
              <w:tabs>
                <w:tab w:val="left" w:pos="1701"/>
              </w:tabs>
            </w:pPr>
          </w:p>
          <w:p w14:paraId="0C5C7B17" w14:textId="77777777" w:rsidR="00E76184" w:rsidRDefault="000424DB" w:rsidP="00073238">
            <w:pPr>
              <w:widowControl w:val="0"/>
              <w:tabs>
                <w:tab w:val="left" w:pos="1701"/>
              </w:tabs>
            </w:pPr>
            <w:r>
              <w:t>Utskottet beslutade att delta med ledamöterna</w:t>
            </w:r>
            <w:r w:rsidR="00E76184">
              <w:t xml:space="preserve"> </w:t>
            </w:r>
            <w:r w:rsidR="00E76184" w:rsidRPr="00E76184">
              <w:t>Lili André (KD)</w:t>
            </w:r>
            <w:r w:rsidR="00E76184">
              <w:t xml:space="preserve"> och </w:t>
            </w:r>
          </w:p>
          <w:p w14:paraId="6E12FCAB" w14:textId="52EAC5FF" w:rsidR="000424DB" w:rsidRDefault="00E76184" w:rsidP="00073238">
            <w:pPr>
              <w:widowControl w:val="0"/>
              <w:tabs>
                <w:tab w:val="left" w:pos="1701"/>
              </w:tabs>
            </w:pPr>
            <w:r w:rsidRPr="00E76184">
              <w:t xml:space="preserve">Linus </w:t>
            </w:r>
            <w:proofErr w:type="spellStart"/>
            <w:r w:rsidRPr="00E76184">
              <w:t>Lakso</w:t>
            </w:r>
            <w:proofErr w:type="spellEnd"/>
            <w:r w:rsidRPr="00E76184">
              <w:t xml:space="preserve"> (MP)</w:t>
            </w:r>
            <w:r>
              <w:t>.</w:t>
            </w:r>
          </w:p>
          <w:p w14:paraId="690FC8FC" w14:textId="65043931" w:rsidR="000424DB" w:rsidRPr="000424DB" w:rsidRDefault="000424DB" w:rsidP="00073238">
            <w:pPr>
              <w:widowControl w:val="0"/>
              <w:tabs>
                <w:tab w:val="left" w:pos="1701"/>
              </w:tabs>
            </w:pPr>
          </w:p>
        </w:tc>
      </w:tr>
      <w:tr w:rsidR="0071591F" w:rsidRPr="006C0F9A" w14:paraId="337B8213" w14:textId="77777777" w:rsidTr="001324AA">
        <w:trPr>
          <w:trHeight w:val="950"/>
        </w:trPr>
        <w:tc>
          <w:tcPr>
            <w:tcW w:w="567" w:type="dxa"/>
          </w:tcPr>
          <w:p w14:paraId="7C3FB49A" w14:textId="03CF0C8F" w:rsidR="0071591F" w:rsidRDefault="00B641A3" w:rsidP="00DC0D46">
            <w:pPr>
              <w:tabs>
                <w:tab w:val="left" w:pos="1701"/>
              </w:tabs>
              <w:rPr>
                <w:b/>
                <w:snapToGrid w:val="0"/>
              </w:rPr>
            </w:pPr>
            <w:r>
              <w:rPr>
                <w:b/>
                <w:snapToGrid w:val="0"/>
              </w:rPr>
              <w:t>§ 5</w:t>
            </w:r>
          </w:p>
        </w:tc>
        <w:tc>
          <w:tcPr>
            <w:tcW w:w="7162" w:type="dxa"/>
          </w:tcPr>
          <w:p w14:paraId="1947AC42" w14:textId="0D7F204F" w:rsidR="00FF27C0" w:rsidRDefault="00FF27C0" w:rsidP="00073238">
            <w:pPr>
              <w:widowControl w:val="0"/>
              <w:tabs>
                <w:tab w:val="left" w:pos="1701"/>
              </w:tabs>
              <w:rPr>
                <w:b/>
                <w:bCs/>
              </w:rPr>
            </w:pPr>
            <w:r>
              <w:rPr>
                <w:b/>
                <w:bCs/>
              </w:rPr>
              <w:t>Övriga frågor</w:t>
            </w:r>
          </w:p>
          <w:p w14:paraId="540166A3" w14:textId="77777777" w:rsidR="00FF27C0" w:rsidRDefault="00FF27C0" w:rsidP="00073238">
            <w:pPr>
              <w:widowControl w:val="0"/>
              <w:tabs>
                <w:tab w:val="left" w:pos="1701"/>
              </w:tabs>
              <w:rPr>
                <w:b/>
                <w:bCs/>
              </w:rPr>
            </w:pPr>
          </w:p>
          <w:p w14:paraId="6EF02DA5" w14:textId="77777777" w:rsidR="00FF27C0" w:rsidRDefault="00FF27C0" w:rsidP="00073238">
            <w:pPr>
              <w:widowControl w:val="0"/>
              <w:tabs>
                <w:tab w:val="left" w:pos="1701"/>
              </w:tabs>
            </w:pPr>
            <w:r>
              <w:t xml:space="preserve">Utskottet beslutade att bjuda in företrädare för regeringen för </w:t>
            </w:r>
          </w:p>
          <w:p w14:paraId="0E3431BF" w14:textId="77777777" w:rsidR="0071591F" w:rsidRDefault="00FF27C0" w:rsidP="00073238">
            <w:pPr>
              <w:widowControl w:val="0"/>
              <w:tabs>
                <w:tab w:val="left" w:pos="1701"/>
              </w:tabs>
            </w:pPr>
            <w:r w:rsidRPr="00FF27C0">
              <w:t>information inför extrainsatt FAC-handel den 7 april 2025</w:t>
            </w:r>
            <w:r>
              <w:t>.</w:t>
            </w:r>
          </w:p>
          <w:p w14:paraId="5C6131FA" w14:textId="77777777" w:rsidR="00FF27C0" w:rsidRDefault="00FF27C0" w:rsidP="00073238">
            <w:pPr>
              <w:widowControl w:val="0"/>
              <w:tabs>
                <w:tab w:val="left" w:pos="1701"/>
              </w:tabs>
            </w:pPr>
          </w:p>
          <w:p w14:paraId="5DDACC64" w14:textId="3A3A7490" w:rsidR="00FF27C0" w:rsidRDefault="00FF27C0" w:rsidP="00FF27C0">
            <w:pPr>
              <w:widowControl w:val="0"/>
              <w:tabs>
                <w:tab w:val="left" w:pos="1701"/>
              </w:tabs>
            </w:pPr>
            <w:r>
              <w:t xml:space="preserve">MP-ledamoten föreslog att utskottet skulle ta ett initiativ för att </w:t>
            </w:r>
          </w:p>
          <w:p w14:paraId="7F72E753" w14:textId="617E2D53" w:rsidR="00FF27C0" w:rsidRDefault="00FF27C0" w:rsidP="00FF27C0">
            <w:pPr>
              <w:widowControl w:val="0"/>
              <w:tabs>
                <w:tab w:val="left" w:pos="1701"/>
              </w:tabs>
            </w:pPr>
            <w:r>
              <w:t xml:space="preserve">möjliggöra </w:t>
            </w:r>
            <w:r w:rsidR="00076756">
              <w:t xml:space="preserve">för </w:t>
            </w:r>
            <w:r>
              <w:t>havsbaserad vindkraft.</w:t>
            </w:r>
          </w:p>
          <w:p w14:paraId="7AABCD5B" w14:textId="77777777" w:rsidR="00FF27C0" w:rsidRDefault="00FF27C0" w:rsidP="00073238">
            <w:pPr>
              <w:widowControl w:val="0"/>
              <w:tabs>
                <w:tab w:val="left" w:pos="1701"/>
              </w:tabs>
            </w:pPr>
          </w:p>
          <w:p w14:paraId="283A2693" w14:textId="77777777" w:rsidR="00FF27C0" w:rsidRDefault="00FF27C0" w:rsidP="00073238">
            <w:pPr>
              <w:widowControl w:val="0"/>
              <w:tabs>
                <w:tab w:val="left" w:pos="1701"/>
              </w:tabs>
            </w:pPr>
            <w:r>
              <w:t>Frågan bordlades.</w:t>
            </w:r>
          </w:p>
          <w:p w14:paraId="33007454" w14:textId="1D322820" w:rsidR="00FF27C0" w:rsidRPr="00FF27C0" w:rsidRDefault="00FF27C0" w:rsidP="00073238">
            <w:pPr>
              <w:widowControl w:val="0"/>
              <w:tabs>
                <w:tab w:val="left" w:pos="1701"/>
              </w:tabs>
            </w:pPr>
          </w:p>
        </w:tc>
      </w:tr>
      <w:tr w:rsidR="00E7594E" w:rsidRPr="006C0F9A" w14:paraId="33046147" w14:textId="77777777" w:rsidTr="001324AA">
        <w:trPr>
          <w:trHeight w:val="950"/>
        </w:trPr>
        <w:tc>
          <w:tcPr>
            <w:tcW w:w="567" w:type="dxa"/>
          </w:tcPr>
          <w:p w14:paraId="226051D7" w14:textId="1308BBA3" w:rsidR="00E7594E" w:rsidRPr="006C0F9A" w:rsidRDefault="00E7594E" w:rsidP="00E7594E">
            <w:pPr>
              <w:tabs>
                <w:tab w:val="left" w:pos="1701"/>
              </w:tabs>
              <w:rPr>
                <w:b/>
                <w:snapToGrid w:val="0"/>
              </w:rPr>
            </w:pPr>
            <w:r w:rsidRPr="006C0F9A">
              <w:rPr>
                <w:b/>
                <w:snapToGrid w:val="0"/>
              </w:rPr>
              <w:t xml:space="preserve">§ </w:t>
            </w:r>
            <w:r w:rsidR="00FF27C0">
              <w:rPr>
                <w:b/>
                <w:snapToGrid w:val="0"/>
              </w:rPr>
              <w:t>6</w:t>
            </w:r>
          </w:p>
        </w:tc>
        <w:tc>
          <w:tcPr>
            <w:tcW w:w="7162" w:type="dxa"/>
          </w:tcPr>
          <w:p w14:paraId="1A717359" w14:textId="22CEF21D" w:rsidR="001B2BF4" w:rsidRPr="006C0F9A" w:rsidRDefault="00E7594E" w:rsidP="00E7594E">
            <w:pPr>
              <w:widowControl w:val="0"/>
              <w:tabs>
                <w:tab w:val="left" w:pos="1701"/>
              </w:tabs>
              <w:rPr>
                <w:b/>
              </w:rPr>
            </w:pPr>
            <w:r w:rsidRPr="006C0F9A">
              <w:rPr>
                <w:b/>
              </w:rPr>
              <w:t>Nästa sammanträde</w:t>
            </w:r>
            <w:r w:rsidR="0095027E">
              <w:rPr>
                <w:b/>
              </w:rPr>
              <w:br/>
            </w:r>
          </w:p>
          <w:p w14:paraId="48A9CF00" w14:textId="797898C1" w:rsidR="00103FCA" w:rsidRDefault="00103FCA" w:rsidP="00103FCA">
            <w:pPr>
              <w:spacing w:after="200" w:line="280" w:lineRule="exact"/>
            </w:pPr>
            <w:r w:rsidRPr="006C0F9A">
              <w:t xml:space="preserve">Nästa sammanträde äger rum </w:t>
            </w:r>
            <w:r w:rsidR="004D4F86">
              <w:t>t</w:t>
            </w:r>
            <w:r w:rsidR="004A2EE1">
              <w:t>ors</w:t>
            </w:r>
            <w:r w:rsidRPr="006C0F9A">
              <w:t xml:space="preserve">dagen den </w:t>
            </w:r>
            <w:r w:rsidR="00D87883">
              <w:t>2</w:t>
            </w:r>
            <w:r w:rsidR="000424DB">
              <w:t>7</w:t>
            </w:r>
            <w:r w:rsidR="00073238">
              <w:t xml:space="preserve"> mars</w:t>
            </w:r>
            <w:r w:rsidRPr="006C0F9A">
              <w:t xml:space="preserve"> 202</w:t>
            </w:r>
            <w:r w:rsidR="000F537F">
              <w:t>5</w:t>
            </w:r>
            <w:r w:rsidR="001B2BF4" w:rsidRPr="006C0F9A">
              <w:br/>
            </w:r>
            <w:r w:rsidRPr="006C0F9A">
              <w:t xml:space="preserve">kl. </w:t>
            </w:r>
            <w:r w:rsidR="000424DB">
              <w:t>9</w:t>
            </w:r>
            <w:r w:rsidRPr="006C0F9A">
              <w:t>.</w:t>
            </w:r>
            <w:r w:rsidR="005D03C6">
              <w:t>0</w:t>
            </w:r>
            <w:r w:rsidRPr="006C0F9A">
              <w:t>0.</w:t>
            </w:r>
          </w:p>
          <w:p w14:paraId="228919AE" w14:textId="00AADB8A" w:rsidR="00076756" w:rsidRDefault="00076756" w:rsidP="00103FCA">
            <w:pPr>
              <w:spacing w:after="200" w:line="280" w:lineRule="exact"/>
            </w:pPr>
          </w:p>
          <w:p w14:paraId="35B500DE" w14:textId="7BEF2647" w:rsidR="00076756" w:rsidRDefault="00076756" w:rsidP="00103FCA">
            <w:pPr>
              <w:spacing w:after="200" w:line="280" w:lineRule="exact"/>
            </w:pPr>
          </w:p>
          <w:p w14:paraId="209C7119" w14:textId="77777777" w:rsidR="00076756" w:rsidRPr="006C0F9A" w:rsidRDefault="00076756" w:rsidP="00103FCA">
            <w:pPr>
              <w:spacing w:after="200" w:line="280" w:lineRule="exact"/>
            </w:pPr>
          </w:p>
          <w:p w14:paraId="64307BA5" w14:textId="43A3DF86" w:rsidR="00E7594E" w:rsidRPr="006C0F9A" w:rsidRDefault="00E7594E" w:rsidP="00E7594E">
            <w:pPr>
              <w:widowControl w:val="0"/>
              <w:tabs>
                <w:tab w:val="left" w:pos="1701"/>
              </w:tabs>
              <w:rPr>
                <w:bCs/>
              </w:rPr>
            </w:pPr>
          </w:p>
        </w:tc>
      </w:tr>
    </w:tbl>
    <w:p w14:paraId="54A4E292" w14:textId="77777777" w:rsidR="009B631B" w:rsidRDefault="009B631B"/>
    <w:tbl>
      <w:tblPr>
        <w:tblW w:w="7729" w:type="dxa"/>
        <w:tblInd w:w="1485" w:type="dxa"/>
        <w:tblCellMar>
          <w:left w:w="70" w:type="dxa"/>
          <w:right w:w="70" w:type="dxa"/>
        </w:tblCellMar>
        <w:tblLook w:val="00A0" w:firstRow="1" w:lastRow="0" w:firstColumn="1" w:lastColumn="0" w:noHBand="0" w:noVBand="0"/>
      </w:tblPr>
      <w:tblGrid>
        <w:gridCol w:w="7729"/>
      </w:tblGrid>
      <w:tr w:rsidR="00E7594E" w:rsidRPr="006C0F9A" w14:paraId="448A3638" w14:textId="77777777" w:rsidTr="001324AA">
        <w:tc>
          <w:tcPr>
            <w:tcW w:w="7729" w:type="dxa"/>
          </w:tcPr>
          <w:p w14:paraId="78A232E6" w14:textId="77777777" w:rsidR="00297EA2" w:rsidRDefault="00297EA2" w:rsidP="00B56E86">
            <w:pPr>
              <w:tabs>
                <w:tab w:val="left" w:pos="1701"/>
              </w:tabs>
            </w:pPr>
          </w:p>
          <w:p w14:paraId="00DBC1D3" w14:textId="7928BCC9"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103ABC8B" w14:textId="77777777" w:rsidR="00B56E86" w:rsidRPr="006C0F9A" w:rsidRDefault="00B56E86" w:rsidP="00B56E86">
            <w:pPr>
              <w:tabs>
                <w:tab w:val="left" w:pos="1701"/>
              </w:tabs>
            </w:pPr>
          </w:p>
          <w:p w14:paraId="385FC8A9" w14:textId="77777777" w:rsidR="00B56E86" w:rsidRPr="006C0F9A" w:rsidRDefault="00B56E86" w:rsidP="00B56E86">
            <w:pPr>
              <w:tabs>
                <w:tab w:val="left" w:pos="1701"/>
              </w:tabs>
            </w:pPr>
          </w:p>
          <w:p w14:paraId="4DA1BCA8" w14:textId="24197BAC" w:rsidR="00B56E86" w:rsidRPr="006C0F9A" w:rsidRDefault="00B56E86" w:rsidP="00B56E86">
            <w:pPr>
              <w:tabs>
                <w:tab w:val="left" w:pos="1701"/>
              </w:tabs>
            </w:pPr>
            <w:r w:rsidRPr="006C0F9A">
              <w:t xml:space="preserve">Justeras den </w:t>
            </w:r>
            <w:r w:rsidR="00D87883">
              <w:t>2</w:t>
            </w:r>
            <w:r w:rsidR="000424DB">
              <w:t>7</w:t>
            </w:r>
            <w:r w:rsidR="00073238">
              <w:t xml:space="preserve"> mars</w:t>
            </w:r>
            <w:r w:rsidRPr="006C0F9A">
              <w:t xml:space="preserve"> 202</w:t>
            </w:r>
            <w:r w:rsidR="004D4F86">
              <w:t>5</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540E52C5" w14:textId="58068E61" w:rsidR="00E7594E" w:rsidRPr="006C0F9A" w:rsidRDefault="004D4F86" w:rsidP="007216BA">
            <w:pPr>
              <w:tabs>
                <w:tab w:val="left" w:pos="1701"/>
              </w:tabs>
            </w:pPr>
            <w:r>
              <w:br/>
            </w:r>
          </w:p>
        </w:tc>
      </w:tr>
    </w:tbl>
    <w:p w14:paraId="7EC31FE2" w14:textId="622A5509" w:rsidR="00076756" w:rsidRDefault="00076756">
      <w:bookmarkStart w:id="0" w:name="_Hlk97030853"/>
      <w:bookmarkStart w:id="1" w:name="_Hlk146185070"/>
    </w:p>
    <w:p w14:paraId="0D0D30A9" w14:textId="77777777" w:rsidR="00076756" w:rsidRDefault="00076756">
      <w:r>
        <w:br w:type="page"/>
      </w:r>
    </w:p>
    <w:p w14:paraId="4DCA3A45" w14:textId="77777777" w:rsidR="00D57A98" w:rsidRDefault="00D57A98"/>
    <w:p w14:paraId="57E7BE0A" w14:textId="77777777" w:rsidR="00141DEF" w:rsidRDefault="00141DEF"/>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402"/>
        <w:gridCol w:w="426"/>
        <w:gridCol w:w="425"/>
        <w:gridCol w:w="283"/>
        <w:gridCol w:w="426"/>
        <w:gridCol w:w="425"/>
        <w:gridCol w:w="22"/>
        <w:gridCol w:w="582"/>
        <w:gridCol w:w="388"/>
        <w:gridCol w:w="11"/>
      </w:tblGrid>
      <w:tr w:rsidR="001D165A" w14:paraId="66CEFB4D" w14:textId="77777777" w:rsidTr="007216BA">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203C1A21" w:rsidR="001D165A" w:rsidRDefault="001D165A" w:rsidP="00FD0762">
            <w:pPr>
              <w:tabs>
                <w:tab w:val="left" w:pos="1701"/>
              </w:tabs>
            </w:pPr>
            <w:r>
              <w:rPr>
                <w:sz w:val="20"/>
              </w:rPr>
              <w:t>202</w:t>
            </w:r>
            <w:r w:rsidR="009F42FA">
              <w:rPr>
                <w:sz w:val="20"/>
              </w:rPr>
              <w:t>4</w:t>
            </w:r>
            <w:r>
              <w:rPr>
                <w:sz w:val="20"/>
              </w:rPr>
              <w:t>/2</w:t>
            </w:r>
            <w:r w:rsidR="009F42FA">
              <w:rPr>
                <w:sz w:val="20"/>
              </w:rPr>
              <w:t>5</w:t>
            </w:r>
            <w:r>
              <w:rPr>
                <w:sz w:val="20"/>
              </w:rPr>
              <w:t>:</w:t>
            </w:r>
            <w:r w:rsidR="00B27F79">
              <w:rPr>
                <w:sz w:val="20"/>
              </w:rPr>
              <w:t>2</w:t>
            </w:r>
            <w:r w:rsidR="000424DB">
              <w:rPr>
                <w:sz w:val="20"/>
              </w:rPr>
              <w:t>6</w:t>
            </w:r>
          </w:p>
        </w:tc>
      </w:tr>
      <w:tr w:rsidR="001D165A" w14:paraId="0DF86746" w14:textId="77777777" w:rsidTr="007216BA">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41179E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6FB8F75A"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2</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7A0D1ADC"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w:t>
            </w:r>
          </w:p>
        </w:tc>
        <w:tc>
          <w:tcPr>
            <w:tcW w:w="850" w:type="dxa"/>
            <w:gridSpan w:val="2"/>
            <w:tcBorders>
              <w:top w:val="single" w:sz="6" w:space="0" w:color="auto"/>
              <w:left w:val="single" w:sz="6" w:space="0" w:color="auto"/>
              <w:bottom w:val="single" w:sz="6" w:space="0" w:color="auto"/>
              <w:right w:val="single" w:sz="6" w:space="0" w:color="auto"/>
            </w:tcBorders>
          </w:tcPr>
          <w:p w14:paraId="12E63081" w14:textId="4D7BF1A5"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4–6</w:t>
            </w:r>
          </w:p>
        </w:tc>
        <w:tc>
          <w:tcPr>
            <w:tcW w:w="851" w:type="dxa"/>
            <w:gridSpan w:val="2"/>
            <w:tcBorders>
              <w:top w:val="single" w:sz="6" w:space="0" w:color="auto"/>
              <w:left w:val="single" w:sz="6" w:space="0" w:color="auto"/>
              <w:bottom w:val="single" w:sz="6" w:space="0" w:color="auto"/>
              <w:right w:val="single" w:sz="6" w:space="0" w:color="auto"/>
            </w:tcBorders>
          </w:tcPr>
          <w:p w14:paraId="23DF87DA" w14:textId="137CD33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02"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6"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6" w:space="0" w:color="auto"/>
              <w:left w:val="single" w:sz="6" w:space="0" w:color="auto"/>
              <w:bottom w:val="single" w:sz="6" w:space="0" w:color="auto"/>
              <w:right w:val="single" w:sz="6" w:space="0" w:color="auto"/>
            </w:tcBorders>
          </w:tcPr>
          <w:p w14:paraId="5F24ACA1" w14:textId="2439D84A"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0C436AC" w14:textId="25F62731"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9DC392" w14:textId="63CC5B96"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1C98D9F" w14:textId="1111692C"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C0846F6" w14:textId="1C51A5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71591F" w14:paraId="1D2BC9B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6" w:space="0" w:color="auto"/>
              <w:left w:val="single" w:sz="6" w:space="0" w:color="auto"/>
              <w:bottom w:val="single" w:sz="6" w:space="0" w:color="auto"/>
              <w:right w:val="single" w:sz="6" w:space="0" w:color="auto"/>
            </w:tcBorders>
          </w:tcPr>
          <w:p w14:paraId="6D0FCABF" w14:textId="5A2B4A00" w:rsidR="001D165A" w:rsidRPr="005E2B1F"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216FCCB3" w14:textId="6F4A4110" w:rsidR="001D165A" w:rsidRPr="005E2B1F"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89CF42D" w14:textId="31E27876" w:rsidR="001D165A" w:rsidRPr="005E2B1F"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59F3A5AB" w14:textId="63FC6CF0" w:rsidR="001D165A" w:rsidRPr="005E2B1F"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02" w:type="dxa"/>
            <w:tcBorders>
              <w:top w:val="single" w:sz="6" w:space="0" w:color="auto"/>
              <w:left w:val="single" w:sz="6" w:space="0" w:color="auto"/>
              <w:bottom w:val="single" w:sz="6" w:space="0" w:color="auto"/>
              <w:right w:val="single" w:sz="6"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4B16C757" w14:textId="1CF0461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366335F" w14:textId="49C2C7E7"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563F8A2D" w14:textId="0EAF00D8"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0B5930A" w14:textId="58342114"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4B2F61DB" w14:textId="26F227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25E2374D" w14:textId="7ED58A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6" w:space="0" w:color="auto"/>
              <w:left w:val="single" w:sz="6" w:space="0" w:color="auto"/>
              <w:bottom w:val="single" w:sz="6" w:space="0" w:color="auto"/>
              <w:right w:val="single" w:sz="6" w:space="0" w:color="auto"/>
            </w:tcBorders>
          </w:tcPr>
          <w:p w14:paraId="03DD9B83" w14:textId="507BC3F5"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0D4FA10A" w14:textId="6AC02606"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50724A" w14:textId="62E5F0C7"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4D34E95" w14:textId="2D2C86AA"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973B1CE" w14:textId="4A9075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6" w:space="0" w:color="auto"/>
              <w:left w:val="single" w:sz="6" w:space="0" w:color="auto"/>
              <w:bottom w:val="single" w:sz="6" w:space="0" w:color="auto"/>
              <w:right w:val="single" w:sz="6" w:space="0" w:color="auto"/>
            </w:tcBorders>
          </w:tcPr>
          <w:p w14:paraId="4CE452AC" w14:textId="28B5F7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073920D" w14:textId="7A0EE6B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32B0EC" w14:textId="453249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C4657E0" w14:textId="0E753B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Borders>
              <w:top w:val="single" w:sz="6" w:space="0" w:color="auto"/>
              <w:left w:val="single" w:sz="6" w:space="0" w:color="auto"/>
              <w:bottom w:val="single" w:sz="6" w:space="0" w:color="auto"/>
              <w:right w:val="single" w:sz="6" w:space="0" w:color="auto"/>
            </w:tcBorders>
          </w:tcPr>
          <w:p w14:paraId="119454CF" w14:textId="37195C14"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72D56A63" w14:textId="687F9FED"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16FA42" w14:textId="2A52ED71"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7E4E4C8" w14:textId="2036E461"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8EC02F" w14:textId="6D7C37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6" w:space="0" w:color="auto"/>
              <w:left w:val="single" w:sz="6" w:space="0" w:color="auto"/>
              <w:bottom w:val="single" w:sz="6" w:space="0" w:color="auto"/>
              <w:right w:val="single" w:sz="6" w:space="0" w:color="auto"/>
            </w:tcBorders>
          </w:tcPr>
          <w:p w14:paraId="723B6279" w14:textId="62EE4F71"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7B0A1F0" w14:textId="03272895"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526917" w14:textId="4A6BD826"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1D12B3F" w14:textId="74E40EB0"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813955" w14:textId="30B1BC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6" w:space="0" w:color="auto"/>
              <w:left w:val="single" w:sz="6" w:space="0" w:color="auto"/>
              <w:bottom w:val="single" w:sz="6" w:space="0" w:color="auto"/>
              <w:right w:val="single" w:sz="6" w:space="0" w:color="auto"/>
            </w:tcBorders>
          </w:tcPr>
          <w:p w14:paraId="7F2A689D" w14:textId="6B6A9CA2"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27E68A7" w14:textId="104C9BAC"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287A17" w14:textId="26500A50"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90579A9" w14:textId="32F17E0B"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CA9A69" w14:textId="05DB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6" w:space="0" w:color="auto"/>
              <w:left w:val="single" w:sz="6" w:space="0" w:color="auto"/>
              <w:bottom w:val="single" w:sz="6" w:space="0" w:color="auto"/>
              <w:right w:val="single" w:sz="6" w:space="0" w:color="auto"/>
            </w:tcBorders>
          </w:tcPr>
          <w:p w14:paraId="37DC03D7" w14:textId="7407D2FB"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24ADABE" w14:textId="65FCCA29"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EBFCC9" w14:textId="67A8771A"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27B14CD" w14:textId="757D3D84"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F4A1DDC" w14:textId="1FF15A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Borders>
              <w:top w:val="single" w:sz="6" w:space="0" w:color="auto"/>
              <w:left w:val="single" w:sz="6" w:space="0" w:color="auto"/>
              <w:bottom w:val="single" w:sz="6" w:space="0" w:color="auto"/>
              <w:right w:val="single" w:sz="6" w:space="0" w:color="auto"/>
            </w:tcBorders>
          </w:tcPr>
          <w:p w14:paraId="3AE85469" w14:textId="6B35E92F"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5A20467" w14:textId="2DE46BF9"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829684" w14:textId="44EE0AB2"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76264B" w14:textId="60ADE2C4"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B5BB87" w14:textId="26E6B4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6" w:space="0" w:color="auto"/>
              <w:left w:val="single" w:sz="6" w:space="0" w:color="auto"/>
              <w:bottom w:val="single" w:sz="6" w:space="0" w:color="auto"/>
              <w:right w:val="single" w:sz="6" w:space="0" w:color="auto"/>
            </w:tcBorders>
          </w:tcPr>
          <w:p w14:paraId="6FE2AD41" w14:textId="0E3F8F9C"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57AE0EB" w14:textId="2F0F0A92"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E8CC899" w14:textId="7B1D17DE"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98CC2C8" w14:textId="09E1761D"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CFC165" w14:textId="47971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Pr>
                <w:snapToGrid w:val="0"/>
                <w:color w:val="000000"/>
                <w:sz w:val="20"/>
                <w:lang w:val="en-US"/>
              </w:rPr>
              <w:t>Kjell</w:t>
            </w:r>
            <w:proofErr w:type="spellEnd"/>
            <w:r>
              <w:rPr>
                <w:snapToGrid w:val="0"/>
                <w:color w:val="000000"/>
                <w:sz w:val="20"/>
                <w:lang w:val="en-US"/>
              </w:rPr>
              <w:t xml:space="preserve"> Jansson (M)</w:t>
            </w:r>
          </w:p>
        </w:tc>
        <w:tc>
          <w:tcPr>
            <w:tcW w:w="449" w:type="dxa"/>
            <w:tcBorders>
              <w:top w:val="single" w:sz="6" w:space="0" w:color="auto"/>
              <w:left w:val="single" w:sz="6" w:space="0" w:color="auto"/>
              <w:bottom w:val="single" w:sz="6" w:space="0" w:color="auto"/>
              <w:right w:val="single" w:sz="6" w:space="0" w:color="auto"/>
            </w:tcBorders>
          </w:tcPr>
          <w:p w14:paraId="162330C2" w14:textId="37751DED"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8C8234" w14:textId="6F155815"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1B1D47" w14:textId="26298B3F"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6F1FFF2" w14:textId="297CE225"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C1D2BC" w14:textId="2F5BAFA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6" w:space="0" w:color="auto"/>
              <w:left w:val="single" w:sz="6" w:space="0" w:color="auto"/>
              <w:bottom w:val="single" w:sz="6" w:space="0" w:color="auto"/>
              <w:right w:val="single" w:sz="6" w:space="0" w:color="auto"/>
            </w:tcBorders>
          </w:tcPr>
          <w:p w14:paraId="3506A5F9" w14:textId="2309E72A"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35F66BE" w14:textId="20E0FDB0"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D303B" w14:textId="22CFC36F"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AA41324" w14:textId="36FC7457"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157091A" w14:textId="2519A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6" w:space="0" w:color="auto"/>
              <w:left w:val="single" w:sz="6" w:space="0" w:color="auto"/>
              <w:bottom w:val="single" w:sz="6" w:space="0" w:color="auto"/>
              <w:right w:val="single" w:sz="6" w:space="0" w:color="auto"/>
            </w:tcBorders>
          </w:tcPr>
          <w:p w14:paraId="7F8A02B2" w14:textId="4DF5F679"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63146BE0" w14:textId="72711DAE"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CEC422" w14:textId="1789411C"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7D3EE0D" w14:textId="0E0811B7"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 xml:space="preserve">Johnny </w:t>
            </w:r>
            <w:proofErr w:type="spellStart"/>
            <w:r>
              <w:rPr>
                <w:sz w:val="20"/>
                <w:lang w:val="en-US"/>
              </w:rPr>
              <w:t>Svedin</w:t>
            </w:r>
            <w:proofErr w:type="spellEnd"/>
            <w:r w:rsidR="001D165A" w:rsidRPr="00D36206">
              <w:rPr>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7CA30006" w14:textId="6FFD4CFB"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0306767" w14:textId="788C86C1"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1C6FB2" w14:textId="0793831A"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F457081" w14:textId="669C405E"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06DE8" w14:textId="2FAB30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Borders>
              <w:top w:val="single" w:sz="6" w:space="0" w:color="auto"/>
              <w:left w:val="single" w:sz="6" w:space="0" w:color="auto"/>
              <w:bottom w:val="single" w:sz="6" w:space="0" w:color="auto"/>
              <w:right w:val="single" w:sz="6" w:space="0" w:color="auto"/>
            </w:tcBorders>
          </w:tcPr>
          <w:p w14:paraId="25A2B47F" w14:textId="637F2EE5"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7ED43B6" w14:textId="71A34F58"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1D0955" w14:textId="5C064B8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4A1001F" w14:textId="39CF2D3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5360CA" w14:textId="2A988F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6" w:space="0" w:color="auto"/>
              <w:left w:val="single" w:sz="6" w:space="0" w:color="auto"/>
              <w:bottom w:val="single" w:sz="6" w:space="0" w:color="auto"/>
              <w:right w:val="single" w:sz="6" w:space="0" w:color="auto"/>
            </w:tcBorders>
          </w:tcPr>
          <w:p w14:paraId="25A2BC52" w14:textId="2136EED2"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EE2E086" w14:textId="1353D385"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E2448C" w14:textId="41192B33"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7D0EEB4" w14:textId="135E3A68"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02" w:type="dxa"/>
            <w:tcBorders>
              <w:top w:val="single" w:sz="6" w:space="0" w:color="auto"/>
              <w:left w:val="single" w:sz="6" w:space="0" w:color="auto"/>
              <w:bottom w:val="single" w:sz="6" w:space="0" w:color="auto"/>
              <w:right w:val="single" w:sz="6"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F94A19" w14:textId="15137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6" w:space="0" w:color="auto"/>
              <w:left w:val="single" w:sz="6" w:space="0" w:color="auto"/>
              <w:bottom w:val="single" w:sz="6" w:space="0" w:color="auto"/>
              <w:right w:val="single" w:sz="6"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Borders>
              <w:top w:val="single" w:sz="6" w:space="0" w:color="auto"/>
              <w:left w:val="single" w:sz="6" w:space="0" w:color="auto"/>
              <w:bottom w:val="single" w:sz="6" w:space="0" w:color="auto"/>
              <w:right w:val="single" w:sz="6" w:space="0" w:color="auto"/>
            </w:tcBorders>
          </w:tcPr>
          <w:p w14:paraId="2A49C47D" w14:textId="0920AD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AE7D274" w14:textId="60AA87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CE12A0" w14:textId="4A84B8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5E7F2F79" w14:textId="6249F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6" w:space="0" w:color="auto"/>
              <w:left w:val="single" w:sz="6" w:space="0" w:color="auto"/>
              <w:bottom w:val="single" w:sz="6" w:space="0" w:color="auto"/>
              <w:right w:val="single" w:sz="6" w:space="0" w:color="auto"/>
            </w:tcBorders>
          </w:tcPr>
          <w:p w14:paraId="202D0A56" w14:textId="626A92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C50DBAB" w14:textId="00C5BF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97AAB3" w14:textId="397962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BC7F996" w14:textId="6347183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DD2EF7" w14:textId="459AEB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71591F" w14:paraId="2A0CF4BE"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Daniel </w:t>
            </w:r>
            <w:proofErr w:type="spellStart"/>
            <w:r>
              <w:rPr>
                <w:snapToGrid w:val="0"/>
                <w:color w:val="000000"/>
                <w:sz w:val="20"/>
                <w:lang w:val="en-US"/>
              </w:rPr>
              <w:t>Vencu</w:t>
            </w:r>
            <w:proofErr w:type="spellEnd"/>
            <w:r>
              <w:rPr>
                <w:snapToGrid w:val="0"/>
                <w:color w:val="000000"/>
                <w:sz w:val="20"/>
                <w:lang w:val="en-US"/>
              </w:rPr>
              <w:t xml:space="preserve"> Velasquez Castro (S)</w:t>
            </w:r>
          </w:p>
        </w:tc>
        <w:tc>
          <w:tcPr>
            <w:tcW w:w="449" w:type="dxa"/>
            <w:tcBorders>
              <w:top w:val="single" w:sz="6" w:space="0" w:color="auto"/>
              <w:left w:val="single" w:sz="6" w:space="0" w:color="auto"/>
              <w:bottom w:val="single" w:sz="6" w:space="0" w:color="auto"/>
              <w:right w:val="single" w:sz="6" w:space="0" w:color="auto"/>
            </w:tcBorders>
          </w:tcPr>
          <w:p w14:paraId="7EF91ABC" w14:textId="5374A9C8" w:rsidR="001D165A" w:rsidRPr="00F8082F"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Borders>
              <w:top w:val="single" w:sz="6" w:space="0" w:color="auto"/>
              <w:left w:val="single" w:sz="6" w:space="0" w:color="auto"/>
              <w:bottom w:val="single" w:sz="6" w:space="0" w:color="auto"/>
              <w:right w:val="single" w:sz="6"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6" w:space="0" w:color="auto"/>
              <w:left w:val="single" w:sz="6" w:space="0" w:color="auto"/>
              <w:bottom w:val="single" w:sz="6" w:space="0" w:color="auto"/>
              <w:right w:val="single" w:sz="6" w:space="0" w:color="auto"/>
            </w:tcBorders>
          </w:tcPr>
          <w:p w14:paraId="16B1D73F" w14:textId="11E642BA" w:rsidR="001D165A" w:rsidRPr="00F8082F"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5EE1583" w14:textId="7D9B2A8D" w:rsidR="001D165A" w:rsidRPr="00F8082F"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6" w:space="0" w:color="auto"/>
              <w:left w:val="single" w:sz="6" w:space="0" w:color="auto"/>
              <w:bottom w:val="single" w:sz="6" w:space="0" w:color="auto"/>
              <w:right w:val="single" w:sz="6" w:space="0" w:color="auto"/>
            </w:tcBorders>
          </w:tcPr>
          <w:p w14:paraId="2092DA06" w14:textId="20F35C9C" w:rsidR="001D165A" w:rsidRPr="00F8082F"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02" w:type="dxa"/>
            <w:tcBorders>
              <w:top w:val="single" w:sz="6" w:space="0" w:color="auto"/>
              <w:left w:val="single" w:sz="6" w:space="0" w:color="auto"/>
              <w:bottom w:val="single" w:sz="6" w:space="0" w:color="auto"/>
              <w:right w:val="single" w:sz="6"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9D4C925" w14:textId="33A8C7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6" w:space="0" w:color="auto"/>
              <w:left w:val="single" w:sz="6" w:space="0" w:color="auto"/>
              <w:bottom w:val="single" w:sz="6" w:space="0" w:color="auto"/>
              <w:right w:val="single" w:sz="6"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6" w:space="0" w:color="auto"/>
              <w:left w:val="single" w:sz="6" w:space="0" w:color="auto"/>
              <w:bottom w:val="single" w:sz="6" w:space="0" w:color="auto"/>
              <w:right w:val="single" w:sz="6"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6" w:space="0" w:color="auto"/>
              <w:left w:val="single" w:sz="6" w:space="0" w:color="auto"/>
              <w:bottom w:val="single" w:sz="6" w:space="0" w:color="auto"/>
              <w:right w:val="single" w:sz="6" w:space="0" w:color="auto"/>
            </w:tcBorders>
          </w:tcPr>
          <w:p w14:paraId="3B253F8A" w14:textId="746678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DD5EA8A" w14:textId="407F72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2A91B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6" w:space="0" w:color="auto"/>
              <w:left w:val="single" w:sz="6" w:space="0" w:color="auto"/>
              <w:bottom w:val="single" w:sz="6" w:space="0" w:color="auto"/>
              <w:right w:val="single" w:sz="6" w:space="0" w:color="auto"/>
            </w:tcBorders>
          </w:tcPr>
          <w:p w14:paraId="0A695F37" w14:textId="21FB90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42557C8" w14:textId="567F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6" w:space="0" w:color="auto"/>
              <w:left w:val="single" w:sz="6" w:space="0" w:color="auto"/>
              <w:bottom w:val="single" w:sz="6" w:space="0" w:color="auto"/>
              <w:right w:val="single" w:sz="6"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6" w:space="0" w:color="auto"/>
              <w:left w:val="single" w:sz="6" w:space="0" w:color="auto"/>
              <w:bottom w:val="single" w:sz="6" w:space="0" w:color="auto"/>
              <w:right w:val="single" w:sz="6"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6" w:space="0" w:color="auto"/>
              <w:left w:val="single" w:sz="6" w:space="0" w:color="auto"/>
              <w:bottom w:val="single" w:sz="6" w:space="0" w:color="auto"/>
              <w:right w:val="single" w:sz="6" w:space="0" w:color="auto"/>
            </w:tcBorders>
          </w:tcPr>
          <w:p w14:paraId="39F75129" w14:textId="2D2749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B7CBFF1" w14:textId="3E17AB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28019C" w14:textId="07EA2E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92BF33" w14:textId="128EB6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6" w:space="0" w:color="auto"/>
              <w:left w:val="single" w:sz="6" w:space="0" w:color="auto"/>
              <w:bottom w:val="single" w:sz="6" w:space="0" w:color="auto"/>
              <w:right w:val="single" w:sz="6" w:space="0" w:color="auto"/>
            </w:tcBorders>
          </w:tcPr>
          <w:p w14:paraId="736FB1DE" w14:textId="7B470A1F"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EE0BC0B" w14:textId="499A8FE5" w:rsidR="001D165A"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DF282" w14:textId="44BC5A0F"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DE72812" w14:textId="33348252"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827E5" w14:textId="5743D4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6" w:space="0" w:color="auto"/>
              <w:left w:val="single" w:sz="6" w:space="0" w:color="auto"/>
              <w:bottom w:val="single" w:sz="6" w:space="0" w:color="auto"/>
              <w:right w:val="single" w:sz="6" w:space="0" w:color="auto"/>
            </w:tcBorders>
          </w:tcPr>
          <w:p w14:paraId="0CE1085D" w14:textId="094A232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3111289" w14:textId="061907B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55B5F" w14:textId="5FE598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4F5E3BF" w14:textId="59605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71B3D6" w14:textId="4E1A13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7216BA">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Borders>
              <w:top w:val="single" w:sz="6" w:space="0" w:color="auto"/>
              <w:left w:val="single" w:sz="6" w:space="0" w:color="auto"/>
              <w:bottom w:val="single" w:sz="4" w:space="0" w:color="auto"/>
              <w:right w:val="single" w:sz="6" w:space="0" w:color="auto"/>
            </w:tcBorders>
          </w:tcPr>
          <w:p w14:paraId="4D439C68" w14:textId="2B6C31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4" w:space="0" w:color="auto"/>
              <w:right w:val="single" w:sz="6"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4" w:space="0" w:color="auto"/>
              <w:right w:val="single" w:sz="6" w:space="0" w:color="auto"/>
            </w:tcBorders>
          </w:tcPr>
          <w:p w14:paraId="2767DB16" w14:textId="62F1CF1C"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4" w:space="0" w:color="auto"/>
              <w:right w:val="single" w:sz="6"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57606572" w14:textId="08D7CE97"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4" w:space="0" w:color="auto"/>
              <w:right w:val="single" w:sz="6"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4" w:space="0" w:color="auto"/>
              <w:right w:val="single" w:sz="6" w:space="0" w:color="auto"/>
            </w:tcBorders>
          </w:tcPr>
          <w:p w14:paraId="0A5F84DF" w14:textId="00785FBB" w:rsidR="001D165A"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4" w:space="0" w:color="auto"/>
              <w:right w:val="single" w:sz="6"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4" w:space="0" w:color="auto"/>
              <w:right w:val="single" w:sz="6"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4" w:space="0" w:color="auto"/>
              <w:right w:val="single" w:sz="6"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4" w:space="0" w:color="auto"/>
              <w:right w:val="single" w:sz="6"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7216BA">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6" w:space="0" w:color="auto"/>
              <w:left w:val="single" w:sz="6" w:space="0" w:color="auto"/>
              <w:bottom w:val="single" w:sz="4" w:space="0" w:color="auto"/>
              <w:right w:val="single" w:sz="6" w:space="0" w:color="auto"/>
            </w:tcBorders>
          </w:tcPr>
          <w:p w14:paraId="064EAEAF" w14:textId="6F5C4032" w:rsidR="004E1691"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4" w:space="0" w:color="auto"/>
              <w:right w:val="single" w:sz="6"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4" w:space="0" w:color="auto"/>
              <w:right w:val="single" w:sz="6" w:space="0" w:color="auto"/>
            </w:tcBorders>
          </w:tcPr>
          <w:p w14:paraId="1C0216DF" w14:textId="498F121E" w:rsidR="004E1691" w:rsidRDefault="0071591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4" w:space="0" w:color="auto"/>
              <w:right w:val="single" w:sz="6"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468609F3" w14:textId="5A1D21DD" w:rsidR="004E1691"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4" w:space="0" w:color="auto"/>
              <w:right w:val="single" w:sz="6"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4" w:space="0" w:color="auto"/>
              <w:right w:val="single" w:sz="6" w:space="0" w:color="auto"/>
            </w:tcBorders>
          </w:tcPr>
          <w:p w14:paraId="595B19C4" w14:textId="24FD378A" w:rsidR="004E1691" w:rsidRDefault="00FF27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4" w:space="0" w:color="auto"/>
              <w:right w:val="single" w:sz="6"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4" w:space="0" w:color="auto"/>
              <w:right w:val="single" w:sz="6"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4" w:space="0" w:color="auto"/>
              <w:right w:val="single" w:sz="6"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4" w:space="0" w:color="auto"/>
              <w:right w:val="single" w:sz="6"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7216BA">
        <w:trPr>
          <w:gridAfter w:val="1"/>
          <w:wAfter w:w="11" w:type="dxa"/>
        </w:trPr>
        <w:tc>
          <w:tcPr>
            <w:tcW w:w="3190" w:type="dxa"/>
            <w:tcBorders>
              <w:top w:val="single" w:sz="4" w:space="0" w:color="auto"/>
              <w:left w:val="single" w:sz="6" w:space="0" w:color="auto"/>
              <w:bottom w:val="single" w:sz="6" w:space="0" w:color="auto"/>
              <w:right w:val="single" w:sz="6"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6" w:space="0" w:color="auto"/>
              <w:bottom w:val="single" w:sz="6" w:space="0" w:color="auto"/>
              <w:right w:val="single" w:sz="6"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6" w:space="0" w:color="auto"/>
              <w:bottom w:val="single" w:sz="6" w:space="0" w:color="auto"/>
              <w:right w:val="single" w:sz="6"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6" w:space="0" w:color="auto"/>
              <w:bottom w:val="single" w:sz="6" w:space="0" w:color="auto"/>
              <w:right w:val="single" w:sz="6"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6" w:space="0" w:color="auto"/>
              <w:bottom w:val="single" w:sz="6" w:space="0" w:color="auto"/>
              <w:right w:val="single" w:sz="6"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4" w:space="0" w:color="auto"/>
              <w:left w:val="single" w:sz="6" w:space="0" w:color="auto"/>
              <w:bottom w:val="single" w:sz="6" w:space="0" w:color="auto"/>
              <w:right w:val="single" w:sz="6"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6" w:space="0" w:color="auto"/>
              <w:bottom w:val="single" w:sz="6" w:space="0" w:color="auto"/>
              <w:right w:val="single" w:sz="6"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6" w:space="0" w:color="auto"/>
              <w:bottom w:val="single" w:sz="6" w:space="0" w:color="auto"/>
              <w:right w:val="single" w:sz="6"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6" w:space="0" w:color="auto"/>
              <w:bottom w:val="single" w:sz="6" w:space="0" w:color="auto"/>
              <w:right w:val="single" w:sz="6"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6" w:space="0" w:color="auto"/>
              <w:left w:val="single" w:sz="6" w:space="0" w:color="auto"/>
              <w:bottom w:val="single" w:sz="6" w:space="0" w:color="auto"/>
              <w:right w:val="single" w:sz="6"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6" w:space="0" w:color="auto"/>
              <w:left w:val="single" w:sz="6" w:space="0" w:color="auto"/>
              <w:bottom w:val="single" w:sz="6" w:space="0" w:color="auto"/>
              <w:right w:val="single" w:sz="6"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6" w:space="0" w:color="auto"/>
              <w:left w:val="single" w:sz="6" w:space="0" w:color="auto"/>
              <w:bottom w:val="single" w:sz="6" w:space="0" w:color="auto"/>
              <w:right w:val="single" w:sz="6"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6" w:space="0" w:color="auto"/>
              <w:left w:val="single" w:sz="6" w:space="0" w:color="auto"/>
              <w:bottom w:val="single" w:sz="6" w:space="0" w:color="auto"/>
              <w:right w:val="single" w:sz="6"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6" w:space="0" w:color="auto"/>
              <w:left w:val="single" w:sz="6" w:space="0" w:color="auto"/>
              <w:bottom w:val="single" w:sz="6" w:space="0" w:color="auto"/>
              <w:right w:val="single" w:sz="6"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6D8B8D" w14:textId="4AADA599" w:rsidR="001D165A" w:rsidRPr="007E2968" w:rsidRDefault="00C47A22" w:rsidP="00FD0762">
            <w:pPr>
              <w:rPr>
                <w:sz w:val="20"/>
              </w:rPr>
            </w:pPr>
            <w:r>
              <w:rPr>
                <w:sz w:val="20"/>
              </w:rPr>
              <w:t xml:space="preserve">Camilla </w:t>
            </w:r>
            <w:proofErr w:type="spellStart"/>
            <w:r>
              <w:rPr>
                <w:sz w:val="20"/>
              </w:rPr>
              <w:t>Mårtensen</w:t>
            </w:r>
            <w:proofErr w:type="spellEnd"/>
            <w:r w:rsidR="001D165A">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7216BA">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6" w:space="0" w:color="auto"/>
              <w:left w:val="single" w:sz="6" w:space="0" w:color="auto"/>
              <w:bottom w:val="single" w:sz="6" w:space="0" w:color="auto"/>
              <w:right w:val="single" w:sz="6"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8B61" w14:textId="77777777" w:rsidR="00FF2AE8" w:rsidRDefault="00FF2AE8" w:rsidP="002130F1">
      <w:r>
        <w:separator/>
      </w:r>
    </w:p>
  </w:endnote>
  <w:endnote w:type="continuationSeparator" w:id="0">
    <w:p w14:paraId="595A5933" w14:textId="77777777" w:rsidR="00FF2AE8" w:rsidRDefault="00FF2AE8"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92ED" w14:textId="77777777" w:rsidR="00FF2AE8" w:rsidRDefault="00FF2AE8" w:rsidP="002130F1">
      <w:r>
        <w:separator/>
      </w:r>
    </w:p>
  </w:footnote>
  <w:footnote w:type="continuationSeparator" w:id="0">
    <w:p w14:paraId="02BC18E8" w14:textId="77777777" w:rsidR="00FF2AE8" w:rsidRDefault="00FF2AE8"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1"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10"/>
  </w:num>
  <w:num w:numId="5">
    <w:abstractNumId w:val="2"/>
  </w:num>
  <w:num w:numId="6">
    <w:abstractNumId w:val="3"/>
  </w:num>
  <w:num w:numId="7">
    <w:abstractNumId w:val="1"/>
  </w:num>
  <w:num w:numId="8">
    <w:abstractNumId w:val="15"/>
  </w:num>
  <w:num w:numId="9">
    <w:abstractNumId w:val="16"/>
  </w:num>
  <w:num w:numId="10">
    <w:abstractNumId w:val="12"/>
  </w:num>
  <w:num w:numId="11">
    <w:abstractNumId w:val="8"/>
  </w:num>
  <w:num w:numId="12">
    <w:abstractNumId w:val="4"/>
  </w:num>
  <w:num w:numId="13">
    <w:abstractNumId w:val="13"/>
  </w:num>
  <w:num w:numId="14">
    <w:abstractNumId w:val="5"/>
  </w:num>
  <w:num w:numId="15">
    <w:abstractNumId w:val="6"/>
  </w:num>
  <w:num w:numId="16">
    <w:abstractNumId w:val="14"/>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E7"/>
    <w:rsid w:val="00030B7F"/>
    <w:rsid w:val="00031133"/>
    <w:rsid w:val="000319C2"/>
    <w:rsid w:val="00032D19"/>
    <w:rsid w:val="0003355B"/>
    <w:rsid w:val="0003414D"/>
    <w:rsid w:val="0003427E"/>
    <w:rsid w:val="00035407"/>
    <w:rsid w:val="00036024"/>
    <w:rsid w:val="0003709C"/>
    <w:rsid w:val="000401E7"/>
    <w:rsid w:val="00040301"/>
    <w:rsid w:val="00041F79"/>
    <w:rsid w:val="00042475"/>
    <w:rsid w:val="000424DB"/>
    <w:rsid w:val="000427D7"/>
    <w:rsid w:val="00043B99"/>
    <w:rsid w:val="000442DA"/>
    <w:rsid w:val="00044E80"/>
    <w:rsid w:val="00044F5A"/>
    <w:rsid w:val="00045281"/>
    <w:rsid w:val="00045A8A"/>
    <w:rsid w:val="00050A20"/>
    <w:rsid w:val="00052598"/>
    <w:rsid w:val="00052937"/>
    <w:rsid w:val="00053421"/>
    <w:rsid w:val="000536D9"/>
    <w:rsid w:val="0005439B"/>
    <w:rsid w:val="00054831"/>
    <w:rsid w:val="0005545D"/>
    <w:rsid w:val="000564A8"/>
    <w:rsid w:val="000569AB"/>
    <w:rsid w:val="00056A67"/>
    <w:rsid w:val="00060380"/>
    <w:rsid w:val="00061C55"/>
    <w:rsid w:val="0006202F"/>
    <w:rsid w:val="0006613C"/>
    <w:rsid w:val="00067448"/>
    <w:rsid w:val="0006776E"/>
    <w:rsid w:val="00067A33"/>
    <w:rsid w:val="000715BD"/>
    <w:rsid w:val="00071EB9"/>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2337"/>
    <w:rsid w:val="00093F5C"/>
    <w:rsid w:val="000941E8"/>
    <w:rsid w:val="0009483B"/>
    <w:rsid w:val="00094A63"/>
    <w:rsid w:val="00096F01"/>
    <w:rsid w:val="000A052E"/>
    <w:rsid w:val="000A094B"/>
    <w:rsid w:val="000A129A"/>
    <w:rsid w:val="000A13C3"/>
    <w:rsid w:val="000A200A"/>
    <w:rsid w:val="000A2CE1"/>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3377"/>
    <w:rsid w:val="000D40B2"/>
    <w:rsid w:val="000D4BDB"/>
    <w:rsid w:val="000D6392"/>
    <w:rsid w:val="000D666F"/>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E38"/>
    <w:rsid w:val="000F62A2"/>
    <w:rsid w:val="000F692D"/>
    <w:rsid w:val="0010025E"/>
    <w:rsid w:val="00100761"/>
    <w:rsid w:val="00100BB1"/>
    <w:rsid w:val="001012C4"/>
    <w:rsid w:val="00102850"/>
    <w:rsid w:val="00103B78"/>
    <w:rsid w:val="00103FCA"/>
    <w:rsid w:val="00104B70"/>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1BF"/>
    <w:rsid w:val="00197761"/>
    <w:rsid w:val="00197781"/>
    <w:rsid w:val="001A19D4"/>
    <w:rsid w:val="001A2B87"/>
    <w:rsid w:val="001A3165"/>
    <w:rsid w:val="001A3257"/>
    <w:rsid w:val="001A4184"/>
    <w:rsid w:val="001A4B24"/>
    <w:rsid w:val="001A5515"/>
    <w:rsid w:val="001A7140"/>
    <w:rsid w:val="001B04DF"/>
    <w:rsid w:val="001B0AEF"/>
    <w:rsid w:val="001B0F3C"/>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29F3"/>
    <w:rsid w:val="0020368B"/>
    <w:rsid w:val="0020387B"/>
    <w:rsid w:val="00203984"/>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1084"/>
    <w:rsid w:val="00241781"/>
    <w:rsid w:val="00241FF0"/>
    <w:rsid w:val="0024203D"/>
    <w:rsid w:val="00242D8C"/>
    <w:rsid w:val="00243F79"/>
    <w:rsid w:val="002443EF"/>
    <w:rsid w:val="00245505"/>
    <w:rsid w:val="00247064"/>
    <w:rsid w:val="00247BF2"/>
    <w:rsid w:val="0025002F"/>
    <w:rsid w:val="002516C7"/>
    <w:rsid w:val="002528F8"/>
    <w:rsid w:val="00253354"/>
    <w:rsid w:val="00253858"/>
    <w:rsid w:val="00253AD1"/>
    <w:rsid w:val="00255734"/>
    <w:rsid w:val="00256C9C"/>
    <w:rsid w:val="00257715"/>
    <w:rsid w:val="00257D2B"/>
    <w:rsid w:val="0026023A"/>
    <w:rsid w:val="00261CB9"/>
    <w:rsid w:val="00263B38"/>
    <w:rsid w:val="002644D4"/>
    <w:rsid w:val="00265027"/>
    <w:rsid w:val="00266857"/>
    <w:rsid w:val="00267CE1"/>
    <w:rsid w:val="00267EB1"/>
    <w:rsid w:val="00270F56"/>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C89"/>
    <w:rsid w:val="00302CA0"/>
    <w:rsid w:val="00303925"/>
    <w:rsid w:val="00304F56"/>
    <w:rsid w:val="003054F6"/>
    <w:rsid w:val="00305BEC"/>
    <w:rsid w:val="00305ED2"/>
    <w:rsid w:val="00306668"/>
    <w:rsid w:val="00306680"/>
    <w:rsid w:val="00307413"/>
    <w:rsid w:val="00307E10"/>
    <w:rsid w:val="00310EFE"/>
    <w:rsid w:val="00311C95"/>
    <w:rsid w:val="00312470"/>
    <w:rsid w:val="00312AA0"/>
    <w:rsid w:val="00313162"/>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5D1B"/>
    <w:rsid w:val="003569EB"/>
    <w:rsid w:val="00360156"/>
    <w:rsid w:val="00360512"/>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89B"/>
    <w:rsid w:val="003B4F9D"/>
    <w:rsid w:val="003B64D6"/>
    <w:rsid w:val="003B6520"/>
    <w:rsid w:val="003B6A6B"/>
    <w:rsid w:val="003B72FF"/>
    <w:rsid w:val="003B792B"/>
    <w:rsid w:val="003B7F4F"/>
    <w:rsid w:val="003C01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880"/>
    <w:rsid w:val="00400D3D"/>
    <w:rsid w:val="00403845"/>
    <w:rsid w:val="0040476C"/>
    <w:rsid w:val="00405A90"/>
    <w:rsid w:val="00405D42"/>
    <w:rsid w:val="00407018"/>
    <w:rsid w:val="00410E09"/>
    <w:rsid w:val="004110BF"/>
    <w:rsid w:val="004123D7"/>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7F79"/>
    <w:rsid w:val="00440513"/>
    <w:rsid w:val="00440A71"/>
    <w:rsid w:val="00441C92"/>
    <w:rsid w:val="00441F92"/>
    <w:rsid w:val="00443033"/>
    <w:rsid w:val="0044326A"/>
    <w:rsid w:val="00443A3C"/>
    <w:rsid w:val="004446A8"/>
    <w:rsid w:val="00444C32"/>
    <w:rsid w:val="0044542E"/>
    <w:rsid w:val="0044751B"/>
    <w:rsid w:val="0044770B"/>
    <w:rsid w:val="004531D2"/>
    <w:rsid w:val="00453A1B"/>
    <w:rsid w:val="004541EF"/>
    <w:rsid w:val="00454AB8"/>
    <w:rsid w:val="00454B1A"/>
    <w:rsid w:val="00456104"/>
    <w:rsid w:val="00456895"/>
    <w:rsid w:val="00457D11"/>
    <w:rsid w:val="004606D5"/>
    <w:rsid w:val="00461F9F"/>
    <w:rsid w:val="00463253"/>
    <w:rsid w:val="00466D16"/>
    <w:rsid w:val="00466FE2"/>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4E7"/>
    <w:rsid w:val="0048614E"/>
    <w:rsid w:val="00486ECA"/>
    <w:rsid w:val="0048740A"/>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706E"/>
    <w:rsid w:val="004B09AE"/>
    <w:rsid w:val="004B0DDC"/>
    <w:rsid w:val="004B12B6"/>
    <w:rsid w:val="004B12C1"/>
    <w:rsid w:val="004B1C51"/>
    <w:rsid w:val="004B215F"/>
    <w:rsid w:val="004B260F"/>
    <w:rsid w:val="004B333D"/>
    <w:rsid w:val="004B6A61"/>
    <w:rsid w:val="004B7D90"/>
    <w:rsid w:val="004C0612"/>
    <w:rsid w:val="004C16AC"/>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B8A"/>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7B"/>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7783"/>
    <w:rsid w:val="00527FE0"/>
    <w:rsid w:val="00533167"/>
    <w:rsid w:val="005332C9"/>
    <w:rsid w:val="0053358C"/>
    <w:rsid w:val="0053369E"/>
    <w:rsid w:val="00533EE5"/>
    <w:rsid w:val="00534A8F"/>
    <w:rsid w:val="00534B36"/>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21F"/>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9057B"/>
    <w:rsid w:val="00590786"/>
    <w:rsid w:val="00591D06"/>
    <w:rsid w:val="00592B67"/>
    <w:rsid w:val="00592C11"/>
    <w:rsid w:val="00592E14"/>
    <w:rsid w:val="00593E7E"/>
    <w:rsid w:val="00594389"/>
    <w:rsid w:val="00594C5F"/>
    <w:rsid w:val="00595B59"/>
    <w:rsid w:val="0059689F"/>
    <w:rsid w:val="00597A95"/>
    <w:rsid w:val="005A083F"/>
    <w:rsid w:val="005A0B16"/>
    <w:rsid w:val="005A0CF3"/>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3C6"/>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6024"/>
    <w:rsid w:val="005E631B"/>
    <w:rsid w:val="005E6C08"/>
    <w:rsid w:val="005E7551"/>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26B4"/>
    <w:rsid w:val="00604293"/>
    <w:rsid w:val="00604400"/>
    <w:rsid w:val="0060455C"/>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35C4B"/>
    <w:rsid w:val="006375C2"/>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77E1"/>
    <w:rsid w:val="006C0F9A"/>
    <w:rsid w:val="006C1585"/>
    <w:rsid w:val="006C17F9"/>
    <w:rsid w:val="006C1F0D"/>
    <w:rsid w:val="006C3067"/>
    <w:rsid w:val="006C3ADA"/>
    <w:rsid w:val="006C4B9F"/>
    <w:rsid w:val="006C5854"/>
    <w:rsid w:val="006C68DD"/>
    <w:rsid w:val="006C7B6B"/>
    <w:rsid w:val="006D05D3"/>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591F"/>
    <w:rsid w:val="00716AAE"/>
    <w:rsid w:val="007171A5"/>
    <w:rsid w:val="00720924"/>
    <w:rsid w:val="0072119B"/>
    <w:rsid w:val="007216BA"/>
    <w:rsid w:val="00721D54"/>
    <w:rsid w:val="0072255C"/>
    <w:rsid w:val="007229F0"/>
    <w:rsid w:val="00722AE3"/>
    <w:rsid w:val="00723D2E"/>
    <w:rsid w:val="007242CC"/>
    <w:rsid w:val="00725833"/>
    <w:rsid w:val="00725D72"/>
    <w:rsid w:val="0072640B"/>
    <w:rsid w:val="00726CFA"/>
    <w:rsid w:val="007276F4"/>
    <w:rsid w:val="007278D7"/>
    <w:rsid w:val="00727AF8"/>
    <w:rsid w:val="0073165B"/>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D7C"/>
    <w:rsid w:val="00775EB8"/>
    <w:rsid w:val="007763E9"/>
    <w:rsid w:val="00776992"/>
    <w:rsid w:val="00777079"/>
    <w:rsid w:val="0077731E"/>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7CB"/>
    <w:rsid w:val="007B0B98"/>
    <w:rsid w:val="007B0E2D"/>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893"/>
    <w:rsid w:val="007F1B8A"/>
    <w:rsid w:val="007F2B4F"/>
    <w:rsid w:val="007F375B"/>
    <w:rsid w:val="007F3CB9"/>
    <w:rsid w:val="007F3EBF"/>
    <w:rsid w:val="007F3FE4"/>
    <w:rsid w:val="007F406C"/>
    <w:rsid w:val="007F43FE"/>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50FA"/>
    <w:rsid w:val="00825DB9"/>
    <w:rsid w:val="008268A4"/>
    <w:rsid w:val="00827662"/>
    <w:rsid w:val="008304CE"/>
    <w:rsid w:val="00831F2D"/>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24B"/>
    <w:rsid w:val="0087455C"/>
    <w:rsid w:val="00874E53"/>
    <w:rsid w:val="00875307"/>
    <w:rsid w:val="008755DD"/>
    <w:rsid w:val="00875A96"/>
    <w:rsid w:val="00876492"/>
    <w:rsid w:val="00876913"/>
    <w:rsid w:val="00876D3E"/>
    <w:rsid w:val="00880882"/>
    <w:rsid w:val="00880DF6"/>
    <w:rsid w:val="00880F61"/>
    <w:rsid w:val="00881EA5"/>
    <w:rsid w:val="008822B7"/>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114A"/>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37A6"/>
    <w:rsid w:val="008C4947"/>
    <w:rsid w:val="008C4999"/>
    <w:rsid w:val="008C4FD1"/>
    <w:rsid w:val="008C5385"/>
    <w:rsid w:val="008C57B9"/>
    <w:rsid w:val="008C59A1"/>
    <w:rsid w:val="008C607E"/>
    <w:rsid w:val="008C68A5"/>
    <w:rsid w:val="008C6CC5"/>
    <w:rsid w:val="008C7DC4"/>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2F4C"/>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459"/>
    <w:rsid w:val="0091742B"/>
    <w:rsid w:val="00920FCA"/>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EFE"/>
    <w:rsid w:val="00945F30"/>
    <w:rsid w:val="00945FAF"/>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6202"/>
    <w:rsid w:val="00986A35"/>
    <w:rsid w:val="009906F2"/>
    <w:rsid w:val="00993231"/>
    <w:rsid w:val="00993873"/>
    <w:rsid w:val="009940A2"/>
    <w:rsid w:val="009940E9"/>
    <w:rsid w:val="00994329"/>
    <w:rsid w:val="00994AA3"/>
    <w:rsid w:val="00994ECE"/>
    <w:rsid w:val="009966D6"/>
    <w:rsid w:val="009A1763"/>
    <w:rsid w:val="009A1A9C"/>
    <w:rsid w:val="009A1BFD"/>
    <w:rsid w:val="009A26AA"/>
    <w:rsid w:val="009A5B64"/>
    <w:rsid w:val="009A60B5"/>
    <w:rsid w:val="009A62F0"/>
    <w:rsid w:val="009A62F8"/>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C23"/>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F01"/>
    <w:rsid w:val="00A2705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11B"/>
    <w:rsid w:val="00A63874"/>
    <w:rsid w:val="00A64150"/>
    <w:rsid w:val="00A642E5"/>
    <w:rsid w:val="00A64789"/>
    <w:rsid w:val="00A6563E"/>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1CCE"/>
    <w:rsid w:val="00AA21BD"/>
    <w:rsid w:val="00AA2DEF"/>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2C28"/>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3138"/>
    <w:rsid w:val="00B3356F"/>
    <w:rsid w:val="00B338B9"/>
    <w:rsid w:val="00B35D99"/>
    <w:rsid w:val="00B371CD"/>
    <w:rsid w:val="00B37289"/>
    <w:rsid w:val="00B37318"/>
    <w:rsid w:val="00B3779E"/>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41A3"/>
    <w:rsid w:val="00B6555F"/>
    <w:rsid w:val="00B65826"/>
    <w:rsid w:val="00B66664"/>
    <w:rsid w:val="00B66723"/>
    <w:rsid w:val="00B670B4"/>
    <w:rsid w:val="00B67165"/>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58DF"/>
    <w:rsid w:val="00C463B5"/>
    <w:rsid w:val="00C4757F"/>
    <w:rsid w:val="00C47A1D"/>
    <w:rsid w:val="00C47A22"/>
    <w:rsid w:val="00C47C63"/>
    <w:rsid w:val="00C50B34"/>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F02"/>
    <w:rsid w:val="00C73EBF"/>
    <w:rsid w:val="00C74A2D"/>
    <w:rsid w:val="00C75056"/>
    <w:rsid w:val="00C7540A"/>
    <w:rsid w:val="00C75BD7"/>
    <w:rsid w:val="00C75ECE"/>
    <w:rsid w:val="00C76190"/>
    <w:rsid w:val="00C77557"/>
    <w:rsid w:val="00C776FC"/>
    <w:rsid w:val="00C8032C"/>
    <w:rsid w:val="00C80F07"/>
    <w:rsid w:val="00C8161B"/>
    <w:rsid w:val="00C824B8"/>
    <w:rsid w:val="00C82878"/>
    <w:rsid w:val="00C83BA0"/>
    <w:rsid w:val="00C856BA"/>
    <w:rsid w:val="00C861F4"/>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2965"/>
    <w:rsid w:val="00CE3C3B"/>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36D3D"/>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36F5"/>
    <w:rsid w:val="00D55234"/>
    <w:rsid w:val="00D554B4"/>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4267"/>
    <w:rsid w:val="00DA4308"/>
    <w:rsid w:val="00DA4F9A"/>
    <w:rsid w:val="00DA5A31"/>
    <w:rsid w:val="00DA7002"/>
    <w:rsid w:val="00DB1AE5"/>
    <w:rsid w:val="00DB28EE"/>
    <w:rsid w:val="00DB4445"/>
    <w:rsid w:val="00DB5BD3"/>
    <w:rsid w:val="00DB7849"/>
    <w:rsid w:val="00DB79BF"/>
    <w:rsid w:val="00DB79DB"/>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783"/>
    <w:rsid w:val="00DF0395"/>
    <w:rsid w:val="00DF0770"/>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45F9E"/>
    <w:rsid w:val="00E460F6"/>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80DEC"/>
    <w:rsid w:val="00E818C0"/>
    <w:rsid w:val="00E82448"/>
    <w:rsid w:val="00E83BD3"/>
    <w:rsid w:val="00E83C14"/>
    <w:rsid w:val="00E8434D"/>
    <w:rsid w:val="00E84C9B"/>
    <w:rsid w:val="00E856B7"/>
    <w:rsid w:val="00E85EF0"/>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7534"/>
    <w:rsid w:val="00EC06B7"/>
    <w:rsid w:val="00EC0BB8"/>
    <w:rsid w:val="00EC1072"/>
    <w:rsid w:val="00EC139E"/>
    <w:rsid w:val="00EC2F92"/>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8C1"/>
    <w:rsid w:val="00EE497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17837"/>
    <w:rsid w:val="00F21135"/>
    <w:rsid w:val="00F21733"/>
    <w:rsid w:val="00F21A13"/>
    <w:rsid w:val="00F2235F"/>
    <w:rsid w:val="00F2241D"/>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7641"/>
    <w:rsid w:val="00F71145"/>
    <w:rsid w:val="00F717BD"/>
    <w:rsid w:val="00F722A8"/>
    <w:rsid w:val="00F72DB1"/>
    <w:rsid w:val="00F73627"/>
    <w:rsid w:val="00F740CF"/>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B23"/>
    <w:rsid w:val="00FD0D99"/>
    <w:rsid w:val="00FD17CD"/>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10BB"/>
    <w:rsid w:val="00FF12AD"/>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439"/>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1446</Words>
  <Characters>9301</Characters>
  <Application>Microsoft Office Word</Application>
  <DocSecurity>0</DocSecurity>
  <Lines>1162</Lines>
  <Paragraphs>262</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2025-03-25T14:20:00Z</cp:lastPrinted>
  <dcterms:created xsi:type="dcterms:W3CDTF">2025-04-03T11:03:00Z</dcterms:created>
  <dcterms:modified xsi:type="dcterms:W3CDTF">2025-04-03T11:03:00Z</dcterms:modified>
</cp:coreProperties>
</file>