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bookmarkStart w:id="0" w:name="_GoBack"/>
      <w:bookmarkEnd w:id="0"/>
    </w:p>
    <w:p w:rsidR="00D27C50" w:rsidRDefault="00D27C50"/>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83501D">
              <w:rPr>
                <w:b/>
              </w:rPr>
              <w:t>7</w:t>
            </w:r>
            <w:r w:rsidR="00C866DE">
              <w:rPr>
                <w:b/>
              </w:rPr>
              <w:t>/1</w:t>
            </w:r>
            <w:r w:rsidR="0083501D">
              <w:rPr>
                <w:b/>
              </w:rPr>
              <w:t>8</w:t>
            </w:r>
            <w:r w:rsidR="00520D71">
              <w:rPr>
                <w:b/>
              </w:rPr>
              <w:t>:</w:t>
            </w:r>
            <w:r w:rsidR="007746F3">
              <w:rPr>
                <w:b/>
              </w:rPr>
              <w:t>40</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BC55EE">
            <w:r>
              <w:t>201</w:t>
            </w:r>
            <w:r w:rsidR="00F816D5">
              <w:t>8</w:t>
            </w:r>
            <w:r w:rsidR="00520D71">
              <w:t>-</w:t>
            </w:r>
            <w:r w:rsidR="007746F3">
              <w:t>08</w:t>
            </w:r>
            <w:r w:rsidR="00520D71">
              <w:t>-</w:t>
            </w:r>
            <w:r w:rsidR="007746F3">
              <w:t>09</w:t>
            </w:r>
          </w:p>
        </w:tc>
      </w:tr>
      <w:tr w:rsidR="00447E69">
        <w:tc>
          <w:tcPr>
            <w:tcW w:w="1985" w:type="dxa"/>
          </w:tcPr>
          <w:p w:rsidR="00447E69" w:rsidRDefault="00447E69">
            <w:r>
              <w:t>TID</w:t>
            </w:r>
          </w:p>
        </w:tc>
        <w:tc>
          <w:tcPr>
            <w:tcW w:w="6463" w:type="dxa"/>
          </w:tcPr>
          <w:p w:rsidR="00447E69" w:rsidRDefault="007746F3" w:rsidP="005C7833">
            <w:r>
              <w:t>13</w:t>
            </w:r>
            <w:r w:rsidR="00BF5F58">
              <w:t>:</w:t>
            </w:r>
            <w:r w:rsidR="00B2693D">
              <w:t>00</w:t>
            </w:r>
            <w:r w:rsidR="00FA543D">
              <w:t>–</w:t>
            </w:r>
            <w:r w:rsidR="0008083C">
              <w:t>14.05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3B4DE8" w:rsidTr="00ED7D7F">
        <w:tc>
          <w:tcPr>
            <w:tcW w:w="567" w:type="dxa"/>
          </w:tcPr>
          <w:p w:rsidR="003B4DE8" w:rsidRPr="003B4DE8" w:rsidRDefault="003B4DE8" w:rsidP="003B4DE8">
            <w:pPr>
              <w:pStyle w:val="Liststycke"/>
              <w:numPr>
                <w:ilvl w:val="0"/>
                <w:numId w:val="2"/>
              </w:numPr>
              <w:tabs>
                <w:tab w:val="left" w:pos="1701"/>
              </w:tabs>
              <w:rPr>
                <w:b/>
                <w:snapToGrid w:val="0"/>
              </w:rPr>
            </w:pPr>
          </w:p>
        </w:tc>
        <w:tc>
          <w:tcPr>
            <w:tcW w:w="6947" w:type="dxa"/>
            <w:gridSpan w:val="2"/>
          </w:tcPr>
          <w:p w:rsidR="00D27C50" w:rsidRDefault="00FA3460" w:rsidP="00FA3460">
            <w:pPr>
              <w:tabs>
                <w:tab w:val="left" w:pos="1701"/>
              </w:tabs>
              <w:rPr>
                <w:bCs/>
                <w:color w:val="000000"/>
                <w:szCs w:val="24"/>
              </w:rPr>
            </w:pPr>
            <w:r>
              <w:rPr>
                <w:b/>
                <w:bCs/>
                <w:color w:val="000000"/>
                <w:szCs w:val="24"/>
              </w:rPr>
              <w:t xml:space="preserve">EU-överläggning </w:t>
            </w:r>
            <w:r w:rsidRPr="00FA3460">
              <w:rPr>
                <w:b/>
                <w:bCs/>
                <w:color w:val="000000"/>
                <w:szCs w:val="24"/>
              </w:rPr>
              <w:t xml:space="preserve">om </w:t>
            </w:r>
            <w:r w:rsidR="007746F3" w:rsidRPr="007746F3">
              <w:rPr>
                <w:b/>
                <w:bCs/>
                <w:color w:val="000000"/>
                <w:szCs w:val="24"/>
              </w:rPr>
              <w:t>Erasmus: Unionens program för utbildning, ungdom och idrott</w:t>
            </w:r>
            <w:r w:rsidRPr="00FA3460">
              <w:rPr>
                <w:b/>
                <w:bCs/>
                <w:color w:val="000000"/>
                <w:szCs w:val="24"/>
              </w:rPr>
              <w:br/>
            </w:r>
          </w:p>
          <w:p w:rsidR="00FA3460" w:rsidRPr="00FA3460" w:rsidRDefault="00FA3460" w:rsidP="00FA3460">
            <w:pPr>
              <w:tabs>
                <w:tab w:val="left" w:pos="1701"/>
              </w:tabs>
              <w:rPr>
                <w:b/>
                <w:snapToGrid w:val="0"/>
              </w:rPr>
            </w:pPr>
            <w:r>
              <w:rPr>
                <w:bCs/>
                <w:color w:val="000000"/>
                <w:szCs w:val="24"/>
              </w:rPr>
              <w:t xml:space="preserve">Utskottet överlade med </w:t>
            </w:r>
            <w:r w:rsidR="00117D8D">
              <w:rPr>
                <w:bCs/>
                <w:color w:val="000000"/>
                <w:szCs w:val="24"/>
              </w:rPr>
              <w:t>statssekreteraren Malin Cederfeldt Östberg,</w:t>
            </w:r>
            <w:r>
              <w:rPr>
                <w:bCs/>
                <w:color w:val="000000"/>
                <w:szCs w:val="24"/>
              </w:rPr>
              <w:t xml:space="preserve"> d</w:t>
            </w:r>
            <w:r w:rsidRPr="00FA3460">
              <w:rPr>
                <w:bCs/>
                <w:color w:val="000000"/>
                <w:szCs w:val="24"/>
              </w:rPr>
              <w:t xml:space="preserve">epartementssekreteraren </w:t>
            </w:r>
            <w:r w:rsidR="00862393">
              <w:rPr>
                <w:bCs/>
                <w:color w:val="000000"/>
                <w:szCs w:val="24"/>
              </w:rPr>
              <w:t>Per Rosenblad</w:t>
            </w:r>
            <w:r>
              <w:rPr>
                <w:bCs/>
                <w:color w:val="000000"/>
                <w:szCs w:val="24"/>
              </w:rPr>
              <w:t xml:space="preserve"> och</w:t>
            </w:r>
            <w:r w:rsidRPr="00FA3460">
              <w:rPr>
                <w:bCs/>
                <w:color w:val="000000"/>
                <w:szCs w:val="24"/>
              </w:rPr>
              <w:t xml:space="preserve"> </w:t>
            </w:r>
            <w:r w:rsidR="00862393">
              <w:rPr>
                <w:bCs/>
                <w:color w:val="000000"/>
                <w:szCs w:val="24"/>
              </w:rPr>
              <w:t>politiskt sakkunnige Jenni Larsson,</w:t>
            </w:r>
            <w:r>
              <w:rPr>
                <w:bCs/>
                <w:color w:val="000000"/>
                <w:szCs w:val="24"/>
              </w:rPr>
              <w:t xml:space="preserve"> </w:t>
            </w:r>
            <w:r w:rsidRPr="00FA3460">
              <w:rPr>
                <w:bCs/>
                <w:color w:val="000000"/>
                <w:szCs w:val="24"/>
              </w:rPr>
              <w:t>samtliga från Utbildningsdepartementet</w:t>
            </w:r>
            <w:r>
              <w:rPr>
                <w:bCs/>
                <w:color w:val="000000"/>
                <w:szCs w:val="24"/>
              </w:rPr>
              <w:t xml:space="preserve">, om </w:t>
            </w:r>
            <w:r w:rsidR="007746F3">
              <w:rPr>
                <w:bCs/>
                <w:color w:val="000000"/>
                <w:szCs w:val="24"/>
              </w:rPr>
              <w:t xml:space="preserve">Erasmus. </w:t>
            </w:r>
            <w:r>
              <w:rPr>
                <w:bCs/>
                <w:color w:val="000000"/>
                <w:szCs w:val="24"/>
              </w:rPr>
              <w:br/>
            </w:r>
            <w:r>
              <w:rPr>
                <w:bCs/>
                <w:color w:val="000000"/>
                <w:szCs w:val="24"/>
              </w:rPr>
              <w:br/>
            </w:r>
            <w:r w:rsidRPr="00FA3460">
              <w:rPr>
                <w:i/>
                <w:snapToGrid w:val="0"/>
              </w:rPr>
              <w:t>Underlag för överläggningen</w:t>
            </w:r>
          </w:p>
          <w:p w:rsidR="00FA3460" w:rsidRPr="00FA3460" w:rsidRDefault="007746F3" w:rsidP="00FA3460">
            <w:pPr>
              <w:tabs>
                <w:tab w:val="left" w:pos="1701"/>
              </w:tabs>
              <w:rPr>
                <w:b/>
                <w:snapToGrid w:val="0"/>
              </w:rPr>
            </w:pPr>
            <w:r w:rsidRPr="007746F3">
              <w:rPr>
                <w:snapToGrid w:val="0"/>
              </w:rPr>
              <w:t>Faktapromemoria från Utbildningsdepartementet 2017/18:FPM136</w:t>
            </w:r>
            <w:r>
              <w:rPr>
                <w:snapToGrid w:val="0"/>
              </w:rPr>
              <w:br/>
            </w:r>
          </w:p>
          <w:p w:rsidR="00FA3460" w:rsidRPr="00FA3460" w:rsidRDefault="00FA3460" w:rsidP="00FA3460">
            <w:pPr>
              <w:tabs>
                <w:tab w:val="left" w:pos="1701"/>
              </w:tabs>
              <w:rPr>
                <w:i/>
                <w:snapToGrid w:val="0"/>
              </w:rPr>
            </w:pPr>
            <w:r w:rsidRPr="00FA3460">
              <w:rPr>
                <w:i/>
                <w:snapToGrid w:val="0"/>
              </w:rPr>
              <w:t>Regeringens förslag till svensk ståndpunkt</w:t>
            </w:r>
          </w:p>
          <w:p w:rsidR="007746F3" w:rsidRPr="007746F3" w:rsidRDefault="007746F3" w:rsidP="007746F3">
            <w:pPr>
              <w:tabs>
                <w:tab w:val="left" w:pos="1701"/>
              </w:tabs>
              <w:rPr>
                <w:snapToGrid w:val="0"/>
              </w:rPr>
            </w:pPr>
            <w:r w:rsidRPr="007746F3">
              <w:rPr>
                <w:snapToGrid w:val="0"/>
              </w:rPr>
              <w:t>Regeringens vägledande position i förhandlingen om nästa fleråriga budgetram är att storleken på EU-budgeten behöver minska väsentligt till följd av att Storbritannien lämnar unionen. Detta betyder bl.a. att regeringen förespråkar betydande neddragningar som alla program bör bidra till. Detta i linje med regeringens övergripande prioritering, såsom de redovisas i Faktapromemoria 2017/18:FPM99. Den fleråriga budgetramen 2021–2027. Områden som kan prioriteras ned behöver identifieras.</w:t>
            </w:r>
          </w:p>
          <w:p w:rsidR="007746F3" w:rsidRPr="007746F3" w:rsidRDefault="007746F3" w:rsidP="007746F3">
            <w:pPr>
              <w:tabs>
                <w:tab w:val="left" w:pos="1701"/>
              </w:tabs>
              <w:rPr>
                <w:snapToGrid w:val="0"/>
              </w:rPr>
            </w:pPr>
          </w:p>
          <w:p w:rsidR="007746F3" w:rsidRPr="007746F3" w:rsidRDefault="007746F3" w:rsidP="007746F3">
            <w:pPr>
              <w:tabs>
                <w:tab w:val="left" w:pos="1701"/>
              </w:tabs>
              <w:rPr>
                <w:snapToGrid w:val="0"/>
              </w:rPr>
            </w:pPr>
            <w:r w:rsidRPr="007746F3">
              <w:rPr>
                <w:snapToGrid w:val="0"/>
              </w:rPr>
              <w:t>Ytterligare mål för regeringen i förhandlingen om nästa fleråriga budgetram är dels en modernisering av utgiftsstrukturen, som uppnås genom såväl en minskad utgiftsnivå som omprioriteringar, dels en oförändrad svensk bruttoavgift.</w:t>
            </w:r>
          </w:p>
          <w:p w:rsidR="007746F3" w:rsidRPr="007746F3" w:rsidRDefault="007746F3" w:rsidP="007746F3">
            <w:pPr>
              <w:tabs>
                <w:tab w:val="left" w:pos="1701"/>
              </w:tabs>
              <w:rPr>
                <w:snapToGrid w:val="0"/>
              </w:rPr>
            </w:pPr>
          </w:p>
          <w:p w:rsidR="007746F3" w:rsidRPr="007746F3" w:rsidRDefault="000724C3" w:rsidP="007746F3">
            <w:pPr>
              <w:tabs>
                <w:tab w:val="left" w:pos="1701"/>
              </w:tabs>
              <w:rPr>
                <w:snapToGrid w:val="0"/>
              </w:rPr>
            </w:pPr>
            <w:r>
              <w:rPr>
                <w:snapToGrid w:val="0"/>
              </w:rPr>
              <w:t>Regeringen</w:t>
            </w:r>
            <w:r w:rsidR="007746F3" w:rsidRPr="007746F3">
              <w:rPr>
                <w:snapToGrid w:val="0"/>
              </w:rPr>
              <w:t xml:space="preserve"> avser att i ett senare skede utveckla den svenska ståndpunkten och då tydligare redovisa vilka områden som bör prioriteras ned och vilka områden som ska värnas.</w:t>
            </w:r>
          </w:p>
          <w:p w:rsidR="007746F3" w:rsidRPr="007746F3" w:rsidRDefault="007746F3" w:rsidP="007746F3">
            <w:pPr>
              <w:tabs>
                <w:tab w:val="left" w:pos="1701"/>
              </w:tabs>
              <w:rPr>
                <w:snapToGrid w:val="0"/>
              </w:rPr>
            </w:pPr>
          </w:p>
          <w:p w:rsidR="007746F3" w:rsidRPr="007746F3" w:rsidRDefault="007746F3" w:rsidP="007746F3">
            <w:pPr>
              <w:tabs>
                <w:tab w:val="left" w:pos="1701"/>
              </w:tabs>
              <w:rPr>
                <w:snapToGrid w:val="0"/>
              </w:rPr>
            </w:pPr>
            <w:r w:rsidRPr="007746F3">
              <w:rPr>
                <w:snapToGrid w:val="0"/>
              </w:rPr>
              <w:t>Regeringen välkomnar att det kommande programmet fasas in mot de strategidokument som är relevanta för programmet samt den prioritering av grupper och individer med färre möjligheter som föreslås.</w:t>
            </w:r>
          </w:p>
          <w:p w:rsidR="007746F3" w:rsidRPr="007746F3" w:rsidRDefault="007746F3" w:rsidP="007746F3">
            <w:pPr>
              <w:tabs>
                <w:tab w:val="left" w:pos="1701"/>
              </w:tabs>
              <w:rPr>
                <w:snapToGrid w:val="0"/>
              </w:rPr>
            </w:pPr>
          </w:p>
          <w:p w:rsidR="007746F3" w:rsidRPr="007746F3" w:rsidRDefault="007746F3" w:rsidP="007746F3">
            <w:pPr>
              <w:tabs>
                <w:tab w:val="left" w:pos="1701"/>
              </w:tabs>
              <w:rPr>
                <w:snapToGrid w:val="0"/>
              </w:rPr>
            </w:pPr>
            <w:r w:rsidRPr="007746F3">
              <w:rPr>
                <w:snapToGrid w:val="0"/>
              </w:rPr>
              <w:t xml:space="preserve">Det är enligt regeringen angeläget att det i programmet tydliggörs att utgångspunkten för lärandemobilitet är att höja kvaliteten i utbildningen. Det är därför viktigt att det kommande programmet understödjer ett långsiktigt och systematiskt samarbete på </w:t>
            </w:r>
            <w:r w:rsidRPr="007746F3">
              <w:rPr>
                <w:snapToGrid w:val="0"/>
              </w:rPr>
              <w:lastRenderedPageBreak/>
              <w:t>institutionell nivå.</w:t>
            </w:r>
          </w:p>
          <w:p w:rsidR="007746F3" w:rsidRPr="007746F3" w:rsidRDefault="007746F3" w:rsidP="007746F3">
            <w:pPr>
              <w:tabs>
                <w:tab w:val="left" w:pos="1701"/>
              </w:tabs>
              <w:rPr>
                <w:snapToGrid w:val="0"/>
              </w:rPr>
            </w:pPr>
          </w:p>
          <w:p w:rsidR="00FA3460" w:rsidRDefault="007746F3" w:rsidP="007746F3">
            <w:pPr>
              <w:tabs>
                <w:tab w:val="left" w:pos="1701"/>
              </w:tabs>
              <w:rPr>
                <w:snapToGrid w:val="0"/>
              </w:rPr>
            </w:pPr>
            <w:r w:rsidRPr="007746F3">
              <w:rPr>
                <w:snapToGrid w:val="0"/>
              </w:rPr>
              <w:t>Regeringens åsikt är att administrationen och kontrollfunktionerna av programmet måste förenklas.</w:t>
            </w:r>
          </w:p>
          <w:p w:rsidR="007746F3" w:rsidRPr="00FA3460" w:rsidRDefault="007746F3" w:rsidP="007746F3">
            <w:pPr>
              <w:tabs>
                <w:tab w:val="left" w:pos="1701"/>
              </w:tabs>
              <w:rPr>
                <w:i/>
                <w:snapToGrid w:val="0"/>
              </w:rPr>
            </w:pPr>
          </w:p>
          <w:p w:rsidR="00FA3460" w:rsidRPr="00FA3460" w:rsidRDefault="00FA3460" w:rsidP="00FA3460">
            <w:pPr>
              <w:tabs>
                <w:tab w:val="left" w:pos="1701"/>
              </w:tabs>
              <w:rPr>
                <w:i/>
                <w:snapToGrid w:val="0"/>
              </w:rPr>
            </w:pPr>
            <w:r w:rsidRPr="00FA3460">
              <w:rPr>
                <w:i/>
                <w:snapToGrid w:val="0"/>
              </w:rPr>
              <w:t>Utskottet</w:t>
            </w:r>
          </w:p>
          <w:p w:rsidR="00FA3460" w:rsidRPr="0008083C" w:rsidRDefault="00FA3460" w:rsidP="00FA3460">
            <w:pPr>
              <w:tabs>
                <w:tab w:val="left" w:pos="1701"/>
              </w:tabs>
              <w:rPr>
                <w:snapToGrid w:val="0"/>
              </w:rPr>
            </w:pPr>
            <w:r w:rsidRPr="0008083C">
              <w:rPr>
                <w:snapToGrid w:val="0"/>
              </w:rPr>
              <w:t xml:space="preserve">Ordföranden konstaterade att det finns stöd i utskottet för regeringens ståndpunkt då det inte fanns något ytterligare att tillägga till ståndpunkten. </w:t>
            </w:r>
          </w:p>
          <w:p w:rsidR="00FA3460" w:rsidRPr="0008083C" w:rsidRDefault="00FA3460" w:rsidP="00FA3460">
            <w:pPr>
              <w:tabs>
                <w:tab w:val="left" w:pos="1701"/>
              </w:tabs>
              <w:rPr>
                <w:snapToGrid w:val="0"/>
              </w:rPr>
            </w:pPr>
          </w:p>
          <w:p w:rsidR="003B4DE8" w:rsidRPr="00FA3460" w:rsidRDefault="00FA3460" w:rsidP="00FA3460">
            <w:pPr>
              <w:tabs>
                <w:tab w:val="left" w:pos="1701"/>
              </w:tabs>
              <w:rPr>
                <w:snapToGrid w:val="0"/>
              </w:rPr>
            </w:pPr>
            <w:r w:rsidRPr="0008083C">
              <w:rPr>
                <w:snapToGrid w:val="0"/>
              </w:rPr>
              <w:t>Denna paragraf förklarades omedelbart justerad.</w:t>
            </w:r>
          </w:p>
          <w:p w:rsidR="00BC55EE" w:rsidRDefault="00BC55EE">
            <w:pPr>
              <w:tabs>
                <w:tab w:val="left" w:pos="1701"/>
              </w:tabs>
              <w:rPr>
                <w:b/>
                <w:snapToGrid w:val="0"/>
              </w:rPr>
            </w:pPr>
          </w:p>
        </w:tc>
      </w:tr>
      <w:tr w:rsidR="00FA3460" w:rsidTr="00ED7D7F">
        <w:tc>
          <w:tcPr>
            <w:tcW w:w="567" w:type="dxa"/>
          </w:tcPr>
          <w:p w:rsidR="00FA3460" w:rsidRPr="003B4DE8" w:rsidRDefault="00FA3460" w:rsidP="003B4DE8">
            <w:pPr>
              <w:pStyle w:val="Liststycke"/>
              <w:numPr>
                <w:ilvl w:val="0"/>
                <w:numId w:val="2"/>
              </w:numPr>
              <w:tabs>
                <w:tab w:val="left" w:pos="1701"/>
              </w:tabs>
              <w:rPr>
                <w:b/>
                <w:snapToGrid w:val="0"/>
              </w:rPr>
            </w:pPr>
          </w:p>
        </w:tc>
        <w:tc>
          <w:tcPr>
            <w:tcW w:w="6947" w:type="dxa"/>
            <w:gridSpan w:val="2"/>
          </w:tcPr>
          <w:p w:rsidR="00D27C50" w:rsidRDefault="00FA3460" w:rsidP="00FA3460">
            <w:pPr>
              <w:tabs>
                <w:tab w:val="left" w:pos="1701"/>
              </w:tabs>
              <w:rPr>
                <w:bCs/>
                <w:color w:val="000000"/>
                <w:szCs w:val="24"/>
              </w:rPr>
            </w:pPr>
            <w:r>
              <w:rPr>
                <w:b/>
                <w:bCs/>
                <w:color w:val="000000"/>
                <w:szCs w:val="24"/>
              </w:rPr>
              <w:t xml:space="preserve">EU-överläggning </w:t>
            </w:r>
            <w:r w:rsidRPr="002436BC">
              <w:rPr>
                <w:rFonts w:eastAsiaTheme="minorHAnsi"/>
                <w:b/>
                <w:bCs/>
                <w:color w:val="000000"/>
                <w:szCs w:val="24"/>
                <w:lang w:eastAsia="en-US"/>
              </w:rPr>
              <w:t xml:space="preserve">om </w:t>
            </w:r>
            <w:r w:rsidR="007746F3" w:rsidRPr="007746F3">
              <w:rPr>
                <w:rFonts w:eastAsiaTheme="minorHAnsi"/>
                <w:b/>
                <w:bCs/>
                <w:color w:val="000000"/>
                <w:szCs w:val="24"/>
                <w:lang w:eastAsia="en-US"/>
              </w:rPr>
              <w:t>Horisont Europa</w:t>
            </w:r>
            <w:r w:rsidRPr="00FA3460">
              <w:rPr>
                <w:b/>
                <w:bCs/>
                <w:color w:val="000000"/>
                <w:szCs w:val="24"/>
              </w:rPr>
              <w:br/>
            </w:r>
          </w:p>
          <w:p w:rsidR="00FA3460" w:rsidRPr="00FA3460" w:rsidRDefault="007746F3" w:rsidP="00FA3460">
            <w:pPr>
              <w:tabs>
                <w:tab w:val="left" w:pos="1701"/>
              </w:tabs>
              <w:rPr>
                <w:b/>
                <w:snapToGrid w:val="0"/>
              </w:rPr>
            </w:pPr>
            <w:r w:rsidRPr="007746F3">
              <w:rPr>
                <w:bCs/>
                <w:color w:val="000000"/>
                <w:szCs w:val="24"/>
              </w:rPr>
              <w:t xml:space="preserve">Utskottet överlade med </w:t>
            </w:r>
            <w:r w:rsidR="00862393">
              <w:rPr>
                <w:bCs/>
                <w:color w:val="000000"/>
                <w:szCs w:val="24"/>
              </w:rPr>
              <w:t xml:space="preserve">statssekreteraren Malin Cederfeldt Östberg, </w:t>
            </w:r>
            <w:r w:rsidR="0008083C">
              <w:rPr>
                <w:bCs/>
                <w:color w:val="000000"/>
                <w:szCs w:val="24"/>
              </w:rPr>
              <w:t xml:space="preserve">t.f. enhetschefen Tina Abelin, </w:t>
            </w:r>
            <w:r w:rsidR="00862393">
              <w:rPr>
                <w:bCs/>
                <w:color w:val="000000"/>
                <w:szCs w:val="24"/>
              </w:rPr>
              <w:t xml:space="preserve">ämnesrådet Magnus Härviden, kanslirådet Mattias Jennerholm, </w:t>
            </w:r>
            <w:r w:rsidRPr="007746F3">
              <w:rPr>
                <w:bCs/>
                <w:color w:val="000000"/>
                <w:szCs w:val="24"/>
              </w:rPr>
              <w:t xml:space="preserve">samtliga från Utbildningsdepartementet, om </w:t>
            </w:r>
            <w:r>
              <w:rPr>
                <w:bCs/>
                <w:color w:val="000000"/>
                <w:szCs w:val="24"/>
              </w:rPr>
              <w:t>Horisont Europa</w:t>
            </w:r>
            <w:r w:rsidRPr="007746F3">
              <w:rPr>
                <w:bCs/>
                <w:color w:val="000000"/>
                <w:szCs w:val="24"/>
              </w:rPr>
              <w:t>.</w:t>
            </w:r>
            <w:r w:rsidR="00FA3460">
              <w:rPr>
                <w:bCs/>
                <w:color w:val="000000"/>
                <w:szCs w:val="24"/>
              </w:rPr>
              <w:br/>
            </w:r>
            <w:r w:rsidR="00FA3460">
              <w:rPr>
                <w:bCs/>
                <w:color w:val="000000"/>
                <w:szCs w:val="24"/>
              </w:rPr>
              <w:br/>
            </w:r>
            <w:r w:rsidR="00FA3460" w:rsidRPr="00FA3460">
              <w:rPr>
                <w:i/>
                <w:snapToGrid w:val="0"/>
              </w:rPr>
              <w:t>Underlag för överläggningen</w:t>
            </w:r>
          </w:p>
          <w:p w:rsidR="007746F3" w:rsidRPr="007746F3" w:rsidRDefault="00117D8D" w:rsidP="007746F3">
            <w:pPr>
              <w:tabs>
                <w:tab w:val="left" w:pos="1701"/>
              </w:tabs>
              <w:rPr>
                <w:snapToGrid w:val="0"/>
              </w:rPr>
            </w:pPr>
            <w:r>
              <w:rPr>
                <w:snapToGrid w:val="0"/>
              </w:rPr>
              <w:t>Faktap</w:t>
            </w:r>
            <w:r w:rsidR="007746F3">
              <w:rPr>
                <w:snapToGrid w:val="0"/>
              </w:rPr>
              <w:t>romemoria</w:t>
            </w:r>
            <w:r w:rsidR="007746F3" w:rsidRPr="007746F3">
              <w:rPr>
                <w:snapToGrid w:val="0"/>
              </w:rPr>
              <w:t xml:space="preserve"> från Utbildningsdepartementet </w:t>
            </w:r>
            <w:r>
              <w:rPr>
                <w:snapToGrid w:val="0"/>
              </w:rPr>
              <w:t>2017/18:FPM155</w:t>
            </w:r>
          </w:p>
          <w:p w:rsidR="007746F3" w:rsidRPr="00FA3460" w:rsidRDefault="007746F3" w:rsidP="007746F3">
            <w:pPr>
              <w:tabs>
                <w:tab w:val="left" w:pos="1701"/>
              </w:tabs>
              <w:rPr>
                <w:b/>
                <w:snapToGrid w:val="0"/>
              </w:rPr>
            </w:pPr>
          </w:p>
          <w:p w:rsidR="00FA3460" w:rsidRPr="00FA3460" w:rsidRDefault="00FA3460" w:rsidP="00FA3460">
            <w:pPr>
              <w:tabs>
                <w:tab w:val="left" w:pos="1701"/>
              </w:tabs>
              <w:rPr>
                <w:i/>
                <w:snapToGrid w:val="0"/>
              </w:rPr>
            </w:pPr>
            <w:r w:rsidRPr="00FA3460">
              <w:rPr>
                <w:i/>
                <w:snapToGrid w:val="0"/>
              </w:rPr>
              <w:t>Regeringens förslag till svensk ståndpunkt</w:t>
            </w:r>
          </w:p>
          <w:p w:rsidR="00481843" w:rsidRPr="00481843" w:rsidRDefault="00481843" w:rsidP="00481843">
            <w:pPr>
              <w:tabs>
                <w:tab w:val="left" w:pos="1701"/>
              </w:tabs>
              <w:rPr>
                <w:snapToGrid w:val="0"/>
              </w:rPr>
            </w:pPr>
            <w:r w:rsidRPr="00481843">
              <w:rPr>
                <w:snapToGrid w:val="0"/>
              </w:rPr>
              <w:t>Förslaget till ramprogram för forskning och innovation är ett av flera</w:t>
            </w:r>
            <w:r>
              <w:rPr>
                <w:snapToGrid w:val="0"/>
              </w:rPr>
              <w:t xml:space="preserve"> </w:t>
            </w:r>
            <w:r w:rsidRPr="00481843">
              <w:rPr>
                <w:snapToGrid w:val="0"/>
              </w:rPr>
              <w:t>sakområdesförslag under förhandlingen om nästa fleråriga budgetram för</w:t>
            </w:r>
            <w:r>
              <w:rPr>
                <w:snapToGrid w:val="0"/>
              </w:rPr>
              <w:t xml:space="preserve"> </w:t>
            </w:r>
            <w:r w:rsidRPr="00481843">
              <w:rPr>
                <w:snapToGrid w:val="0"/>
              </w:rPr>
              <w:t>2021–27. SE:s övergripande mål för MFF-förhandlingarna är att budgeten</w:t>
            </w:r>
            <w:r>
              <w:rPr>
                <w:snapToGrid w:val="0"/>
              </w:rPr>
              <w:t xml:space="preserve"> </w:t>
            </w:r>
            <w:r w:rsidRPr="00481843">
              <w:rPr>
                <w:snapToGrid w:val="0"/>
              </w:rPr>
              <w:t>ska minska. En del av det generella målet för nästa budgetperiod är dock att</w:t>
            </w:r>
            <w:r>
              <w:rPr>
                <w:snapToGrid w:val="0"/>
              </w:rPr>
              <w:t xml:space="preserve"> </w:t>
            </w:r>
            <w:r w:rsidRPr="00481843">
              <w:rPr>
                <w:snapToGrid w:val="0"/>
              </w:rPr>
              <w:t>omprioriteringar inom den minskade totala ramen bör ske till förmån för</w:t>
            </w:r>
            <w:r>
              <w:rPr>
                <w:snapToGrid w:val="0"/>
              </w:rPr>
              <w:t xml:space="preserve"> </w:t>
            </w:r>
            <w:r w:rsidRPr="00481843">
              <w:rPr>
                <w:snapToGrid w:val="0"/>
              </w:rPr>
              <w:t>gemensamma åtgärder som konkurrenskraft, forskning och innovation. Det</w:t>
            </w:r>
            <w:r>
              <w:rPr>
                <w:snapToGrid w:val="0"/>
              </w:rPr>
              <w:t xml:space="preserve"> </w:t>
            </w:r>
            <w:r w:rsidRPr="00481843">
              <w:rPr>
                <w:snapToGrid w:val="0"/>
              </w:rPr>
              <w:t>sker genom väsentliga minskningar av utgiftsramarna för jordbrukspolitiken</w:t>
            </w:r>
            <w:r>
              <w:rPr>
                <w:snapToGrid w:val="0"/>
              </w:rPr>
              <w:t xml:space="preserve"> </w:t>
            </w:r>
            <w:r w:rsidRPr="00481843">
              <w:rPr>
                <w:snapToGrid w:val="0"/>
              </w:rPr>
              <w:t>och sammanhållningspolitiken. SE:s linje är dock alltjämt att hela budgeten</w:t>
            </w:r>
            <w:r>
              <w:rPr>
                <w:snapToGrid w:val="0"/>
              </w:rPr>
              <w:t xml:space="preserve"> </w:t>
            </w:r>
            <w:r w:rsidRPr="00481843">
              <w:rPr>
                <w:snapToGrid w:val="0"/>
              </w:rPr>
              <w:t>ska minska och att besparingar även i prioriterade områden som forskning</w:t>
            </w:r>
            <w:r>
              <w:rPr>
                <w:snapToGrid w:val="0"/>
              </w:rPr>
              <w:t xml:space="preserve"> </w:t>
            </w:r>
            <w:r w:rsidRPr="00481843">
              <w:rPr>
                <w:snapToGrid w:val="0"/>
              </w:rPr>
              <w:t>och innovation kan behöva accepteras.</w:t>
            </w:r>
          </w:p>
          <w:p w:rsidR="00481843" w:rsidRDefault="00481843" w:rsidP="00481843">
            <w:pPr>
              <w:tabs>
                <w:tab w:val="left" w:pos="1701"/>
              </w:tabs>
              <w:rPr>
                <w:snapToGrid w:val="0"/>
              </w:rPr>
            </w:pPr>
          </w:p>
          <w:p w:rsidR="00481843" w:rsidRPr="00481843" w:rsidRDefault="00481843" w:rsidP="00481843">
            <w:pPr>
              <w:tabs>
                <w:tab w:val="left" w:pos="1701"/>
              </w:tabs>
              <w:rPr>
                <w:snapToGrid w:val="0"/>
              </w:rPr>
            </w:pPr>
            <w:r w:rsidRPr="00481843">
              <w:rPr>
                <w:snapToGrid w:val="0"/>
              </w:rPr>
              <w:t>Regeringen välkomnar kommissionens förslag till ramprogram för forskning</w:t>
            </w:r>
            <w:r>
              <w:rPr>
                <w:snapToGrid w:val="0"/>
              </w:rPr>
              <w:t xml:space="preserve"> </w:t>
            </w:r>
            <w:r w:rsidRPr="00481843">
              <w:rPr>
                <w:snapToGrid w:val="0"/>
              </w:rPr>
              <w:t>och innovation, Horisont Europa. Förslaget bygger på ett positivt sätt vidare</w:t>
            </w:r>
            <w:r>
              <w:rPr>
                <w:snapToGrid w:val="0"/>
              </w:rPr>
              <w:t xml:space="preserve"> </w:t>
            </w:r>
            <w:r w:rsidRPr="00481843">
              <w:rPr>
                <w:snapToGrid w:val="0"/>
              </w:rPr>
              <w:t>på det pågående programmet Horisont 2020. Regeringen välkom</w:t>
            </w:r>
            <w:r>
              <w:rPr>
                <w:snapToGrid w:val="0"/>
              </w:rPr>
              <w:t>n</w:t>
            </w:r>
            <w:r w:rsidRPr="00481843">
              <w:rPr>
                <w:snapToGrid w:val="0"/>
              </w:rPr>
              <w:t>ar särskilt</w:t>
            </w:r>
            <w:r>
              <w:rPr>
                <w:snapToGrid w:val="0"/>
              </w:rPr>
              <w:t xml:space="preserve"> </w:t>
            </w:r>
            <w:r w:rsidRPr="00481843">
              <w:rPr>
                <w:snapToGrid w:val="0"/>
              </w:rPr>
              <w:t>att strukturen med tre pelare behålls samt att största andelen av budgeten</w:t>
            </w:r>
            <w:r>
              <w:rPr>
                <w:snapToGrid w:val="0"/>
              </w:rPr>
              <w:t xml:space="preserve"> </w:t>
            </w:r>
            <w:r w:rsidRPr="00481843">
              <w:rPr>
                <w:snapToGrid w:val="0"/>
              </w:rPr>
              <w:t>avsätts till samarbetsprojekt (pelare II Globala utmaningar och industrins</w:t>
            </w:r>
            <w:r>
              <w:rPr>
                <w:snapToGrid w:val="0"/>
              </w:rPr>
              <w:t xml:space="preserve"> </w:t>
            </w:r>
            <w:r w:rsidRPr="00481843">
              <w:rPr>
                <w:snapToGrid w:val="0"/>
              </w:rPr>
              <w:t>konkurrenskraft).</w:t>
            </w:r>
          </w:p>
          <w:p w:rsidR="00481843" w:rsidRDefault="00481843" w:rsidP="00481843">
            <w:pPr>
              <w:tabs>
                <w:tab w:val="left" w:pos="1701"/>
              </w:tabs>
              <w:rPr>
                <w:snapToGrid w:val="0"/>
              </w:rPr>
            </w:pPr>
          </w:p>
          <w:p w:rsidR="00481843" w:rsidRDefault="00481843" w:rsidP="00481843">
            <w:pPr>
              <w:tabs>
                <w:tab w:val="left" w:pos="1701"/>
              </w:tabs>
              <w:rPr>
                <w:snapToGrid w:val="0"/>
              </w:rPr>
            </w:pPr>
            <w:r w:rsidRPr="00481843">
              <w:rPr>
                <w:snapToGrid w:val="0"/>
              </w:rPr>
              <w:t>EU:s satsningar på forskning och innovation genom programmet måste i</w:t>
            </w:r>
            <w:r>
              <w:rPr>
                <w:snapToGrid w:val="0"/>
              </w:rPr>
              <w:t xml:space="preserve"> </w:t>
            </w:r>
            <w:r w:rsidRPr="00481843">
              <w:rPr>
                <w:snapToGrid w:val="0"/>
              </w:rPr>
              <w:t>ökande grad bidra till att möta samhällsutmaningar med lösningar som får</w:t>
            </w:r>
            <w:r>
              <w:rPr>
                <w:snapToGrid w:val="0"/>
              </w:rPr>
              <w:t xml:space="preserve"> </w:t>
            </w:r>
            <w:r w:rsidRPr="00481843">
              <w:rPr>
                <w:snapToGrid w:val="0"/>
              </w:rPr>
              <w:t>stort genomslag i samhället och som skapar positiva effekter samt mervärde</w:t>
            </w:r>
            <w:r>
              <w:rPr>
                <w:snapToGrid w:val="0"/>
              </w:rPr>
              <w:t xml:space="preserve"> </w:t>
            </w:r>
            <w:r w:rsidRPr="00481843">
              <w:rPr>
                <w:snapToGrid w:val="0"/>
              </w:rPr>
              <w:t>för medborgarna. Både forskning och innovation bör fortsatt vara integrerade</w:t>
            </w:r>
            <w:r>
              <w:rPr>
                <w:snapToGrid w:val="0"/>
              </w:rPr>
              <w:t xml:space="preserve"> </w:t>
            </w:r>
            <w:r w:rsidRPr="00481843">
              <w:rPr>
                <w:snapToGrid w:val="0"/>
              </w:rPr>
              <w:t>i hela ramprogrammet.</w:t>
            </w:r>
          </w:p>
          <w:p w:rsidR="00481843" w:rsidRPr="00481843" w:rsidRDefault="00481843" w:rsidP="00481843">
            <w:pPr>
              <w:tabs>
                <w:tab w:val="left" w:pos="1701"/>
              </w:tabs>
              <w:rPr>
                <w:snapToGrid w:val="0"/>
              </w:rPr>
            </w:pPr>
          </w:p>
          <w:p w:rsidR="00481843" w:rsidRPr="00481843" w:rsidRDefault="00481843" w:rsidP="00481843">
            <w:pPr>
              <w:tabs>
                <w:tab w:val="left" w:pos="1701"/>
              </w:tabs>
              <w:rPr>
                <w:snapToGrid w:val="0"/>
              </w:rPr>
            </w:pPr>
            <w:r w:rsidRPr="00481843">
              <w:rPr>
                <w:snapToGrid w:val="0"/>
              </w:rPr>
              <w:t>EU:s forskningsprogram 2021–2027 ska tydligt bidra till att uppfylla FN:s</w:t>
            </w:r>
            <w:r>
              <w:rPr>
                <w:snapToGrid w:val="0"/>
              </w:rPr>
              <w:t xml:space="preserve"> </w:t>
            </w:r>
            <w:r w:rsidRPr="00481843">
              <w:rPr>
                <w:snapToGrid w:val="0"/>
              </w:rPr>
              <w:t>hållbarhetsmål – Agenda 2030 och SDG. Detta bör tydliggöras jämfört med</w:t>
            </w:r>
            <w:r>
              <w:rPr>
                <w:snapToGrid w:val="0"/>
              </w:rPr>
              <w:t xml:space="preserve"> </w:t>
            </w:r>
            <w:r w:rsidRPr="00481843">
              <w:rPr>
                <w:snapToGrid w:val="0"/>
              </w:rPr>
              <w:t>kommissionens förslag.</w:t>
            </w:r>
          </w:p>
          <w:p w:rsidR="00481843" w:rsidRDefault="00481843" w:rsidP="00481843">
            <w:pPr>
              <w:tabs>
                <w:tab w:val="left" w:pos="1701"/>
              </w:tabs>
              <w:rPr>
                <w:snapToGrid w:val="0"/>
              </w:rPr>
            </w:pPr>
          </w:p>
          <w:p w:rsidR="00481843" w:rsidRPr="00481843" w:rsidRDefault="00481843" w:rsidP="00481843">
            <w:pPr>
              <w:tabs>
                <w:tab w:val="left" w:pos="1701"/>
              </w:tabs>
              <w:rPr>
                <w:snapToGrid w:val="0"/>
              </w:rPr>
            </w:pPr>
            <w:r w:rsidRPr="00481843">
              <w:rPr>
                <w:snapToGrid w:val="0"/>
              </w:rPr>
              <w:t>Projekt i Horisont Europa ska, liksom i tidigare ramprogram, prioriteras</w:t>
            </w:r>
            <w:r>
              <w:rPr>
                <w:snapToGrid w:val="0"/>
              </w:rPr>
              <w:t xml:space="preserve"> </w:t>
            </w:r>
            <w:r w:rsidRPr="00481843">
              <w:rPr>
                <w:snapToGrid w:val="0"/>
              </w:rPr>
              <w:t>utifrån excellens där de högst rankade ansökningarna finansieras.</w:t>
            </w:r>
          </w:p>
          <w:p w:rsidR="00481843" w:rsidRDefault="00481843" w:rsidP="00481843">
            <w:pPr>
              <w:tabs>
                <w:tab w:val="left" w:pos="1701"/>
              </w:tabs>
              <w:rPr>
                <w:snapToGrid w:val="0"/>
              </w:rPr>
            </w:pPr>
          </w:p>
          <w:p w:rsidR="00481843" w:rsidRDefault="00481843" w:rsidP="00481843">
            <w:pPr>
              <w:tabs>
                <w:tab w:val="left" w:pos="1701"/>
              </w:tabs>
              <w:rPr>
                <w:snapToGrid w:val="0"/>
              </w:rPr>
            </w:pPr>
            <w:r w:rsidRPr="00481843">
              <w:rPr>
                <w:snapToGrid w:val="0"/>
              </w:rPr>
              <w:t>SE bör verka för att uppnå starkare synergier mellan sammanhållningspolitiken</w:t>
            </w:r>
            <w:r>
              <w:rPr>
                <w:snapToGrid w:val="0"/>
              </w:rPr>
              <w:t xml:space="preserve"> </w:t>
            </w:r>
            <w:r w:rsidRPr="00481843">
              <w:rPr>
                <w:snapToGrid w:val="0"/>
              </w:rPr>
              <w:t>och forsknings- och innovationspolitiken. Delar av strukturfondsprogrammen</w:t>
            </w:r>
            <w:r>
              <w:rPr>
                <w:snapToGrid w:val="0"/>
              </w:rPr>
              <w:t xml:space="preserve"> </w:t>
            </w:r>
            <w:r w:rsidRPr="00481843">
              <w:rPr>
                <w:snapToGrid w:val="0"/>
              </w:rPr>
              <w:t>och ramprogrammet för forskning och innovation kan på olika</w:t>
            </w:r>
            <w:r>
              <w:rPr>
                <w:snapToGrid w:val="0"/>
              </w:rPr>
              <w:t xml:space="preserve"> </w:t>
            </w:r>
            <w:r w:rsidRPr="00481843">
              <w:rPr>
                <w:snapToGrid w:val="0"/>
              </w:rPr>
              <w:t>sätt komplettera varandra. Det gäller även synergier med andra EU-program</w:t>
            </w:r>
            <w:r>
              <w:rPr>
                <w:snapToGrid w:val="0"/>
              </w:rPr>
              <w:t xml:space="preserve"> </w:t>
            </w:r>
            <w:r w:rsidRPr="00481843">
              <w:rPr>
                <w:snapToGrid w:val="0"/>
              </w:rPr>
              <w:t>som Ett digitalt Europa och Kreativa Europa.</w:t>
            </w:r>
          </w:p>
          <w:p w:rsidR="00481843" w:rsidRPr="00481843" w:rsidRDefault="00481843" w:rsidP="00481843">
            <w:pPr>
              <w:tabs>
                <w:tab w:val="left" w:pos="1701"/>
              </w:tabs>
              <w:rPr>
                <w:snapToGrid w:val="0"/>
              </w:rPr>
            </w:pPr>
          </w:p>
          <w:p w:rsidR="00FA3460" w:rsidRDefault="00481843" w:rsidP="00481843">
            <w:pPr>
              <w:tabs>
                <w:tab w:val="left" w:pos="1701"/>
              </w:tabs>
              <w:rPr>
                <w:snapToGrid w:val="0"/>
              </w:rPr>
            </w:pPr>
            <w:r w:rsidRPr="00481843">
              <w:rPr>
                <w:snapToGrid w:val="0"/>
              </w:rPr>
              <w:t>Administrativa processer kring programmet ska underlättas och</w:t>
            </w:r>
            <w:r>
              <w:rPr>
                <w:snapToGrid w:val="0"/>
              </w:rPr>
              <w:t xml:space="preserve"> </w:t>
            </w:r>
            <w:r w:rsidRPr="00481843">
              <w:rPr>
                <w:snapToGrid w:val="0"/>
              </w:rPr>
              <w:t>effektiviseras för sökanden i samtliga stadier, ansökningsförfarande,</w:t>
            </w:r>
            <w:r>
              <w:rPr>
                <w:snapToGrid w:val="0"/>
              </w:rPr>
              <w:t xml:space="preserve"> </w:t>
            </w:r>
            <w:r w:rsidRPr="00481843">
              <w:rPr>
                <w:snapToGrid w:val="0"/>
              </w:rPr>
              <w:t>uppföljning och rapportering. Nationella redovisningsprinciper ska gälla vid</w:t>
            </w:r>
            <w:r>
              <w:rPr>
                <w:snapToGrid w:val="0"/>
              </w:rPr>
              <w:t xml:space="preserve"> </w:t>
            </w:r>
            <w:r w:rsidRPr="00481843">
              <w:rPr>
                <w:snapToGrid w:val="0"/>
              </w:rPr>
              <w:t>ekonomisk rapportering av aktiviteter.</w:t>
            </w:r>
          </w:p>
          <w:p w:rsidR="00FA3460" w:rsidRPr="00FA3460" w:rsidRDefault="00FA3460" w:rsidP="00FA3460">
            <w:pPr>
              <w:tabs>
                <w:tab w:val="left" w:pos="1701"/>
              </w:tabs>
              <w:rPr>
                <w:i/>
                <w:snapToGrid w:val="0"/>
              </w:rPr>
            </w:pPr>
          </w:p>
          <w:p w:rsidR="00FA3460" w:rsidRPr="00FA3460" w:rsidRDefault="00FA3460" w:rsidP="00FA3460">
            <w:pPr>
              <w:tabs>
                <w:tab w:val="left" w:pos="1701"/>
              </w:tabs>
              <w:rPr>
                <w:i/>
                <w:snapToGrid w:val="0"/>
              </w:rPr>
            </w:pPr>
            <w:r w:rsidRPr="00FA3460">
              <w:rPr>
                <w:i/>
                <w:snapToGrid w:val="0"/>
              </w:rPr>
              <w:t>Utskottet</w:t>
            </w:r>
          </w:p>
          <w:p w:rsidR="00FA3460" w:rsidRPr="00FA3460" w:rsidRDefault="00FA3460" w:rsidP="00FA3460">
            <w:pPr>
              <w:tabs>
                <w:tab w:val="left" w:pos="1701"/>
              </w:tabs>
              <w:rPr>
                <w:snapToGrid w:val="0"/>
              </w:rPr>
            </w:pPr>
            <w:r w:rsidRPr="008520F6">
              <w:rPr>
                <w:snapToGrid w:val="0"/>
              </w:rPr>
              <w:t>Ordföranden konstaterade att det finns stöd i utskottet för regeringens ståndpunkt då det inte fanns något ytterligare att tillägga till ståndpunkten.</w:t>
            </w:r>
            <w:r w:rsidRPr="00FA3460">
              <w:rPr>
                <w:snapToGrid w:val="0"/>
              </w:rPr>
              <w:t xml:space="preserve"> </w:t>
            </w:r>
          </w:p>
          <w:p w:rsidR="00FA3460" w:rsidRPr="00FA3460" w:rsidRDefault="00FA3460" w:rsidP="00FA3460">
            <w:pPr>
              <w:tabs>
                <w:tab w:val="left" w:pos="1701"/>
              </w:tabs>
              <w:rPr>
                <w:snapToGrid w:val="0"/>
              </w:rPr>
            </w:pPr>
          </w:p>
          <w:p w:rsidR="00FA3460" w:rsidRPr="00FA3460" w:rsidRDefault="00FA3460" w:rsidP="00FA3460">
            <w:pPr>
              <w:tabs>
                <w:tab w:val="left" w:pos="1701"/>
              </w:tabs>
              <w:rPr>
                <w:snapToGrid w:val="0"/>
              </w:rPr>
            </w:pPr>
            <w:r w:rsidRPr="00FA3460">
              <w:rPr>
                <w:snapToGrid w:val="0"/>
              </w:rPr>
              <w:t>Denna paragraf förklarades omedelbart justerad.</w:t>
            </w:r>
          </w:p>
          <w:p w:rsidR="00FA3460" w:rsidRDefault="00FA3460">
            <w:pPr>
              <w:tabs>
                <w:tab w:val="left" w:pos="1701"/>
              </w:tabs>
              <w:rPr>
                <w:b/>
                <w:bCs/>
                <w:color w:val="000000"/>
                <w:szCs w:val="24"/>
              </w:rPr>
            </w:pPr>
          </w:p>
        </w:tc>
      </w:tr>
      <w:tr w:rsidR="00FA3460" w:rsidTr="00ED7D7F">
        <w:tc>
          <w:tcPr>
            <w:tcW w:w="567" w:type="dxa"/>
          </w:tcPr>
          <w:p w:rsidR="00FA3460" w:rsidRPr="003B4DE8" w:rsidRDefault="00FA3460" w:rsidP="00FA3460">
            <w:pPr>
              <w:pStyle w:val="Liststycke"/>
              <w:numPr>
                <w:ilvl w:val="0"/>
                <w:numId w:val="2"/>
              </w:numPr>
              <w:tabs>
                <w:tab w:val="left" w:pos="1701"/>
              </w:tabs>
              <w:rPr>
                <w:b/>
                <w:snapToGrid w:val="0"/>
              </w:rPr>
            </w:pPr>
          </w:p>
        </w:tc>
        <w:tc>
          <w:tcPr>
            <w:tcW w:w="6947" w:type="dxa"/>
            <w:gridSpan w:val="2"/>
          </w:tcPr>
          <w:p w:rsidR="00D27C50" w:rsidRDefault="00FA3460" w:rsidP="00FA3460">
            <w:pPr>
              <w:tabs>
                <w:tab w:val="left" w:pos="1701"/>
              </w:tabs>
              <w:rPr>
                <w:bCs/>
                <w:color w:val="000000"/>
                <w:szCs w:val="24"/>
              </w:rPr>
            </w:pPr>
            <w:r>
              <w:rPr>
                <w:b/>
                <w:bCs/>
                <w:color w:val="000000"/>
                <w:szCs w:val="24"/>
              </w:rPr>
              <w:t xml:space="preserve">EU-överläggning </w:t>
            </w:r>
            <w:r w:rsidRPr="002436BC">
              <w:rPr>
                <w:rFonts w:eastAsiaTheme="minorHAnsi"/>
                <w:b/>
                <w:bCs/>
                <w:color w:val="000000"/>
                <w:szCs w:val="24"/>
                <w:lang w:eastAsia="en-US"/>
              </w:rPr>
              <w:t xml:space="preserve">om </w:t>
            </w:r>
            <w:r w:rsidR="007746F3" w:rsidRPr="007746F3">
              <w:rPr>
                <w:rFonts w:eastAsiaTheme="minorHAnsi"/>
                <w:b/>
                <w:bCs/>
                <w:color w:val="000000"/>
                <w:szCs w:val="24"/>
                <w:lang w:eastAsia="en-US"/>
              </w:rPr>
              <w:t>Europeiska atomenergigemenskapens forsknings- och utbildningsprogram</w:t>
            </w:r>
            <w:r w:rsidRPr="00FA3460">
              <w:rPr>
                <w:b/>
                <w:bCs/>
                <w:color w:val="000000"/>
                <w:szCs w:val="24"/>
              </w:rPr>
              <w:br/>
            </w:r>
          </w:p>
          <w:p w:rsidR="00FA3460" w:rsidRPr="00FA3460" w:rsidRDefault="007746F3" w:rsidP="00FA3460">
            <w:pPr>
              <w:tabs>
                <w:tab w:val="left" w:pos="1701"/>
              </w:tabs>
              <w:rPr>
                <w:b/>
                <w:snapToGrid w:val="0"/>
              </w:rPr>
            </w:pPr>
            <w:r w:rsidRPr="007746F3">
              <w:rPr>
                <w:bCs/>
                <w:color w:val="000000"/>
                <w:szCs w:val="24"/>
              </w:rPr>
              <w:t>Utskottet överlade med</w:t>
            </w:r>
            <w:r w:rsidR="00862393">
              <w:rPr>
                <w:bCs/>
                <w:color w:val="000000"/>
                <w:szCs w:val="24"/>
              </w:rPr>
              <w:t xml:space="preserve"> statssekreteraren Malin Cederfeldt Östberg, </w:t>
            </w:r>
            <w:r w:rsidR="0008083C">
              <w:rPr>
                <w:bCs/>
                <w:color w:val="000000"/>
                <w:szCs w:val="24"/>
              </w:rPr>
              <w:t xml:space="preserve">t.f. enhetschefen Tina Abelin, </w:t>
            </w:r>
            <w:r w:rsidR="00862393">
              <w:rPr>
                <w:bCs/>
                <w:color w:val="000000"/>
                <w:szCs w:val="24"/>
              </w:rPr>
              <w:t>ämnesrådet Magnus Härviden, kanslirådet Mattias Jennerholm</w:t>
            </w:r>
            <w:r w:rsidRPr="007746F3">
              <w:rPr>
                <w:bCs/>
                <w:color w:val="000000"/>
                <w:szCs w:val="24"/>
              </w:rPr>
              <w:t xml:space="preserve">, </w:t>
            </w:r>
            <w:r w:rsidR="00C354DD">
              <w:rPr>
                <w:bCs/>
                <w:color w:val="000000"/>
                <w:szCs w:val="24"/>
              </w:rPr>
              <w:t xml:space="preserve">samtliga från Utbildningsdepartementet, </w:t>
            </w:r>
            <w:r w:rsidRPr="007746F3">
              <w:rPr>
                <w:bCs/>
                <w:color w:val="000000"/>
                <w:szCs w:val="24"/>
              </w:rPr>
              <w:t>om Europeiska atomenergigemenskapens forsknings- och utbildningsprogram</w:t>
            </w:r>
            <w:r w:rsidR="00574D2C">
              <w:rPr>
                <w:bCs/>
                <w:color w:val="000000"/>
                <w:szCs w:val="24"/>
              </w:rPr>
              <w:t>.</w:t>
            </w:r>
            <w:r w:rsidR="00FA3460" w:rsidRPr="002436BC">
              <w:rPr>
                <w:rFonts w:eastAsiaTheme="minorHAnsi"/>
                <w:b/>
                <w:bCs/>
                <w:color w:val="000000"/>
                <w:szCs w:val="24"/>
                <w:lang w:eastAsia="en-US"/>
              </w:rPr>
              <w:br/>
            </w:r>
            <w:r w:rsidR="00FA3460">
              <w:rPr>
                <w:bCs/>
                <w:color w:val="000000"/>
                <w:szCs w:val="24"/>
              </w:rPr>
              <w:br/>
            </w:r>
            <w:r w:rsidR="00FA3460" w:rsidRPr="00FA3460">
              <w:rPr>
                <w:i/>
                <w:snapToGrid w:val="0"/>
              </w:rPr>
              <w:t>Underlag för överläggningen</w:t>
            </w:r>
          </w:p>
          <w:p w:rsidR="00117D8D" w:rsidRDefault="00117D8D" w:rsidP="007746F3">
            <w:pPr>
              <w:tabs>
                <w:tab w:val="left" w:pos="1701"/>
              </w:tabs>
              <w:rPr>
                <w:snapToGrid w:val="0"/>
              </w:rPr>
            </w:pPr>
            <w:r>
              <w:rPr>
                <w:snapToGrid w:val="0"/>
              </w:rPr>
              <w:t>Faktap</w:t>
            </w:r>
            <w:r w:rsidR="007746F3">
              <w:rPr>
                <w:snapToGrid w:val="0"/>
              </w:rPr>
              <w:t>romemoria</w:t>
            </w:r>
            <w:r w:rsidR="007746F3" w:rsidRPr="007746F3">
              <w:rPr>
                <w:snapToGrid w:val="0"/>
              </w:rPr>
              <w:t xml:space="preserve"> från Utbildningsdepartementet </w:t>
            </w:r>
            <w:r>
              <w:rPr>
                <w:snapToGrid w:val="0"/>
              </w:rPr>
              <w:t>2017/18:FPM155</w:t>
            </w:r>
          </w:p>
          <w:p w:rsidR="007746F3" w:rsidRPr="00FA3460" w:rsidRDefault="007746F3" w:rsidP="007746F3">
            <w:pPr>
              <w:tabs>
                <w:tab w:val="left" w:pos="1701"/>
              </w:tabs>
              <w:rPr>
                <w:b/>
                <w:snapToGrid w:val="0"/>
              </w:rPr>
            </w:pPr>
          </w:p>
          <w:p w:rsidR="00FA3460" w:rsidRPr="00FA3460" w:rsidRDefault="00FA3460" w:rsidP="00FA3460">
            <w:pPr>
              <w:tabs>
                <w:tab w:val="left" w:pos="1701"/>
              </w:tabs>
              <w:rPr>
                <w:i/>
                <w:snapToGrid w:val="0"/>
              </w:rPr>
            </w:pPr>
            <w:r w:rsidRPr="00FA3460">
              <w:rPr>
                <w:i/>
                <w:snapToGrid w:val="0"/>
              </w:rPr>
              <w:t>Regeringens förslag till svensk ståndpunkt</w:t>
            </w:r>
          </w:p>
          <w:p w:rsidR="00FA3460" w:rsidRPr="00FA3460" w:rsidRDefault="00481843" w:rsidP="00481843">
            <w:pPr>
              <w:tabs>
                <w:tab w:val="left" w:pos="1701"/>
              </w:tabs>
              <w:rPr>
                <w:snapToGrid w:val="0"/>
              </w:rPr>
            </w:pPr>
            <w:r w:rsidRPr="00481843">
              <w:rPr>
                <w:snapToGrid w:val="0"/>
              </w:rPr>
              <w:t>SE anser att forskningssatsningar inom Euratom bör fortsätta på samma nivå</w:t>
            </w:r>
            <w:r w:rsidR="006768D4">
              <w:rPr>
                <w:snapToGrid w:val="0"/>
              </w:rPr>
              <w:t xml:space="preserve"> </w:t>
            </w:r>
            <w:r w:rsidRPr="00481843">
              <w:rPr>
                <w:snapToGrid w:val="0"/>
              </w:rPr>
              <w:t>som tidigare och i linje med tidigare programs inriktning. Regeringen ser</w:t>
            </w:r>
            <w:r w:rsidR="006768D4">
              <w:rPr>
                <w:snapToGrid w:val="0"/>
              </w:rPr>
              <w:t xml:space="preserve"> </w:t>
            </w:r>
            <w:r w:rsidRPr="00481843">
              <w:rPr>
                <w:snapToGrid w:val="0"/>
              </w:rPr>
              <w:t>positivt på inriktningen mot forskning om kärnsäkerhet och strålskydd, och</w:t>
            </w:r>
            <w:r w:rsidR="006768D4">
              <w:rPr>
                <w:snapToGrid w:val="0"/>
              </w:rPr>
              <w:t xml:space="preserve"> </w:t>
            </w:r>
            <w:r w:rsidRPr="00481843">
              <w:rPr>
                <w:snapToGrid w:val="0"/>
              </w:rPr>
              <w:t>anser att det är bra att säkerställa att unionsfinansierad forskning och</w:t>
            </w:r>
            <w:r w:rsidR="006768D4">
              <w:rPr>
                <w:snapToGrid w:val="0"/>
              </w:rPr>
              <w:t xml:space="preserve"> </w:t>
            </w:r>
            <w:r w:rsidRPr="00481843">
              <w:rPr>
                <w:snapToGrid w:val="0"/>
              </w:rPr>
              <w:t>utbildning inom kärnvetenskap och kärnteknik fortsätter med god</w:t>
            </w:r>
            <w:r w:rsidR="006768D4">
              <w:rPr>
                <w:snapToGrid w:val="0"/>
              </w:rPr>
              <w:t xml:space="preserve"> </w:t>
            </w:r>
            <w:r w:rsidRPr="00481843">
              <w:rPr>
                <w:snapToGrid w:val="0"/>
              </w:rPr>
              <w:t>kontinuitet.</w:t>
            </w:r>
          </w:p>
          <w:p w:rsidR="00FA3460" w:rsidRPr="00FA3460" w:rsidRDefault="00FA3460" w:rsidP="00FA3460">
            <w:pPr>
              <w:tabs>
                <w:tab w:val="left" w:pos="1701"/>
              </w:tabs>
              <w:rPr>
                <w:i/>
                <w:snapToGrid w:val="0"/>
              </w:rPr>
            </w:pPr>
          </w:p>
          <w:p w:rsidR="00FA3460" w:rsidRPr="00FA3460" w:rsidRDefault="00FA3460" w:rsidP="00FA3460">
            <w:pPr>
              <w:tabs>
                <w:tab w:val="left" w:pos="1701"/>
              </w:tabs>
              <w:rPr>
                <w:i/>
                <w:snapToGrid w:val="0"/>
              </w:rPr>
            </w:pPr>
            <w:r w:rsidRPr="00FA3460">
              <w:rPr>
                <w:i/>
                <w:snapToGrid w:val="0"/>
              </w:rPr>
              <w:t>Utskottet</w:t>
            </w:r>
          </w:p>
          <w:p w:rsidR="00FA3460" w:rsidRPr="00FA3460" w:rsidRDefault="00FA3460" w:rsidP="00FA3460">
            <w:pPr>
              <w:tabs>
                <w:tab w:val="left" w:pos="1701"/>
              </w:tabs>
              <w:rPr>
                <w:snapToGrid w:val="0"/>
              </w:rPr>
            </w:pPr>
            <w:r w:rsidRPr="008520F6">
              <w:rPr>
                <w:snapToGrid w:val="0"/>
              </w:rPr>
              <w:t>Ordföranden konstaterade att det finns stöd i utskottet för regeringens ståndpunkt då det inte fanns något ytterligare att tillägga till ståndpunkten.</w:t>
            </w:r>
            <w:r w:rsidRPr="00FA3460">
              <w:rPr>
                <w:snapToGrid w:val="0"/>
              </w:rPr>
              <w:t xml:space="preserve"> </w:t>
            </w:r>
          </w:p>
          <w:p w:rsidR="00FA3460" w:rsidRPr="00FA3460" w:rsidRDefault="00FA3460" w:rsidP="00FA3460">
            <w:pPr>
              <w:tabs>
                <w:tab w:val="left" w:pos="1701"/>
              </w:tabs>
              <w:rPr>
                <w:snapToGrid w:val="0"/>
              </w:rPr>
            </w:pPr>
          </w:p>
          <w:p w:rsidR="00FA3460" w:rsidRPr="00FA3460" w:rsidRDefault="00FA3460" w:rsidP="00FA3460">
            <w:pPr>
              <w:tabs>
                <w:tab w:val="left" w:pos="1701"/>
              </w:tabs>
              <w:rPr>
                <w:snapToGrid w:val="0"/>
              </w:rPr>
            </w:pPr>
            <w:r w:rsidRPr="00FA3460">
              <w:rPr>
                <w:snapToGrid w:val="0"/>
              </w:rPr>
              <w:t>Denna paragraf förklarades omedelbart justerad.</w:t>
            </w:r>
          </w:p>
          <w:p w:rsidR="00FA3460" w:rsidRDefault="00FA3460" w:rsidP="00FA3460">
            <w:pPr>
              <w:tabs>
                <w:tab w:val="left" w:pos="1701"/>
              </w:tabs>
              <w:rPr>
                <w:b/>
                <w:snapToGrid w:val="0"/>
              </w:rPr>
            </w:pPr>
          </w:p>
        </w:tc>
      </w:tr>
      <w:tr w:rsidR="00FA3460" w:rsidTr="00ED7D7F">
        <w:tc>
          <w:tcPr>
            <w:tcW w:w="567" w:type="dxa"/>
          </w:tcPr>
          <w:p w:rsidR="00FA3460" w:rsidRPr="003B4DE8" w:rsidRDefault="00FA3460" w:rsidP="00FA3460">
            <w:pPr>
              <w:pStyle w:val="Liststycke"/>
              <w:numPr>
                <w:ilvl w:val="0"/>
                <w:numId w:val="2"/>
              </w:numPr>
              <w:tabs>
                <w:tab w:val="left" w:pos="1701"/>
              </w:tabs>
              <w:rPr>
                <w:b/>
                <w:snapToGrid w:val="0"/>
              </w:rPr>
            </w:pPr>
          </w:p>
        </w:tc>
        <w:tc>
          <w:tcPr>
            <w:tcW w:w="6947" w:type="dxa"/>
            <w:gridSpan w:val="2"/>
          </w:tcPr>
          <w:p w:rsidR="00D27C50" w:rsidRDefault="004D5C67" w:rsidP="004D5C67">
            <w:pPr>
              <w:tabs>
                <w:tab w:val="left" w:pos="1701"/>
              </w:tabs>
              <w:rPr>
                <w:bCs/>
                <w:color w:val="000000"/>
                <w:szCs w:val="24"/>
              </w:rPr>
            </w:pPr>
            <w:r>
              <w:rPr>
                <w:b/>
                <w:bCs/>
                <w:color w:val="000000"/>
                <w:szCs w:val="24"/>
              </w:rPr>
              <w:t>EU-</w:t>
            </w:r>
            <w:r w:rsidR="007746F3">
              <w:rPr>
                <w:b/>
                <w:bCs/>
                <w:color w:val="000000"/>
                <w:szCs w:val="24"/>
              </w:rPr>
              <w:t>överläggning</w:t>
            </w:r>
            <w:r>
              <w:rPr>
                <w:b/>
                <w:bCs/>
                <w:color w:val="000000"/>
                <w:szCs w:val="24"/>
              </w:rPr>
              <w:t xml:space="preserve"> </w:t>
            </w:r>
            <w:r w:rsidRPr="002436BC">
              <w:rPr>
                <w:rFonts w:eastAsiaTheme="minorHAnsi"/>
                <w:b/>
                <w:bCs/>
                <w:color w:val="000000"/>
                <w:szCs w:val="24"/>
                <w:lang w:eastAsia="en-US"/>
              </w:rPr>
              <w:t xml:space="preserve">om </w:t>
            </w:r>
            <w:r w:rsidR="007746F3" w:rsidRPr="007746F3">
              <w:rPr>
                <w:rFonts w:eastAsiaTheme="minorHAnsi"/>
                <w:b/>
                <w:bCs/>
                <w:color w:val="000000"/>
                <w:szCs w:val="24"/>
                <w:lang w:eastAsia="en-US"/>
              </w:rPr>
              <w:t>ITER</w:t>
            </w:r>
            <w:r w:rsidRPr="00FA3460">
              <w:rPr>
                <w:b/>
                <w:bCs/>
                <w:color w:val="000000"/>
                <w:szCs w:val="24"/>
              </w:rPr>
              <w:br/>
            </w:r>
          </w:p>
          <w:p w:rsidR="004D5C67" w:rsidRPr="00FA3460" w:rsidRDefault="007746F3" w:rsidP="004D5C67">
            <w:pPr>
              <w:tabs>
                <w:tab w:val="left" w:pos="1701"/>
              </w:tabs>
              <w:rPr>
                <w:b/>
                <w:snapToGrid w:val="0"/>
              </w:rPr>
            </w:pPr>
            <w:r w:rsidRPr="007746F3">
              <w:rPr>
                <w:bCs/>
                <w:color w:val="000000"/>
                <w:szCs w:val="24"/>
              </w:rPr>
              <w:t>Utskottet överlade med</w:t>
            </w:r>
            <w:r w:rsidR="00862393">
              <w:rPr>
                <w:bCs/>
                <w:color w:val="000000"/>
                <w:szCs w:val="24"/>
              </w:rPr>
              <w:t xml:space="preserve"> statssekreteraren Malin Cederfeldt Östberg, </w:t>
            </w:r>
            <w:r w:rsidR="0008083C">
              <w:rPr>
                <w:bCs/>
                <w:color w:val="000000"/>
                <w:szCs w:val="24"/>
              </w:rPr>
              <w:t xml:space="preserve">t.f. enhetschefen Tina Abelin, </w:t>
            </w:r>
            <w:r w:rsidR="00862393">
              <w:rPr>
                <w:bCs/>
                <w:color w:val="000000"/>
                <w:szCs w:val="24"/>
              </w:rPr>
              <w:t xml:space="preserve">ämnesrådet Magnus Härviden, kanslirådet Mattias Jennerholm, </w:t>
            </w:r>
            <w:r w:rsidR="00862393" w:rsidRPr="007746F3">
              <w:rPr>
                <w:bCs/>
                <w:color w:val="000000"/>
                <w:szCs w:val="24"/>
              </w:rPr>
              <w:t xml:space="preserve"> </w:t>
            </w:r>
            <w:r w:rsidRPr="007746F3">
              <w:rPr>
                <w:bCs/>
                <w:color w:val="000000"/>
                <w:szCs w:val="24"/>
              </w:rPr>
              <w:t xml:space="preserve"> samtliga från Utbildningsdepartementet, om ITER</w:t>
            </w:r>
            <w:r w:rsidR="00574D2C">
              <w:rPr>
                <w:bCs/>
                <w:color w:val="000000"/>
                <w:szCs w:val="24"/>
              </w:rPr>
              <w:t>.</w:t>
            </w:r>
            <w:r w:rsidR="004D5C67" w:rsidRPr="002436BC">
              <w:rPr>
                <w:rFonts w:eastAsiaTheme="minorHAnsi"/>
                <w:b/>
                <w:bCs/>
                <w:color w:val="000000"/>
                <w:szCs w:val="24"/>
                <w:lang w:eastAsia="en-US"/>
              </w:rPr>
              <w:br/>
            </w:r>
            <w:r w:rsidR="004D5C67">
              <w:rPr>
                <w:bCs/>
                <w:color w:val="000000"/>
                <w:szCs w:val="24"/>
              </w:rPr>
              <w:br/>
            </w:r>
            <w:r w:rsidR="004D5C67" w:rsidRPr="00FA3460">
              <w:rPr>
                <w:i/>
                <w:snapToGrid w:val="0"/>
              </w:rPr>
              <w:t xml:space="preserve">Underlag för </w:t>
            </w:r>
            <w:r>
              <w:rPr>
                <w:i/>
                <w:snapToGrid w:val="0"/>
              </w:rPr>
              <w:t>överläggningen</w:t>
            </w:r>
          </w:p>
          <w:p w:rsidR="004D5C67" w:rsidRDefault="00117D8D" w:rsidP="007746F3">
            <w:pPr>
              <w:tabs>
                <w:tab w:val="left" w:pos="1701"/>
              </w:tabs>
              <w:rPr>
                <w:snapToGrid w:val="0"/>
              </w:rPr>
            </w:pPr>
            <w:r>
              <w:rPr>
                <w:snapToGrid w:val="0"/>
              </w:rPr>
              <w:t>Faktap</w:t>
            </w:r>
            <w:r w:rsidR="007746F3" w:rsidRPr="007746F3">
              <w:rPr>
                <w:snapToGrid w:val="0"/>
              </w:rPr>
              <w:t xml:space="preserve">romemoria från Utbildningsdepartementet </w:t>
            </w:r>
            <w:r>
              <w:rPr>
                <w:snapToGrid w:val="0"/>
              </w:rPr>
              <w:t>2016/17:FPM116</w:t>
            </w:r>
            <w:r w:rsidR="007746F3" w:rsidRPr="007746F3">
              <w:rPr>
                <w:snapToGrid w:val="0"/>
              </w:rPr>
              <w:t xml:space="preserve"> </w:t>
            </w:r>
          </w:p>
          <w:p w:rsidR="007746F3" w:rsidRPr="004D5C67" w:rsidRDefault="007746F3" w:rsidP="007746F3">
            <w:pPr>
              <w:tabs>
                <w:tab w:val="left" w:pos="1701"/>
              </w:tabs>
              <w:rPr>
                <w:snapToGrid w:val="0"/>
                <w:highlight w:val="yellow"/>
              </w:rPr>
            </w:pPr>
          </w:p>
          <w:p w:rsidR="007746F3" w:rsidRPr="00FA3460" w:rsidRDefault="007746F3" w:rsidP="007746F3">
            <w:pPr>
              <w:tabs>
                <w:tab w:val="left" w:pos="1701"/>
              </w:tabs>
              <w:rPr>
                <w:i/>
                <w:snapToGrid w:val="0"/>
              </w:rPr>
            </w:pPr>
            <w:r w:rsidRPr="00FA3460">
              <w:rPr>
                <w:i/>
                <w:snapToGrid w:val="0"/>
              </w:rPr>
              <w:t>Regeringens förslag till svensk ståndpunkt</w:t>
            </w:r>
          </w:p>
          <w:p w:rsidR="00481843" w:rsidRDefault="00481843" w:rsidP="00481843">
            <w:pPr>
              <w:pStyle w:val="Default"/>
            </w:pPr>
            <w:r w:rsidRPr="006768D4">
              <w:t xml:space="preserve">Regeringen för generellt en budgetrestriktiv EU-politik. Regeringen anser att framtida kostnader för Iter inte får påverka Sveriges medlemsavgift till EU. </w:t>
            </w:r>
          </w:p>
          <w:p w:rsidR="006768D4" w:rsidRPr="006768D4" w:rsidRDefault="006768D4" w:rsidP="00481843">
            <w:pPr>
              <w:pStyle w:val="Default"/>
            </w:pPr>
          </w:p>
          <w:p w:rsidR="00481843" w:rsidRDefault="00481843" w:rsidP="00481843">
            <w:pPr>
              <w:pStyle w:val="Default"/>
            </w:pPr>
            <w:r w:rsidRPr="006768D4">
              <w:t xml:space="preserve">Det basscenario som presenterats förutsätter att inga avvikelser från plan sker, vilket bedöms vara orealistiskt i ett så komplext projekt som Iter. Regeringen behöver få klarhet kring riskerna för ytterligare förseningar och fördyrningar innan ställning tas till det nya basscenariot. Fördyrningen och förseningen av Iter är betydande, men regeringen anser att Iter har genomfört förbättringar i sin styrning av projektet och att Iter därmed har bättre förutsättningar att hålla sin budget i framtiden. </w:t>
            </w:r>
          </w:p>
          <w:p w:rsidR="006768D4" w:rsidRPr="006768D4" w:rsidRDefault="006768D4" w:rsidP="00481843">
            <w:pPr>
              <w:pStyle w:val="Default"/>
            </w:pPr>
          </w:p>
          <w:p w:rsidR="007746F3" w:rsidRPr="006768D4" w:rsidRDefault="00481843" w:rsidP="006768D4">
            <w:pPr>
              <w:pStyle w:val="Default"/>
              <w:rPr>
                <w:snapToGrid w:val="0"/>
              </w:rPr>
            </w:pPr>
            <w:r w:rsidRPr="006768D4">
              <w:t xml:space="preserve">Regeringen konstaterar att det svenska deltagandet i upphandlingar i konstruktionsprojekt rörande Iter hittills varit lågt och att svenska företag därför gynnats i relativt liten utsträckning under själva konstruktionsfasen. Regeringen ser dock en stor potential i den innovationsdrivande effekt för Europeisk och svensk industri som projekt av Iters karaktär innebär. Kostnader </w:t>
            </w:r>
            <w:r w:rsidRPr="006768D4">
              <w:rPr>
                <w:color w:val="auto"/>
              </w:rPr>
              <w:t>för projektet måste ställas mot industriella fördelar, och inte minst mot den potential som en framtida energiproduktion genom fusion innebär.</w:t>
            </w:r>
          </w:p>
          <w:p w:rsidR="007746F3" w:rsidRPr="006768D4" w:rsidRDefault="007746F3" w:rsidP="007746F3">
            <w:pPr>
              <w:tabs>
                <w:tab w:val="left" w:pos="1701"/>
              </w:tabs>
              <w:rPr>
                <w:i/>
                <w:snapToGrid w:val="0"/>
                <w:szCs w:val="24"/>
              </w:rPr>
            </w:pPr>
          </w:p>
          <w:p w:rsidR="007746F3" w:rsidRPr="00FA3460" w:rsidRDefault="007746F3" w:rsidP="007746F3">
            <w:pPr>
              <w:tabs>
                <w:tab w:val="left" w:pos="1701"/>
              </w:tabs>
              <w:rPr>
                <w:i/>
                <w:snapToGrid w:val="0"/>
              </w:rPr>
            </w:pPr>
            <w:r w:rsidRPr="00FA3460">
              <w:rPr>
                <w:i/>
                <w:snapToGrid w:val="0"/>
              </w:rPr>
              <w:t>Utskottet</w:t>
            </w:r>
          </w:p>
          <w:p w:rsidR="007746F3" w:rsidRPr="00FA3460" w:rsidRDefault="007746F3" w:rsidP="007746F3">
            <w:pPr>
              <w:tabs>
                <w:tab w:val="left" w:pos="1701"/>
              </w:tabs>
              <w:rPr>
                <w:snapToGrid w:val="0"/>
              </w:rPr>
            </w:pPr>
            <w:r w:rsidRPr="008520F6">
              <w:rPr>
                <w:snapToGrid w:val="0"/>
              </w:rPr>
              <w:t>Ordföranden konstaterade att det finns stöd i utskottet för regeringens ståndpunkt då det inte fanns något ytterligare att tillägga till ståndpunkten.</w:t>
            </w:r>
            <w:r w:rsidRPr="00FA3460">
              <w:rPr>
                <w:snapToGrid w:val="0"/>
              </w:rPr>
              <w:t xml:space="preserve"> </w:t>
            </w:r>
          </w:p>
          <w:p w:rsidR="007746F3" w:rsidRPr="00FA3460" w:rsidRDefault="007746F3" w:rsidP="007746F3">
            <w:pPr>
              <w:tabs>
                <w:tab w:val="left" w:pos="1701"/>
              </w:tabs>
              <w:rPr>
                <w:snapToGrid w:val="0"/>
              </w:rPr>
            </w:pPr>
          </w:p>
          <w:p w:rsidR="007746F3" w:rsidRPr="00FA3460" w:rsidRDefault="007746F3" w:rsidP="007746F3">
            <w:pPr>
              <w:tabs>
                <w:tab w:val="left" w:pos="1701"/>
              </w:tabs>
              <w:rPr>
                <w:snapToGrid w:val="0"/>
              </w:rPr>
            </w:pPr>
            <w:r w:rsidRPr="00FA3460">
              <w:rPr>
                <w:snapToGrid w:val="0"/>
              </w:rPr>
              <w:t>Denna paragraf förklarades omedelbart justerad.</w:t>
            </w:r>
          </w:p>
          <w:p w:rsidR="00FA3460" w:rsidRDefault="00FA3460" w:rsidP="00FA3460">
            <w:pPr>
              <w:tabs>
                <w:tab w:val="left" w:pos="1701"/>
              </w:tabs>
              <w:rPr>
                <w:b/>
                <w:bCs/>
                <w:color w:val="000000"/>
                <w:szCs w:val="24"/>
              </w:rPr>
            </w:pPr>
          </w:p>
        </w:tc>
      </w:tr>
      <w:tr w:rsidR="00FA3460" w:rsidTr="00ED7D7F">
        <w:tc>
          <w:tcPr>
            <w:tcW w:w="567" w:type="dxa"/>
          </w:tcPr>
          <w:p w:rsidR="00FA3460" w:rsidRPr="003B4DE8" w:rsidRDefault="00FA3460" w:rsidP="00FA3460">
            <w:pPr>
              <w:pStyle w:val="Liststycke"/>
              <w:numPr>
                <w:ilvl w:val="0"/>
                <w:numId w:val="2"/>
              </w:numPr>
              <w:tabs>
                <w:tab w:val="left" w:pos="1701"/>
              </w:tabs>
              <w:rPr>
                <w:b/>
                <w:snapToGrid w:val="0"/>
              </w:rPr>
            </w:pPr>
          </w:p>
        </w:tc>
        <w:tc>
          <w:tcPr>
            <w:tcW w:w="6947" w:type="dxa"/>
            <w:gridSpan w:val="2"/>
          </w:tcPr>
          <w:p w:rsidR="009426C8" w:rsidRPr="00FA3460" w:rsidRDefault="009426C8" w:rsidP="009426C8">
            <w:pPr>
              <w:tabs>
                <w:tab w:val="left" w:pos="1701"/>
              </w:tabs>
              <w:rPr>
                <w:snapToGrid w:val="0"/>
              </w:rPr>
            </w:pPr>
            <w:r>
              <w:rPr>
                <w:b/>
                <w:bCs/>
                <w:color w:val="000000"/>
                <w:szCs w:val="24"/>
              </w:rPr>
              <w:t>EU-</w:t>
            </w:r>
            <w:r w:rsidR="00514F03">
              <w:rPr>
                <w:b/>
                <w:bCs/>
                <w:color w:val="000000"/>
                <w:szCs w:val="24"/>
              </w:rPr>
              <w:t>information</w:t>
            </w:r>
            <w:r>
              <w:rPr>
                <w:b/>
                <w:bCs/>
                <w:color w:val="000000"/>
                <w:szCs w:val="24"/>
              </w:rPr>
              <w:t xml:space="preserve"> </w:t>
            </w:r>
            <w:r w:rsidRPr="002436BC">
              <w:rPr>
                <w:rFonts w:eastAsiaTheme="minorHAnsi"/>
                <w:b/>
                <w:bCs/>
                <w:color w:val="000000"/>
                <w:szCs w:val="24"/>
                <w:lang w:eastAsia="en-US"/>
              </w:rPr>
              <w:t xml:space="preserve">om </w:t>
            </w:r>
            <w:r w:rsidR="007746F3" w:rsidRPr="00524598">
              <w:rPr>
                <w:rFonts w:eastAsiaTheme="minorHAnsi"/>
                <w:b/>
                <w:bCs/>
                <w:color w:val="000000"/>
                <w:szCs w:val="24"/>
                <w:lang w:eastAsia="en-US"/>
              </w:rPr>
              <w:t>informella KKR 16-17 juli om Horisont Europa</w:t>
            </w:r>
            <w:r w:rsidR="007746F3" w:rsidRPr="00524598">
              <w:rPr>
                <w:rFonts w:eastAsiaTheme="minorHAnsi"/>
                <w:b/>
                <w:bCs/>
                <w:color w:val="000000"/>
                <w:szCs w:val="24"/>
                <w:lang w:eastAsia="en-US"/>
              </w:rPr>
              <w:br/>
            </w:r>
            <w:r w:rsidRPr="00FA3460">
              <w:rPr>
                <w:b/>
                <w:bCs/>
                <w:color w:val="000000"/>
                <w:szCs w:val="24"/>
              </w:rPr>
              <w:br/>
            </w:r>
            <w:r w:rsidR="00861F0E">
              <w:rPr>
                <w:bCs/>
                <w:color w:val="000000"/>
                <w:szCs w:val="24"/>
              </w:rPr>
              <w:t>Utskottet informerades av</w:t>
            </w:r>
            <w:r w:rsidR="00862393">
              <w:rPr>
                <w:bCs/>
                <w:color w:val="000000"/>
                <w:szCs w:val="24"/>
              </w:rPr>
              <w:t xml:space="preserve"> statssekreteraren Malin Cederfeldt Östberg, </w:t>
            </w:r>
            <w:r w:rsidR="0008083C">
              <w:rPr>
                <w:bCs/>
                <w:color w:val="000000"/>
                <w:szCs w:val="24"/>
              </w:rPr>
              <w:t xml:space="preserve">t.f. enhetschefen Tina Abelin, </w:t>
            </w:r>
            <w:r w:rsidR="00862393">
              <w:rPr>
                <w:bCs/>
                <w:color w:val="000000"/>
                <w:szCs w:val="24"/>
              </w:rPr>
              <w:t xml:space="preserve">ämnesrådet Magnus Härviden, kanslirådet Mattias Jennerholm, </w:t>
            </w:r>
            <w:r w:rsidR="00862393" w:rsidRPr="007746F3">
              <w:rPr>
                <w:bCs/>
                <w:color w:val="000000"/>
                <w:szCs w:val="24"/>
              </w:rPr>
              <w:t xml:space="preserve"> </w:t>
            </w:r>
            <w:r w:rsidR="007746F3" w:rsidRPr="00524598">
              <w:rPr>
                <w:rFonts w:eastAsiaTheme="minorHAnsi"/>
                <w:color w:val="000000"/>
                <w:szCs w:val="24"/>
                <w:lang w:eastAsia="en-US"/>
              </w:rPr>
              <w:t>samtliga från Utbildningsdepartementet</w:t>
            </w:r>
            <w:r w:rsidR="007746F3">
              <w:rPr>
                <w:rFonts w:eastAsiaTheme="minorHAnsi"/>
                <w:color w:val="000000"/>
                <w:szCs w:val="24"/>
                <w:lang w:eastAsia="en-US"/>
              </w:rPr>
              <w:t xml:space="preserve">, om </w:t>
            </w:r>
            <w:r w:rsidR="007746F3" w:rsidRPr="007746F3">
              <w:rPr>
                <w:rFonts w:eastAsiaTheme="minorHAnsi"/>
                <w:color w:val="000000"/>
                <w:szCs w:val="24"/>
                <w:lang w:eastAsia="en-US"/>
              </w:rPr>
              <w:t>informella KKR 16-17 juli om Horisont Europa</w:t>
            </w:r>
            <w:r w:rsidR="00574D2C">
              <w:rPr>
                <w:rFonts w:eastAsiaTheme="minorHAnsi"/>
                <w:color w:val="000000"/>
                <w:szCs w:val="24"/>
                <w:lang w:eastAsia="en-US"/>
              </w:rPr>
              <w:t>.</w:t>
            </w:r>
            <w:r w:rsidRPr="002436BC">
              <w:rPr>
                <w:rFonts w:eastAsiaTheme="minorHAnsi"/>
                <w:b/>
                <w:bCs/>
                <w:color w:val="000000"/>
                <w:szCs w:val="24"/>
                <w:lang w:eastAsia="en-US"/>
              </w:rPr>
              <w:br/>
            </w:r>
          </w:p>
          <w:p w:rsidR="00FA3460" w:rsidRDefault="00FA3460" w:rsidP="00FA3460">
            <w:pPr>
              <w:tabs>
                <w:tab w:val="left" w:pos="1701"/>
              </w:tabs>
              <w:rPr>
                <w:b/>
                <w:bCs/>
                <w:color w:val="000000"/>
                <w:szCs w:val="24"/>
              </w:rPr>
            </w:pPr>
          </w:p>
          <w:p w:rsidR="00EE6AE8" w:rsidRDefault="00EE6AE8" w:rsidP="00FA3460">
            <w:pPr>
              <w:tabs>
                <w:tab w:val="left" w:pos="1701"/>
              </w:tabs>
              <w:rPr>
                <w:b/>
                <w:bCs/>
                <w:color w:val="000000"/>
                <w:szCs w:val="24"/>
              </w:rPr>
            </w:pPr>
          </w:p>
        </w:tc>
      </w:tr>
      <w:tr w:rsidR="00FA3460" w:rsidTr="00ED7D7F">
        <w:tc>
          <w:tcPr>
            <w:tcW w:w="567" w:type="dxa"/>
          </w:tcPr>
          <w:p w:rsidR="00FA3460" w:rsidRPr="00CF57A9" w:rsidRDefault="00FA3460" w:rsidP="00FA3460">
            <w:pPr>
              <w:pStyle w:val="Liststycke"/>
              <w:numPr>
                <w:ilvl w:val="0"/>
                <w:numId w:val="2"/>
              </w:numPr>
              <w:tabs>
                <w:tab w:val="left" w:pos="1701"/>
              </w:tabs>
              <w:rPr>
                <w:b/>
                <w:snapToGrid w:val="0"/>
                <w:szCs w:val="24"/>
              </w:rPr>
            </w:pPr>
          </w:p>
        </w:tc>
        <w:tc>
          <w:tcPr>
            <w:tcW w:w="6947" w:type="dxa"/>
            <w:gridSpan w:val="2"/>
          </w:tcPr>
          <w:p w:rsidR="007746F3" w:rsidRDefault="007746F3" w:rsidP="007746F3">
            <w:pPr>
              <w:tabs>
                <w:tab w:val="left" w:pos="1701"/>
              </w:tabs>
              <w:rPr>
                <w:bCs/>
                <w:color w:val="000000"/>
                <w:szCs w:val="24"/>
              </w:rPr>
            </w:pPr>
            <w:r>
              <w:rPr>
                <w:b/>
                <w:bCs/>
                <w:color w:val="000000"/>
                <w:szCs w:val="24"/>
              </w:rPr>
              <w:t xml:space="preserve">EU-överläggning </w:t>
            </w:r>
            <w:r w:rsidRPr="002436BC">
              <w:rPr>
                <w:rFonts w:eastAsiaTheme="minorHAnsi"/>
                <w:b/>
                <w:bCs/>
                <w:color w:val="000000"/>
                <w:szCs w:val="24"/>
                <w:lang w:eastAsia="en-US"/>
              </w:rPr>
              <w:t xml:space="preserve">om </w:t>
            </w:r>
            <w:r w:rsidRPr="00524598">
              <w:rPr>
                <w:rFonts w:eastAsiaTheme="minorHAnsi"/>
                <w:b/>
                <w:bCs/>
                <w:color w:val="000000"/>
                <w:szCs w:val="24"/>
                <w:lang w:eastAsia="en-US"/>
              </w:rPr>
              <w:t>unionens rymdprogram</w:t>
            </w:r>
            <w:r w:rsidRPr="00FA3460">
              <w:rPr>
                <w:b/>
                <w:bCs/>
                <w:color w:val="000000"/>
                <w:szCs w:val="24"/>
              </w:rPr>
              <w:br/>
            </w:r>
          </w:p>
          <w:p w:rsidR="007746F3" w:rsidRPr="00FA3460" w:rsidRDefault="007746F3" w:rsidP="007746F3">
            <w:pPr>
              <w:tabs>
                <w:tab w:val="left" w:pos="1701"/>
              </w:tabs>
              <w:rPr>
                <w:b/>
                <w:snapToGrid w:val="0"/>
              </w:rPr>
            </w:pPr>
            <w:r w:rsidRPr="007746F3">
              <w:rPr>
                <w:bCs/>
                <w:color w:val="000000"/>
                <w:szCs w:val="24"/>
              </w:rPr>
              <w:t xml:space="preserve">Utskottet överlade med </w:t>
            </w:r>
            <w:r w:rsidR="00862393">
              <w:rPr>
                <w:bCs/>
                <w:color w:val="000000"/>
                <w:szCs w:val="24"/>
              </w:rPr>
              <w:t xml:space="preserve">statssekreteraren Malin Cederfeldt Östberg, </w:t>
            </w:r>
            <w:r w:rsidR="0008083C">
              <w:rPr>
                <w:bCs/>
                <w:color w:val="000000"/>
                <w:szCs w:val="24"/>
              </w:rPr>
              <w:t xml:space="preserve">t.f. enhetschefen Tina Abelin, </w:t>
            </w:r>
            <w:r w:rsidR="00862393">
              <w:rPr>
                <w:bCs/>
                <w:color w:val="000000"/>
                <w:szCs w:val="24"/>
              </w:rPr>
              <w:t>ämnesrådet Magnus Härviden, kanslirådet Mattias Jennerholm,</w:t>
            </w:r>
            <w:r w:rsidR="00C90010">
              <w:rPr>
                <w:bCs/>
                <w:color w:val="000000"/>
                <w:szCs w:val="24"/>
              </w:rPr>
              <w:t xml:space="preserve"> samtliga från Utbildningsdepartementet,</w:t>
            </w:r>
            <w:r w:rsidR="00862393">
              <w:rPr>
                <w:bCs/>
                <w:color w:val="000000"/>
                <w:szCs w:val="24"/>
              </w:rPr>
              <w:t xml:space="preserve"> </w:t>
            </w:r>
            <w:r w:rsidRPr="007746F3">
              <w:rPr>
                <w:bCs/>
                <w:color w:val="000000"/>
                <w:szCs w:val="24"/>
              </w:rPr>
              <w:t xml:space="preserve">om </w:t>
            </w:r>
            <w:r>
              <w:rPr>
                <w:bCs/>
                <w:color w:val="000000"/>
                <w:szCs w:val="24"/>
              </w:rPr>
              <w:t>unionens rymdprogram</w:t>
            </w:r>
            <w:r w:rsidR="00574D2C">
              <w:rPr>
                <w:bCs/>
                <w:color w:val="000000"/>
                <w:szCs w:val="24"/>
              </w:rPr>
              <w:t>.</w:t>
            </w:r>
            <w:r w:rsidRPr="002436BC">
              <w:rPr>
                <w:rFonts w:eastAsiaTheme="minorHAnsi"/>
                <w:b/>
                <w:bCs/>
                <w:color w:val="000000"/>
                <w:szCs w:val="24"/>
                <w:lang w:eastAsia="en-US"/>
              </w:rPr>
              <w:br/>
            </w:r>
            <w:r>
              <w:rPr>
                <w:bCs/>
                <w:color w:val="000000"/>
                <w:szCs w:val="24"/>
              </w:rPr>
              <w:br/>
            </w:r>
            <w:r w:rsidRPr="00FA3460">
              <w:rPr>
                <w:i/>
                <w:snapToGrid w:val="0"/>
              </w:rPr>
              <w:t xml:space="preserve">Underlag för </w:t>
            </w:r>
            <w:r>
              <w:rPr>
                <w:i/>
                <w:snapToGrid w:val="0"/>
              </w:rPr>
              <w:t>överläggningen</w:t>
            </w:r>
          </w:p>
          <w:p w:rsidR="007746F3" w:rsidRPr="007746F3" w:rsidRDefault="00862393" w:rsidP="007746F3">
            <w:pPr>
              <w:tabs>
                <w:tab w:val="left" w:pos="1701"/>
              </w:tabs>
              <w:rPr>
                <w:snapToGrid w:val="0"/>
              </w:rPr>
            </w:pPr>
            <w:r>
              <w:rPr>
                <w:snapToGrid w:val="0"/>
              </w:rPr>
              <w:t>Fa</w:t>
            </w:r>
            <w:r w:rsidR="007746F3" w:rsidRPr="007746F3">
              <w:rPr>
                <w:snapToGrid w:val="0"/>
              </w:rPr>
              <w:t>kta</w:t>
            </w:r>
            <w:r>
              <w:rPr>
                <w:snapToGrid w:val="0"/>
              </w:rPr>
              <w:t>promemoria</w:t>
            </w:r>
            <w:r w:rsidR="007746F3" w:rsidRPr="007746F3">
              <w:rPr>
                <w:snapToGrid w:val="0"/>
              </w:rPr>
              <w:t xml:space="preserve"> från Utbildning</w:t>
            </w:r>
            <w:r w:rsidR="000724C3">
              <w:rPr>
                <w:snapToGrid w:val="0"/>
              </w:rPr>
              <w:t>sdepartementet FPM2016/17:154</w:t>
            </w:r>
          </w:p>
          <w:p w:rsidR="007746F3" w:rsidRDefault="007746F3" w:rsidP="007746F3">
            <w:pPr>
              <w:tabs>
                <w:tab w:val="left" w:pos="1701"/>
              </w:tabs>
              <w:rPr>
                <w:snapToGrid w:val="0"/>
              </w:rPr>
            </w:pPr>
          </w:p>
          <w:p w:rsidR="007746F3" w:rsidRPr="00FA3460" w:rsidRDefault="007746F3" w:rsidP="007746F3">
            <w:pPr>
              <w:tabs>
                <w:tab w:val="left" w:pos="1701"/>
              </w:tabs>
              <w:rPr>
                <w:i/>
                <w:snapToGrid w:val="0"/>
              </w:rPr>
            </w:pPr>
            <w:r w:rsidRPr="00FA3460">
              <w:rPr>
                <w:i/>
                <w:snapToGrid w:val="0"/>
              </w:rPr>
              <w:t>Regeringens förslag till svensk ståndpunkt</w:t>
            </w:r>
          </w:p>
          <w:p w:rsidR="00481843" w:rsidRDefault="00481843" w:rsidP="00481843">
            <w:pPr>
              <w:tabs>
                <w:tab w:val="left" w:pos="1701"/>
              </w:tabs>
              <w:rPr>
                <w:snapToGrid w:val="0"/>
              </w:rPr>
            </w:pPr>
            <w:r w:rsidRPr="00481843">
              <w:rPr>
                <w:snapToGrid w:val="0"/>
              </w:rPr>
              <w:t>Regeringens vägledande mål för förhandlingarna om EU:s fleråriga</w:t>
            </w:r>
            <w:r w:rsidR="00A63259">
              <w:rPr>
                <w:snapToGrid w:val="0"/>
              </w:rPr>
              <w:t xml:space="preserve"> </w:t>
            </w:r>
            <w:r w:rsidRPr="00481843">
              <w:rPr>
                <w:snapToGrid w:val="0"/>
              </w:rPr>
              <w:t>budgetram för åren 2021-2027 är att budgeten ska minska. En del av det</w:t>
            </w:r>
            <w:r w:rsidR="00A63259">
              <w:rPr>
                <w:snapToGrid w:val="0"/>
              </w:rPr>
              <w:t xml:space="preserve"> </w:t>
            </w:r>
            <w:r w:rsidRPr="00481843">
              <w:rPr>
                <w:snapToGrid w:val="0"/>
              </w:rPr>
              <w:t>generella målet för nästa budgetperiod är bland annat att omprioriteringar bör</w:t>
            </w:r>
            <w:r w:rsidR="00A63259">
              <w:rPr>
                <w:snapToGrid w:val="0"/>
              </w:rPr>
              <w:t xml:space="preserve"> </w:t>
            </w:r>
            <w:r w:rsidRPr="00481843">
              <w:rPr>
                <w:snapToGrid w:val="0"/>
              </w:rPr>
              <w:t>ske till förmån för gemensamma åtgärder inom konkurrenskraft, miljö och</w:t>
            </w:r>
            <w:r w:rsidR="00A63259">
              <w:rPr>
                <w:snapToGrid w:val="0"/>
              </w:rPr>
              <w:t xml:space="preserve"> </w:t>
            </w:r>
            <w:r w:rsidRPr="00481843">
              <w:rPr>
                <w:snapToGrid w:val="0"/>
              </w:rPr>
              <w:t>klimat, samt forskning och innovation inom den minskade totala ramen. Det</w:t>
            </w:r>
            <w:r w:rsidR="00A63259">
              <w:rPr>
                <w:snapToGrid w:val="0"/>
              </w:rPr>
              <w:t xml:space="preserve"> </w:t>
            </w:r>
            <w:r w:rsidRPr="00481843">
              <w:rPr>
                <w:snapToGrid w:val="0"/>
              </w:rPr>
              <w:t>sker genom väsentliga minskningar av utgiftsramarna för jordbrukspolitiken</w:t>
            </w:r>
            <w:r w:rsidR="00A63259">
              <w:rPr>
                <w:snapToGrid w:val="0"/>
              </w:rPr>
              <w:t xml:space="preserve"> </w:t>
            </w:r>
            <w:r w:rsidRPr="00481843">
              <w:rPr>
                <w:snapToGrid w:val="0"/>
              </w:rPr>
              <w:t>och sammanhållningspolitiken. Regeringens linje är dock alltjämt att hela</w:t>
            </w:r>
            <w:r w:rsidR="00A63259">
              <w:rPr>
                <w:snapToGrid w:val="0"/>
              </w:rPr>
              <w:t xml:space="preserve"> </w:t>
            </w:r>
            <w:r w:rsidRPr="00481843">
              <w:rPr>
                <w:snapToGrid w:val="0"/>
              </w:rPr>
              <w:t>budgeten ska minska och att besparingar även på rymdområdet kan behöva</w:t>
            </w:r>
            <w:r w:rsidR="00A63259">
              <w:rPr>
                <w:snapToGrid w:val="0"/>
              </w:rPr>
              <w:t xml:space="preserve"> </w:t>
            </w:r>
            <w:r w:rsidRPr="00481843">
              <w:rPr>
                <w:snapToGrid w:val="0"/>
              </w:rPr>
              <w:t>accepteras jämfört med kommissionens förslag.</w:t>
            </w:r>
          </w:p>
          <w:p w:rsidR="00A63259" w:rsidRPr="00481843" w:rsidRDefault="00A63259" w:rsidP="00481843">
            <w:pPr>
              <w:tabs>
                <w:tab w:val="left" w:pos="1701"/>
              </w:tabs>
              <w:rPr>
                <w:snapToGrid w:val="0"/>
              </w:rPr>
            </w:pPr>
          </w:p>
          <w:p w:rsidR="00481843" w:rsidRDefault="00481843" w:rsidP="00481843">
            <w:pPr>
              <w:tabs>
                <w:tab w:val="left" w:pos="1701"/>
              </w:tabs>
              <w:rPr>
                <w:snapToGrid w:val="0"/>
              </w:rPr>
            </w:pPr>
            <w:r w:rsidRPr="00481843">
              <w:rPr>
                <w:snapToGrid w:val="0"/>
              </w:rPr>
              <w:t>Inom ramen för denna vägledande linje välkomnar regeringen</w:t>
            </w:r>
            <w:r w:rsidR="00A63259">
              <w:rPr>
                <w:snapToGrid w:val="0"/>
              </w:rPr>
              <w:t xml:space="preserve"> </w:t>
            </w:r>
            <w:r w:rsidRPr="00481843">
              <w:rPr>
                <w:snapToGrid w:val="0"/>
              </w:rPr>
              <w:t>kommissionens förslag om ett enda rymdprogram med ett samlat regelverk</w:t>
            </w:r>
            <w:r w:rsidR="00A63259">
              <w:rPr>
                <w:snapToGrid w:val="0"/>
              </w:rPr>
              <w:t xml:space="preserve"> </w:t>
            </w:r>
            <w:r w:rsidRPr="00481843">
              <w:rPr>
                <w:snapToGrid w:val="0"/>
              </w:rPr>
              <w:t>för alla EU:s rymdsatsningar. Rätt hanterat kan förordningen bidra till att</w:t>
            </w:r>
            <w:r w:rsidR="00A63259">
              <w:rPr>
                <w:snapToGrid w:val="0"/>
              </w:rPr>
              <w:t xml:space="preserve"> </w:t>
            </w:r>
            <w:r w:rsidRPr="00481843">
              <w:rPr>
                <w:snapToGrid w:val="0"/>
              </w:rPr>
              <w:t>säkra delprogrammens kontinuitet och långsiktiga finansiering på ett bättre</w:t>
            </w:r>
            <w:r w:rsidR="00A63259">
              <w:rPr>
                <w:snapToGrid w:val="0"/>
              </w:rPr>
              <w:t xml:space="preserve"> </w:t>
            </w:r>
            <w:r w:rsidRPr="00481843">
              <w:rPr>
                <w:snapToGrid w:val="0"/>
              </w:rPr>
              <w:t>sätt än om de skulle regleras var för sig.</w:t>
            </w:r>
          </w:p>
          <w:p w:rsidR="00A63259" w:rsidRPr="00481843" w:rsidRDefault="00A63259" w:rsidP="00481843">
            <w:pPr>
              <w:tabs>
                <w:tab w:val="left" w:pos="1701"/>
              </w:tabs>
              <w:rPr>
                <w:snapToGrid w:val="0"/>
              </w:rPr>
            </w:pPr>
          </w:p>
          <w:p w:rsidR="00481843" w:rsidRDefault="00481843" w:rsidP="00481843">
            <w:pPr>
              <w:tabs>
                <w:tab w:val="left" w:pos="1701"/>
              </w:tabs>
              <w:rPr>
                <w:snapToGrid w:val="0"/>
              </w:rPr>
            </w:pPr>
            <w:r w:rsidRPr="00481843">
              <w:rPr>
                <w:snapToGrid w:val="0"/>
              </w:rPr>
              <w:t>Regeringen anser att svensk målsättning för rymdprogrammet bör vara att</w:t>
            </w:r>
            <w:r w:rsidR="00A63259">
              <w:rPr>
                <w:snapToGrid w:val="0"/>
              </w:rPr>
              <w:t xml:space="preserve"> </w:t>
            </w:r>
            <w:r w:rsidRPr="00481843">
              <w:rPr>
                <w:snapToGrid w:val="0"/>
              </w:rPr>
              <w:t>EU:s satsningar inom rymd ska leda till att Europas konkurrenskraft stärks.</w:t>
            </w:r>
            <w:r w:rsidR="00A63259">
              <w:rPr>
                <w:snapToGrid w:val="0"/>
              </w:rPr>
              <w:t xml:space="preserve"> </w:t>
            </w:r>
            <w:r w:rsidRPr="00481843">
              <w:rPr>
                <w:snapToGrid w:val="0"/>
              </w:rPr>
              <w:t>De data och tjänster som rymdprogrammet tillhandahåller och möjliggör ska</w:t>
            </w:r>
            <w:r w:rsidR="00A63259">
              <w:rPr>
                <w:snapToGrid w:val="0"/>
              </w:rPr>
              <w:t xml:space="preserve"> </w:t>
            </w:r>
            <w:r w:rsidRPr="00481843">
              <w:rPr>
                <w:snapToGrid w:val="0"/>
              </w:rPr>
              <w:t>leda till största möjliga samhällsnytta, bl.a. genom att bidra till kunskap och</w:t>
            </w:r>
            <w:r w:rsidR="00A63259">
              <w:rPr>
                <w:snapToGrid w:val="0"/>
              </w:rPr>
              <w:t xml:space="preserve"> </w:t>
            </w:r>
            <w:r w:rsidRPr="00481843">
              <w:rPr>
                <w:snapToGrid w:val="0"/>
              </w:rPr>
              <w:t>beslutsunderlag för klimat- och miljöinsatser. Svenska aktörer ska aktivt</w:t>
            </w:r>
            <w:r w:rsidR="00A63259">
              <w:rPr>
                <w:snapToGrid w:val="0"/>
              </w:rPr>
              <w:t xml:space="preserve"> </w:t>
            </w:r>
            <w:r w:rsidRPr="00481843">
              <w:rPr>
                <w:snapToGrid w:val="0"/>
              </w:rPr>
              <w:t>kunna delta i och dra nytta av de aktiviteter och initiativ som genomförs</w:t>
            </w:r>
            <w:r w:rsidR="00A63259">
              <w:rPr>
                <w:snapToGrid w:val="0"/>
              </w:rPr>
              <w:t xml:space="preserve"> </w:t>
            </w:r>
            <w:r w:rsidRPr="00481843">
              <w:rPr>
                <w:snapToGrid w:val="0"/>
              </w:rPr>
              <w:t>inom programmet på samma villkor som övrig industri. Regeringen kommer</w:t>
            </w:r>
            <w:r w:rsidR="00A63259">
              <w:rPr>
                <w:snapToGrid w:val="0"/>
              </w:rPr>
              <w:t xml:space="preserve"> </w:t>
            </w:r>
            <w:r w:rsidRPr="00481843">
              <w:rPr>
                <w:snapToGrid w:val="0"/>
              </w:rPr>
              <w:t>därför att verka bl.a. för att programmet och upphandlingarna är öppna för</w:t>
            </w:r>
            <w:r w:rsidR="00A63259">
              <w:rPr>
                <w:snapToGrid w:val="0"/>
              </w:rPr>
              <w:t xml:space="preserve"> </w:t>
            </w:r>
            <w:r w:rsidRPr="00481843">
              <w:rPr>
                <w:snapToGrid w:val="0"/>
              </w:rPr>
              <w:t>företag med ägare från ett icke-EU land, vilket är situationen för några av de</w:t>
            </w:r>
            <w:r w:rsidR="00A63259">
              <w:rPr>
                <w:snapToGrid w:val="0"/>
              </w:rPr>
              <w:t xml:space="preserve"> </w:t>
            </w:r>
            <w:r w:rsidRPr="00481843">
              <w:rPr>
                <w:snapToGrid w:val="0"/>
              </w:rPr>
              <w:t>största svenska rymdföretagen, och för att säkerhetskraven därför är</w:t>
            </w:r>
            <w:r w:rsidR="00A63259">
              <w:rPr>
                <w:snapToGrid w:val="0"/>
              </w:rPr>
              <w:t xml:space="preserve"> </w:t>
            </w:r>
            <w:r w:rsidRPr="00481843">
              <w:rPr>
                <w:snapToGrid w:val="0"/>
              </w:rPr>
              <w:t>balanserade på ett sådant sätt att inte konkurrensen snedvrids till de svenska</w:t>
            </w:r>
            <w:r w:rsidR="00A63259">
              <w:rPr>
                <w:snapToGrid w:val="0"/>
              </w:rPr>
              <w:t xml:space="preserve"> </w:t>
            </w:r>
            <w:r w:rsidRPr="00481843">
              <w:rPr>
                <w:snapToGrid w:val="0"/>
              </w:rPr>
              <w:t>rymdföretagens nackdel.</w:t>
            </w:r>
          </w:p>
          <w:p w:rsidR="00A63259" w:rsidRPr="00481843" w:rsidRDefault="00A63259" w:rsidP="00481843">
            <w:pPr>
              <w:tabs>
                <w:tab w:val="left" w:pos="1701"/>
              </w:tabs>
              <w:rPr>
                <w:snapToGrid w:val="0"/>
              </w:rPr>
            </w:pPr>
          </w:p>
          <w:p w:rsidR="00481843" w:rsidRDefault="00481843" w:rsidP="00481843">
            <w:pPr>
              <w:tabs>
                <w:tab w:val="left" w:pos="1701"/>
              </w:tabs>
              <w:rPr>
                <w:snapToGrid w:val="0"/>
              </w:rPr>
            </w:pPr>
            <w:r w:rsidRPr="00481843">
              <w:rPr>
                <w:snapToGrid w:val="0"/>
              </w:rPr>
              <w:t>Regeringen anser att programmet bör vara öppet för deltagande från EU:s</w:t>
            </w:r>
            <w:r w:rsidR="00A63259">
              <w:rPr>
                <w:snapToGrid w:val="0"/>
              </w:rPr>
              <w:t xml:space="preserve"> </w:t>
            </w:r>
            <w:r w:rsidRPr="00481843">
              <w:rPr>
                <w:snapToGrid w:val="0"/>
              </w:rPr>
              <w:t>säkerhetspolitiska samarbetspartners, även vad gäller SST och Galileo.</w:t>
            </w:r>
          </w:p>
          <w:p w:rsidR="00A63259" w:rsidRPr="00481843" w:rsidRDefault="00A63259" w:rsidP="00481843">
            <w:pPr>
              <w:tabs>
                <w:tab w:val="left" w:pos="1701"/>
              </w:tabs>
              <w:rPr>
                <w:snapToGrid w:val="0"/>
              </w:rPr>
            </w:pPr>
          </w:p>
          <w:p w:rsidR="00481843" w:rsidRPr="00481843" w:rsidRDefault="00481843" w:rsidP="00481843">
            <w:pPr>
              <w:tabs>
                <w:tab w:val="left" w:pos="1701"/>
              </w:tabs>
              <w:rPr>
                <w:snapToGrid w:val="0"/>
              </w:rPr>
            </w:pPr>
            <w:r w:rsidRPr="00481843">
              <w:rPr>
                <w:snapToGrid w:val="0"/>
              </w:rPr>
              <w:t>För att rymdprogrammet ska kunna genomföras anser regeringen att de</w:t>
            </w:r>
            <w:r w:rsidR="00A63259">
              <w:rPr>
                <w:snapToGrid w:val="0"/>
              </w:rPr>
              <w:t xml:space="preserve"> </w:t>
            </w:r>
            <w:r w:rsidRPr="00481843">
              <w:rPr>
                <w:snapToGrid w:val="0"/>
              </w:rPr>
              <w:t>nationella säkerhetsfrågorna bör prioriteras i regelverket. Regeringen ser i</w:t>
            </w:r>
            <w:r w:rsidR="00A63259">
              <w:rPr>
                <w:snapToGrid w:val="0"/>
              </w:rPr>
              <w:t xml:space="preserve"> </w:t>
            </w:r>
            <w:r w:rsidRPr="00481843">
              <w:rPr>
                <w:snapToGrid w:val="0"/>
              </w:rPr>
              <w:t>grunden positivt på den generella ambitionshöjning på detta område som</w:t>
            </w:r>
            <w:r w:rsidR="00A63259">
              <w:rPr>
                <w:snapToGrid w:val="0"/>
              </w:rPr>
              <w:t xml:space="preserve"> </w:t>
            </w:r>
            <w:r w:rsidRPr="00481843">
              <w:rPr>
                <w:snapToGrid w:val="0"/>
              </w:rPr>
              <w:t>programmet innebär. Samtidigt finns här stor anledning att bevaka att</w:t>
            </w:r>
            <w:r w:rsidR="00A63259">
              <w:rPr>
                <w:snapToGrid w:val="0"/>
              </w:rPr>
              <w:t xml:space="preserve"> </w:t>
            </w:r>
            <w:r w:rsidRPr="00481843">
              <w:rPr>
                <w:snapToGrid w:val="0"/>
              </w:rPr>
              <w:t>Sveriges nationella säkerhetsintressen inte inskränks. Förslaget om att ge den</w:t>
            </w:r>
            <w:r w:rsidR="00A63259">
              <w:rPr>
                <w:snapToGrid w:val="0"/>
              </w:rPr>
              <w:t xml:space="preserve"> </w:t>
            </w:r>
            <w:r w:rsidRPr="00481843">
              <w:rPr>
                <w:snapToGrid w:val="0"/>
              </w:rPr>
              <w:t>Europeiska unionens rymdprogrambyrå större mandat att utföra</w:t>
            </w:r>
            <w:r w:rsidR="00A63259">
              <w:rPr>
                <w:snapToGrid w:val="0"/>
              </w:rPr>
              <w:t xml:space="preserve"> </w:t>
            </w:r>
            <w:r w:rsidRPr="00481843">
              <w:rPr>
                <w:snapToGrid w:val="0"/>
              </w:rPr>
              <w:t>säkerhetsackrediteringar och det faktum att programmets säkerhetsramverk</w:t>
            </w:r>
            <w:r w:rsidR="00A63259">
              <w:rPr>
                <w:snapToGrid w:val="0"/>
              </w:rPr>
              <w:t xml:space="preserve"> </w:t>
            </w:r>
            <w:r w:rsidRPr="00481843">
              <w:rPr>
                <w:snapToGrid w:val="0"/>
              </w:rPr>
              <w:t>preciseras och standardiseras, kan medföra att medlemsstaterna blir skyldiga</w:t>
            </w:r>
            <w:r w:rsidR="00A63259">
              <w:rPr>
                <w:snapToGrid w:val="0"/>
              </w:rPr>
              <w:t xml:space="preserve"> </w:t>
            </w:r>
            <w:r w:rsidRPr="00481843">
              <w:rPr>
                <w:snapToGrid w:val="0"/>
              </w:rPr>
              <w:t>att följa regler och anvisningar för hur bl.a. säkerhetsprövning,</w:t>
            </w:r>
            <w:r w:rsidR="00A63259">
              <w:rPr>
                <w:snapToGrid w:val="0"/>
              </w:rPr>
              <w:t xml:space="preserve"> </w:t>
            </w:r>
            <w:r w:rsidRPr="00481843">
              <w:rPr>
                <w:snapToGrid w:val="0"/>
              </w:rPr>
              <w:t>säkerhetsanalyser och riskbedömningar för nationell infrastruktur ska</w:t>
            </w:r>
            <w:r w:rsidR="00A63259">
              <w:rPr>
                <w:snapToGrid w:val="0"/>
              </w:rPr>
              <w:t xml:space="preserve"> </w:t>
            </w:r>
            <w:r w:rsidRPr="00481843">
              <w:rPr>
                <w:snapToGrid w:val="0"/>
              </w:rPr>
              <w:t>utföras. För svenskt vidkommande regleras dessa skyldigheter i</w:t>
            </w:r>
            <w:r w:rsidR="00A63259">
              <w:rPr>
                <w:snapToGrid w:val="0"/>
              </w:rPr>
              <w:t xml:space="preserve"> </w:t>
            </w:r>
            <w:r w:rsidRPr="00481843">
              <w:rPr>
                <w:snapToGrid w:val="0"/>
              </w:rPr>
              <w:t>säkerhetsskyddslagstiftningen. Förslaget kan också innebära en långtgående</w:t>
            </w:r>
            <w:r w:rsidR="00A63259">
              <w:rPr>
                <w:snapToGrid w:val="0"/>
              </w:rPr>
              <w:t xml:space="preserve"> </w:t>
            </w:r>
            <w:r w:rsidRPr="00481843">
              <w:rPr>
                <w:snapToGrid w:val="0"/>
              </w:rPr>
              <w:t>uppgiftsskyldighet kring kritisk infrastruktur och system som har betydelse</w:t>
            </w:r>
            <w:r w:rsidR="00A63259">
              <w:rPr>
                <w:snapToGrid w:val="0"/>
              </w:rPr>
              <w:t xml:space="preserve"> </w:t>
            </w:r>
            <w:r w:rsidRPr="00481843">
              <w:rPr>
                <w:snapToGrid w:val="0"/>
              </w:rPr>
              <w:t>för Sveriges säkerhet. En sådan utveckling skulle innebära att kommissionen</w:t>
            </w:r>
            <w:r w:rsidR="00A63259">
              <w:rPr>
                <w:snapToGrid w:val="0"/>
              </w:rPr>
              <w:t xml:space="preserve"> </w:t>
            </w:r>
            <w:r w:rsidRPr="00481843">
              <w:rPr>
                <w:snapToGrid w:val="0"/>
              </w:rPr>
              <w:t>får ett större inflytande på det område som omfattas av medlemsstaternas</w:t>
            </w:r>
            <w:r w:rsidR="00A63259">
              <w:rPr>
                <w:snapToGrid w:val="0"/>
              </w:rPr>
              <w:t xml:space="preserve"> </w:t>
            </w:r>
            <w:r w:rsidRPr="00481843">
              <w:rPr>
                <w:snapToGrid w:val="0"/>
              </w:rPr>
              <w:t>kompetens. Sverige kommer därför behöva verka för att den föreslagna</w:t>
            </w:r>
            <w:r w:rsidR="00A63259">
              <w:rPr>
                <w:snapToGrid w:val="0"/>
              </w:rPr>
              <w:t xml:space="preserve"> </w:t>
            </w:r>
            <w:r w:rsidRPr="00481843">
              <w:rPr>
                <w:snapToGrid w:val="0"/>
              </w:rPr>
              <w:t>förordningens säkerhetsbestämmelser inte utmynnar i en inskränkning av det</w:t>
            </w:r>
            <w:r w:rsidR="00A63259">
              <w:rPr>
                <w:snapToGrid w:val="0"/>
              </w:rPr>
              <w:t xml:space="preserve"> </w:t>
            </w:r>
            <w:r w:rsidRPr="00481843">
              <w:rPr>
                <w:snapToGrid w:val="0"/>
              </w:rPr>
              <w:t>område där medlemsstaterna har exklusiv kompetens med anledning av</w:t>
            </w:r>
            <w:r w:rsidR="00A63259">
              <w:rPr>
                <w:snapToGrid w:val="0"/>
              </w:rPr>
              <w:t xml:space="preserve"> </w:t>
            </w:r>
            <w:r w:rsidRPr="00481843">
              <w:rPr>
                <w:snapToGrid w:val="0"/>
              </w:rPr>
              <w:t>nationell säkerhet.</w:t>
            </w:r>
          </w:p>
          <w:p w:rsidR="00A63259" w:rsidRDefault="00A63259" w:rsidP="00481843">
            <w:pPr>
              <w:tabs>
                <w:tab w:val="left" w:pos="1701"/>
              </w:tabs>
              <w:rPr>
                <w:snapToGrid w:val="0"/>
              </w:rPr>
            </w:pPr>
          </w:p>
          <w:p w:rsidR="00481843" w:rsidRDefault="00481843" w:rsidP="00481843">
            <w:pPr>
              <w:tabs>
                <w:tab w:val="left" w:pos="1701"/>
              </w:tabs>
              <w:rPr>
                <w:snapToGrid w:val="0"/>
              </w:rPr>
            </w:pPr>
            <w:r w:rsidRPr="00481843">
              <w:rPr>
                <w:snapToGrid w:val="0"/>
              </w:rPr>
              <w:t>Regeringen anser att för att den europeiska rymdverksamheten ska kunna</w:t>
            </w:r>
            <w:r w:rsidR="00A63259">
              <w:rPr>
                <w:snapToGrid w:val="0"/>
              </w:rPr>
              <w:t xml:space="preserve"> </w:t>
            </w:r>
            <w:r w:rsidRPr="00481843">
              <w:rPr>
                <w:snapToGrid w:val="0"/>
              </w:rPr>
              <w:t>möta de globala utmaningarna är det avgörande med samstämmighet mellan</w:t>
            </w:r>
            <w:r w:rsidR="00A63259">
              <w:rPr>
                <w:snapToGrid w:val="0"/>
              </w:rPr>
              <w:t xml:space="preserve"> </w:t>
            </w:r>
            <w:r w:rsidRPr="00481843">
              <w:rPr>
                <w:snapToGrid w:val="0"/>
              </w:rPr>
              <w:t>unionen, det europeiska rymdorganet ESA och medlemsstaterna samtidigt</w:t>
            </w:r>
            <w:r w:rsidR="00A63259">
              <w:rPr>
                <w:snapToGrid w:val="0"/>
              </w:rPr>
              <w:t xml:space="preserve"> </w:t>
            </w:r>
            <w:r w:rsidRPr="00481843">
              <w:rPr>
                <w:snapToGrid w:val="0"/>
              </w:rPr>
              <w:t>som skillnaderna mellan unionens och ESA:s regelverk beaktas.</w:t>
            </w:r>
            <w:r w:rsidR="00A63259">
              <w:rPr>
                <w:snapToGrid w:val="0"/>
              </w:rPr>
              <w:t xml:space="preserve"> </w:t>
            </w:r>
          </w:p>
          <w:p w:rsidR="00A63259" w:rsidRPr="00481843" w:rsidRDefault="00A63259" w:rsidP="00481843">
            <w:pPr>
              <w:tabs>
                <w:tab w:val="left" w:pos="1701"/>
              </w:tabs>
              <w:rPr>
                <w:snapToGrid w:val="0"/>
              </w:rPr>
            </w:pPr>
          </w:p>
          <w:p w:rsidR="00481843" w:rsidRDefault="00481843" w:rsidP="00481843">
            <w:pPr>
              <w:tabs>
                <w:tab w:val="left" w:pos="1701"/>
              </w:tabs>
              <w:rPr>
                <w:snapToGrid w:val="0"/>
              </w:rPr>
            </w:pPr>
            <w:r w:rsidRPr="00481843">
              <w:rPr>
                <w:snapToGrid w:val="0"/>
              </w:rPr>
              <w:t>Vidare anser regeringen att det är viktigt att verka för att säkerställa en</w:t>
            </w:r>
            <w:r w:rsidR="00A63259">
              <w:rPr>
                <w:snapToGrid w:val="0"/>
              </w:rPr>
              <w:t xml:space="preserve"> </w:t>
            </w:r>
            <w:r w:rsidRPr="00481843">
              <w:rPr>
                <w:snapToGrid w:val="0"/>
              </w:rPr>
              <w:t>kontinuerlig dataförsörjning och den fortsatta driften av Copernicus, för att</w:t>
            </w:r>
            <w:r w:rsidR="00A63259">
              <w:rPr>
                <w:snapToGrid w:val="0"/>
              </w:rPr>
              <w:t xml:space="preserve"> </w:t>
            </w:r>
            <w:r w:rsidRPr="00481843">
              <w:rPr>
                <w:snapToGrid w:val="0"/>
              </w:rPr>
              <w:t>vidmakthålla Europas ledande position inom jordobservationsområdet. Det</w:t>
            </w:r>
            <w:r w:rsidR="00A63259">
              <w:rPr>
                <w:snapToGrid w:val="0"/>
              </w:rPr>
              <w:t xml:space="preserve"> </w:t>
            </w:r>
            <w:r w:rsidRPr="00481843">
              <w:rPr>
                <w:snapToGrid w:val="0"/>
              </w:rPr>
              <w:t>är viktigt att Copernicus förblir användarstyrt och det är angeläget att</w:t>
            </w:r>
            <w:r w:rsidR="00A63259">
              <w:rPr>
                <w:snapToGrid w:val="0"/>
              </w:rPr>
              <w:t xml:space="preserve"> </w:t>
            </w:r>
            <w:r w:rsidRPr="00481843">
              <w:rPr>
                <w:snapToGrid w:val="0"/>
              </w:rPr>
              <w:t>datapolicyn fortsätter att vara öppen. En datapolicy med fri, full och öppen</w:t>
            </w:r>
            <w:r w:rsidR="00A63259">
              <w:rPr>
                <w:snapToGrid w:val="0"/>
              </w:rPr>
              <w:t xml:space="preserve"> </w:t>
            </w:r>
            <w:r w:rsidRPr="00481843">
              <w:rPr>
                <w:snapToGrid w:val="0"/>
              </w:rPr>
              <w:t>tillgång till data är en förutsättning för att främja framväxten av innovativa</w:t>
            </w:r>
            <w:r w:rsidR="00A63259">
              <w:rPr>
                <w:snapToGrid w:val="0"/>
              </w:rPr>
              <w:t xml:space="preserve"> </w:t>
            </w:r>
            <w:r w:rsidRPr="00481843">
              <w:rPr>
                <w:snapToGrid w:val="0"/>
              </w:rPr>
              <w:t>företag nedströms. Regeringen stöder ambitionen att investeringarna i</w:t>
            </w:r>
            <w:r w:rsidR="00A63259">
              <w:rPr>
                <w:snapToGrid w:val="0"/>
              </w:rPr>
              <w:t xml:space="preserve"> </w:t>
            </w:r>
            <w:r w:rsidRPr="00481843">
              <w:rPr>
                <w:snapToGrid w:val="0"/>
              </w:rPr>
              <w:t>Copernicus ska ge största möjliga samhällsnytta och bidra till en hållbar</w:t>
            </w:r>
            <w:r w:rsidR="00A63259">
              <w:rPr>
                <w:snapToGrid w:val="0"/>
              </w:rPr>
              <w:t xml:space="preserve"> </w:t>
            </w:r>
            <w:r w:rsidRPr="00481843">
              <w:rPr>
                <w:snapToGrid w:val="0"/>
              </w:rPr>
              <w:t>utveckling, och att det samtidigt säkerställs att medlemsstaternas säkerhet</w:t>
            </w:r>
            <w:r w:rsidR="00A63259">
              <w:rPr>
                <w:snapToGrid w:val="0"/>
              </w:rPr>
              <w:t xml:space="preserve"> </w:t>
            </w:r>
            <w:r w:rsidRPr="00481843">
              <w:rPr>
                <w:snapToGrid w:val="0"/>
              </w:rPr>
              <w:t>inte riskeras.</w:t>
            </w:r>
          </w:p>
          <w:p w:rsidR="00A63259" w:rsidRPr="00481843" w:rsidRDefault="00A63259" w:rsidP="00481843">
            <w:pPr>
              <w:tabs>
                <w:tab w:val="left" w:pos="1701"/>
              </w:tabs>
              <w:rPr>
                <w:snapToGrid w:val="0"/>
              </w:rPr>
            </w:pPr>
          </w:p>
          <w:p w:rsidR="00A63259" w:rsidRDefault="00481843" w:rsidP="00481843">
            <w:pPr>
              <w:tabs>
                <w:tab w:val="left" w:pos="1701"/>
              </w:tabs>
              <w:rPr>
                <w:snapToGrid w:val="0"/>
              </w:rPr>
            </w:pPr>
            <w:r w:rsidRPr="00481843">
              <w:rPr>
                <w:snapToGrid w:val="0"/>
              </w:rPr>
              <w:t>Regeringen eftersträvar i första hand budgetrestriktivitet och</w:t>
            </w:r>
            <w:r w:rsidR="00A63259">
              <w:rPr>
                <w:snapToGrid w:val="0"/>
              </w:rPr>
              <w:t xml:space="preserve"> </w:t>
            </w:r>
            <w:r w:rsidRPr="00481843">
              <w:rPr>
                <w:snapToGrid w:val="0"/>
              </w:rPr>
              <w:t>kostnadskontroll för satellitnavigeringsprogrammet Galileo och minimal</w:t>
            </w:r>
            <w:r w:rsidR="00A63259">
              <w:rPr>
                <w:snapToGrid w:val="0"/>
              </w:rPr>
              <w:t xml:space="preserve"> </w:t>
            </w:r>
            <w:r w:rsidRPr="00481843">
              <w:rPr>
                <w:snapToGrid w:val="0"/>
              </w:rPr>
              <w:t>påverkan på svensk lagstiftning och på hur Sverige organiserar det nationella</w:t>
            </w:r>
            <w:r w:rsidR="00A63259">
              <w:rPr>
                <w:snapToGrid w:val="0"/>
              </w:rPr>
              <w:t xml:space="preserve"> </w:t>
            </w:r>
            <w:r w:rsidRPr="00481843">
              <w:rPr>
                <w:snapToGrid w:val="0"/>
              </w:rPr>
              <w:t>säkerhetsarbetet. Givet att dessa principer respekteras ser regeringen positivt</w:t>
            </w:r>
            <w:r w:rsidR="00A63259">
              <w:rPr>
                <w:snapToGrid w:val="0"/>
              </w:rPr>
              <w:t xml:space="preserve"> </w:t>
            </w:r>
            <w:r w:rsidRPr="00481843">
              <w:rPr>
                <w:snapToGrid w:val="0"/>
              </w:rPr>
              <w:t>på Galileoprogrammet och dess framtida tjänster. Programmet tjänar flera</w:t>
            </w:r>
            <w:r w:rsidR="00A63259">
              <w:rPr>
                <w:snapToGrid w:val="0"/>
              </w:rPr>
              <w:t xml:space="preserve"> </w:t>
            </w:r>
            <w:r w:rsidRPr="00481843">
              <w:rPr>
                <w:snapToGrid w:val="0"/>
              </w:rPr>
              <w:t>politikområden, bland annat forskning och utveckling, transport och</w:t>
            </w:r>
            <w:r w:rsidR="00A63259">
              <w:rPr>
                <w:snapToGrid w:val="0"/>
              </w:rPr>
              <w:t xml:space="preserve"> </w:t>
            </w:r>
            <w:r w:rsidRPr="00481843">
              <w:rPr>
                <w:snapToGrid w:val="0"/>
              </w:rPr>
              <w:t>infrastruktur, säkerhet, försvar, miljö och näringslivsfrågor för att nämna</w:t>
            </w:r>
            <w:r w:rsidR="00A63259">
              <w:rPr>
                <w:snapToGrid w:val="0"/>
              </w:rPr>
              <w:t xml:space="preserve"> </w:t>
            </w:r>
            <w:r w:rsidRPr="00481843">
              <w:rPr>
                <w:snapToGrid w:val="0"/>
              </w:rPr>
              <w:t>några exempel. Det hittills genomförda arbetet inom Galileo har varit</w:t>
            </w:r>
            <w:r w:rsidR="00A63259">
              <w:rPr>
                <w:snapToGrid w:val="0"/>
              </w:rPr>
              <w:t xml:space="preserve"> </w:t>
            </w:r>
            <w:r w:rsidRPr="00481843">
              <w:rPr>
                <w:snapToGrid w:val="0"/>
              </w:rPr>
              <w:t>strategiskt viktigt. Galileo och EGNOS bör om möjligt givet budgetramen</w:t>
            </w:r>
            <w:r w:rsidR="00A63259">
              <w:rPr>
                <w:snapToGrid w:val="0"/>
              </w:rPr>
              <w:t xml:space="preserve"> </w:t>
            </w:r>
            <w:r w:rsidRPr="00481843">
              <w:rPr>
                <w:snapToGrid w:val="0"/>
              </w:rPr>
              <w:t>kunna vara fullt operationella system givet Galileos måldatum som framgår</w:t>
            </w:r>
            <w:r w:rsidR="00A63259">
              <w:rPr>
                <w:snapToGrid w:val="0"/>
              </w:rPr>
              <w:t xml:space="preserve"> </w:t>
            </w:r>
            <w:r w:rsidRPr="00481843">
              <w:rPr>
                <w:snapToGrid w:val="0"/>
              </w:rPr>
              <w:t>enligt förordning (EU) nr 1285/2013 av den 11 december 2013, det vill säga</w:t>
            </w:r>
            <w:r w:rsidR="00A63259">
              <w:rPr>
                <w:snapToGrid w:val="0"/>
              </w:rPr>
              <w:t xml:space="preserve"> </w:t>
            </w:r>
            <w:r w:rsidRPr="00481843">
              <w:rPr>
                <w:snapToGrid w:val="0"/>
              </w:rPr>
              <w:t>den 31 december 2020.</w:t>
            </w:r>
            <w:r w:rsidR="00A63259">
              <w:rPr>
                <w:snapToGrid w:val="0"/>
              </w:rPr>
              <w:t xml:space="preserve"> </w:t>
            </w:r>
          </w:p>
          <w:p w:rsidR="00A63259" w:rsidRDefault="00A63259" w:rsidP="00481843">
            <w:pPr>
              <w:tabs>
                <w:tab w:val="left" w:pos="1701"/>
              </w:tabs>
              <w:rPr>
                <w:snapToGrid w:val="0"/>
              </w:rPr>
            </w:pPr>
          </w:p>
          <w:p w:rsidR="007746F3" w:rsidRDefault="00481843" w:rsidP="007746F3">
            <w:pPr>
              <w:tabs>
                <w:tab w:val="left" w:pos="1701"/>
              </w:tabs>
              <w:rPr>
                <w:snapToGrid w:val="0"/>
              </w:rPr>
            </w:pPr>
            <w:r w:rsidRPr="00481843">
              <w:rPr>
                <w:snapToGrid w:val="0"/>
              </w:rPr>
              <w:t>Regeringen anser att Sverige kan acceptera att den nuvarande europeiska</w:t>
            </w:r>
            <w:r w:rsidR="00A63259">
              <w:rPr>
                <w:snapToGrid w:val="0"/>
              </w:rPr>
              <w:t xml:space="preserve"> </w:t>
            </w:r>
            <w:r w:rsidRPr="00481843">
              <w:rPr>
                <w:snapToGrid w:val="0"/>
              </w:rPr>
              <w:t>myndigheten för satellitnavigeringssystem utvecklas med ansvar för</w:t>
            </w:r>
            <w:r w:rsidR="00A63259">
              <w:rPr>
                <w:snapToGrid w:val="0"/>
              </w:rPr>
              <w:t xml:space="preserve"> </w:t>
            </w:r>
            <w:r w:rsidRPr="00481843">
              <w:rPr>
                <w:snapToGrid w:val="0"/>
              </w:rPr>
              <w:t>genomförandet av rymdprogrammet. Förutsättningen är dock att det kan</w:t>
            </w:r>
            <w:r w:rsidR="00A63259">
              <w:rPr>
                <w:snapToGrid w:val="0"/>
              </w:rPr>
              <w:t xml:space="preserve"> </w:t>
            </w:r>
            <w:r w:rsidRPr="00481843">
              <w:rPr>
                <w:snapToGrid w:val="0"/>
              </w:rPr>
              <w:t>bevisas att det är kostnadseffektivt, att gränsdragningarna mot ESA är</w:t>
            </w:r>
            <w:r w:rsidR="00A63259">
              <w:rPr>
                <w:snapToGrid w:val="0"/>
              </w:rPr>
              <w:t xml:space="preserve"> </w:t>
            </w:r>
            <w:r w:rsidRPr="00481843">
              <w:rPr>
                <w:snapToGrid w:val="0"/>
              </w:rPr>
              <w:t>tydliga, att rätt kompetens kan knytas till myndigheten och att dess mandat</w:t>
            </w:r>
            <w:r w:rsidR="00A63259">
              <w:rPr>
                <w:snapToGrid w:val="0"/>
              </w:rPr>
              <w:t xml:space="preserve"> </w:t>
            </w:r>
            <w:r w:rsidRPr="00481843">
              <w:rPr>
                <w:snapToGrid w:val="0"/>
              </w:rPr>
              <w:t>inte påverkar medlemsstaternas exklusiva kompetens att skydda nationell</w:t>
            </w:r>
            <w:r w:rsidR="00A63259">
              <w:rPr>
                <w:snapToGrid w:val="0"/>
              </w:rPr>
              <w:t xml:space="preserve"> </w:t>
            </w:r>
            <w:r w:rsidRPr="00481843">
              <w:rPr>
                <w:snapToGrid w:val="0"/>
              </w:rPr>
              <w:t>säkerhet.</w:t>
            </w:r>
            <w:r w:rsidR="00A63259">
              <w:rPr>
                <w:snapToGrid w:val="0"/>
              </w:rPr>
              <w:t xml:space="preserve"> </w:t>
            </w:r>
          </w:p>
          <w:p w:rsidR="003526C0" w:rsidRDefault="003526C0" w:rsidP="007746F3">
            <w:pPr>
              <w:tabs>
                <w:tab w:val="left" w:pos="1701"/>
              </w:tabs>
              <w:rPr>
                <w:i/>
                <w:snapToGrid w:val="0"/>
              </w:rPr>
            </w:pPr>
          </w:p>
          <w:p w:rsidR="007746F3" w:rsidRPr="00FA3460" w:rsidRDefault="003526C0" w:rsidP="007746F3">
            <w:pPr>
              <w:tabs>
                <w:tab w:val="left" w:pos="1701"/>
              </w:tabs>
              <w:rPr>
                <w:i/>
                <w:snapToGrid w:val="0"/>
              </w:rPr>
            </w:pPr>
            <w:r>
              <w:rPr>
                <w:i/>
                <w:snapToGrid w:val="0"/>
              </w:rPr>
              <w:t>U</w:t>
            </w:r>
            <w:r w:rsidR="007746F3" w:rsidRPr="00FA3460">
              <w:rPr>
                <w:i/>
                <w:snapToGrid w:val="0"/>
              </w:rPr>
              <w:t>tskottet</w:t>
            </w:r>
          </w:p>
          <w:p w:rsidR="007746F3" w:rsidRPr="00FA3460" w:rsidRDefault="007746F3" w:rsidP="007746F3">
            <w:pPr>
              <w:tabs>
                <w:tab w:val="left" w:pos="1701"/>
              </w:tabs>
              <w:rPr>
                <w:snapToGrid w:val="0"/>
              </w:rPr>
            </w:pPr>
            <w:r w:rsidRPr="008520F6">
              <w:rPr>
                <w:snapToGrid w:val="0"/>
              </w:rPr>
              <w:t>Ordföranden konstaterade att det finns stöd i utskottet för regeringens ståndpunkt</w:t>
            </w:r>
            <w:r w:rsidR="00224B5B">
              <w:rPr>
                <w:snapToGrid w:val="0"/>
              </w:rPr>
              <w:t>.</w:t>
            </w:r>
            <w:r w:rsidRPr="00FA3460">
              <w:rPr>
                <w:snapToGrid w:val="0"/>
              </w:rPr>
              <w:t xml:space="preserve"> </w:t>
            </w:r>
          </w:p>
          <w:p w:rsidR="007746F3" w:rsidRDefault="007746F3" w:rsidP="007746F3">
            <w:pPr>
              <w:tabs>
                <w:tab w:val="left" w:pos="1701"/>
              </w:tabs>
              <w:rPr>
                <w:snapToGrid w:val="0"/>
              </w:rPr>
            </w:pPr>
          </w:p>
          <w:p w:rsidR="004F6A53" w:rsidRDefault="005975E0" w:rsidP="007746F3">
            <w:pPr>
              <w:tabs>
                <w:tab w:val="left" w:pos="1701"/>
              </w:tabs>
              <w:rPr>
                <w:snapToGrid w:val="0"/>
              </w:rPr>
            </w:pPr>
            <w:r>
              <w:rPr>
                <w:snapToGrid w:val="0"/>
              </w:rPr>
              <w:t>Ledamoten från</w:t>
            </w:r>
            <w:r w:rsidR="00427081">
              <w:rPr>
                <w:snapToGrid w:val="0"/>
              </w:rPr>
              <w:t xml:space="preserve"> V</w:t>
            </w:r>
            <w:r w:rsidR="006D58E5">
              <w:rPr>
                <w:snapToGrid w:val="0"/>
              </w:rPr>
              <w:t xml:space="preserve">änsterpartiet anmälde följande avvikande mening: </w:t>
            </w:r>
          </w:p>
          <w:p w:rsidR="006D58E5" w:rsidRDefault="006D58E5" w:rsidP="007746F3">
            <w:pPr>
              <w:tabs>
                <w:tab w:val="left" w:pos="1701"/>
              </w:tabs>
              <w:rPr>
                <w:snapToGrid w:val="0"/>
              </w:rPr>
            </w:pPr>
            <w:r>
              <w:rPr>
                <w:snapToGrid w:val="0"/>
              </w:rPr>
              <w:t>På grund av avsaknad av in</w:t>
            </w:r>
            <w:r w:rsidR="00EE6AE8">
              <w:rPr>
                <w:snapToGrid w:val="0"/>
              </w:rPr>
              <w:t xml:space="preserve">tegritetsskyddande skrivningar </w:t>
            </w:r>
            <w:r>
              <w:rPr>
                <w:snapToGrid w:val="0"/>
              </w:rPr>
              <w:t>i förslaget till förordning om inrättande av EU:s rymdprogram samt indikationer på deltagande från andra säkerhetspolitiska samarbetspartners såsom NATO-medlemmar</w:t>
            </w:r>
            <w:r w:rsidR="004F6A53">
              <w:rPr>
                <w:snapToGrid w:val="0"/>
              </w:rPr>
              <w:t xml:space="preserve">, har jag avvikande mening </w:t>
            </w:r>
            <w:r w:rsidR="005975E0">
              <w:rPr>
                <w:snapToGrid w:val="0"/>
              </w:rPr>
              <w:t>gällande dessa</w:t>
            </w:r>
            <w:r w:rsidR="003172DF">
              <w:rPr>
                <w:snapToGrid w:val="0"/>
              </w:rPr>
              <w:t xml:space="preserve"> frågor </w:t>
            </w:r>
            <w:r w:rsidR="005975E0">
              <w:rPr>
                <w:snapToGrid w:val="0"/>
              </w:rPr>
              <w:t>i</w:t>
            </w:r>
            <w:r w:rsidR="004F6A53">
              <w:rPr>
                <w:snapToGrid w:val="0"/>
              </w:rPr>
              <w:t xml:space="preserve"> den svenska ståndpunkten.</w:t>
            </w:r>
          </w:p>
          <w:p w:rsidR="004F6A53" w:rsidRPr="00FA3460" w:rsidRDefault="004F6A53" w:rsidP="007746F3">
            <w:pPr>
              <w:tabs>
                <w:tab w:val="left" w:pos="1701"/>
              </w:tabs>
              <w:rPr>
                <w:snapToGrid w:val="0"/>
              </w:rPr>
            </w:pPr>
          </w:p>
          <w:p w:rsidR="00FA3460" w:rsidRPr="00CF57A9" w:rsidRDefault="007746F3" w:rsidP="00117D8D">
            <w:pPr>
              <w:tabs>
                <w:tab w:val="left" w:pos="1701"/>
              </w:tabs>
              <w:rPr>
                <w:b/>
                <w:bCs/>
                <w:color w:val="000000"/>
                <w:szCs w:val="24"/>
              </w:rPr>
            </w:pPr>
            <w:r w:rsidRPr="00FA3460">
              <w:rPr>
                <w:snapToGrid w:val="0"/>
              </w:rPr>
              <w:t>Denna paragraf förklarades omedelbart justerad.</w:t>
            </w:r>
          </w:p>
        </w:tc>
      </w:tr>
      <w:tr w:rsidR="00FA3460" w:rsidTr="0008083C">
        <w:trPr>
          <w:trHeight w:val="384"/>
        </w:trPr>
        <w:tc>
          <w:tcPr>
            <w:tcW w:w="567" w:type="dxa"/>
          </w:tcPr>
          <w:p w:rsidR="00FA3460" w:rsidRPr="00ED7D7F" w:rsidRDefault="00FA3460" w:rsidP="00ED7D7F">
            <w:pPr>
              <w:tabs>
                <w:tab w:val="left" w:pos="1701"/>
              </w:tabs>
              <w:rPr>
                <w:b/>
                <w:snapToGrid w:val="0"/>
              </w:rPr>
            </w:pPr>
          </w:p>
        </w:tc>
        <w:tc>
          <w:tcPr>
            <w:tcW w:w="6947" w:type="dxa"/>
            <w:gridSpan w:val="2"/>
          </w:tcPr>
          <w:p w:rsidR="00FA3460" w:rsidRDefault="00FA3460" w:rsidP="00FA3460">
            <w:pPr>
              <w:tabs>
                <w:tab w:val="left" w:pos="1701"/>
              </w:tabs>
              <w:rPr>
                <w:snapToGrid w:val="0"/>
              </w:rPr>
            </w:pPr>
          </w:p>
        </w:tc>
      </w:tr>
      <w:tr w:rsidR="00FA3460" w:rsidTr="00ED7D7F">
        <w:tc>
          <w:tcPr>
            <w:tcW w:w="567" w:type="dxa"/>
          </w:tcPr>
          <w:p w:rsidR="00FA3460" w:rsidRPr="003B4DE8" w:rsidRDefault="00FA3460" w:rsidP="0008083C">
            <w:pPr>
              <w:pStyle w:val="Liststycke"/>
              <w:tabs>
                <w:tab w:val="left" w:pos="1701"/>
              </w:tabs>
              <w:ind w:left="360"/>
              <w:rPr>
                <w:b/>
                <w:snapToGrid w:val="0"/>
              </w:rPr>
            </w:pPr>
          </w:p>
        </w:tc>
        <w:tc>
          <w:tcPr>
            <w:tcW w:w="6947" w:type="dxa"/>
            <w:gridSpan w:val="2"/>
          </w:tcPr>
          <w:p w:rsidR="00F9402A" w:rsidRDefault="00F9402A" w:rsidP="00F9402A">
            <w:pPr>
              <w:tabs>
                <w:tab w:val="left" w:pos="1701"/>
              </w:tabs>
              <w:rPr>
                <w:snapToGrid w:val="0"/>
              </w:rPr>
            </w:pPr>
          </w:p>
        </w:tc>
      </w:tr>
      <w:tr w:rsidR="00F9402A" w:rsidTr="008F153B">
        <w:tc>
          <w:tcPr>
            <w:tcW w:w="567" w:type="dxa"/>
          </w:tcPr>
          <w:p w:rsidR="00F9402A" w:rsidRPr="0008083C" w:rsidRDefault="00F9402A" w:rsidP="0008083C">
            <w:pPr>
              <w:tabs>
                <w:tab w:val="left" w:pos="1701"/>
              </w:tabs>
              <w:rPr>
                <w:b/>
                <w:snapToGrid w:val="0"/>
              </w:rPr>
            </w:pPr>
          </w:p>
        </w:tc>
        <w:tc>
          <w:tcPr>
            <w:tcW w:w="6947" w:type="dxa"/>
            <w:gridSpan w:val="2"/>
          </w:tcPr>
          <w:p w:rsidR="00F9402A" w:rsidRDefault="00F9402A" w:rsidP="00F9402A">
            <w:pPr>
              <w:tabs>
                <w:tab w:val="left" w:pos="1701"/>
              </w:tabs>
              <w:rPr>
                <w:snapToGrid w:val="0"/>
              </w:rPr>
            </w:pPr>
          </w:p>
        </w:tc>
      </w:tr>
      <w:tr w:rsidR="00F9402A" w:rsidTr="00F9402A">
        <w:tc>
          <w:tcPr>
            <w:tcW w:w="567" w:type="dxa"/>
          </w:tcPr>
          <w:p w:rsidR="00F9402A" w:rsidRPr="0008083C" w:rsidRDefault="00F9402A" w:rsidP="0008083C">
            <w:pPr>
              <w:tabs>
                <w:tab w:val="left" w:pos="1701"/>
              </w:tabs>
              <w:rPr>
                <w:b/>
                <w:snapToGrid w:val="0"/>
              </w:rPr>
            </w:pPr>
          </w:p>
        </w:tc>
        <w:tc>
          <w:tcPr>
            <w:tcW w:w="6947" w:type="dxa"/>
            <w:gridSpan w:val="2"/>
          </w:tcPr>
          <w:p w:rsidR="00F9402A" w:rsidRDefault="00F9402A" w:rsidP="008F153B">
            <w:pPr>
              <w:tabs>
                <w:tab w:val="left" w:pos="1701"/>
              </w:tabs>
              <w:rPr>
                <w:snapToGrid w:val="0"/>
              </w:rPr>
            </w:pPr>
          </w:p>
        </w:tc>
      </w:tr>
      <w:tr w:rsidR="00FA3460" w:rsidTr="00F9402A">
        <w:trPr>
          <w:gridAfter w:val="1"/>
          <w:wAfter w:w="358" w:type="dxa"/>
        </w:trPr>
        <w:tc>
          <w:tcPr>
            <w:tcW w:w="7156" w:type="dxa"/>
            <w:gridSpan w:val="2"/>
          </w:tcPr>
          <w:p w:rsidR="00FA3460" w:rsidRDefault="00ED7D7F" w:rsidP="00FA3460">
            <w:pPr>
              <w:tabs>
                <w:tab w:val="left" w:pos="1701"/>
              </w:tabs>
            </w:pPr>
            <w:r>
              <w:br w:type="page"/>
            </w:r>
            <w:r w:rsidR="00FA3460">
              <w:t>Vid protokollet</w:t>
            </w:r>
          </w:p>
          <w:p w:rsidR="00FA3460" w:rsidRDefault="00FA3460" w:rsidP="00FA3460">
            <w:pPr>
              <w:tabs>
                <w:tab w:val="left" w:pos="1701"/>
              </w:tabs>
            </w:pPr>
          </w:p>
          <w:p w:rsidR="00FA3460" w:rsidRDefault="00FA3460" w:rsidP="00FA3460">
            <w:pPr>
              <w:tabs>
                <w:tab w:val="left" w:pos="1701"/>
              </w:tabs>
            </w:pPr>
          </w:p>
          <w:p w:rsidR="00FA3460" w:rsidRDefault="00F9402A" w:rsidP="00FA3460">
            <w:pPr>
              <w:tabs>
                <w:tab w:val="left" w:pos="1701"/>
              </w:tabs>
            </w:pPr>
            <w:r>
              <w:t>Helene Carlsson Högberg</w:t>
            </w:r>
          </w:p>
          <w:p w:rsidR="00FA3460" w:rsidRDefault="00FA3460" w:rsidP="00FA3460">
            <w:pPr>
              <w:tabs>
                <w:tab w:val="left" w:pos="1701"/>
              </w:tabs>
            </w:pPr>
          </w:p>
          <w:p w:rsidR="00FA3460" w:rsidRDefault="00FA3460" w:rsidP="00FA3460">
            <w:pPr>
              <w:tabs>
                <w:tab w:val="left" w:pos="1701"/>
              </w:tabs>
            </w:pPr>
          </w:p>
          <w:p w:rsidR="00FA3460" w:rsidRDefault="00FA3460" w:rsidP="00FA3460">
            <w:pPr>
              <w:tabs>
                <w:tab w:val="left" w:pos="1701"/>
              </w:tabs>
            </w:pPr>
            <w:r>
              <w:t xml:space="preserve">Justeras </w:t>
            </w:r>
            <w:r w:rsidR="00341ECC">
              <w:t xml:space="preserve">fredagen </w:t>
            </w:r>
            <w:r>
              <w:t xml:space="preserve">den </w:t>
            </w:r>
            <w:r w:rsidR="0026038D">
              <w:t>10 augusti</w:t>
            </w:r>
            <w:r>
              <w:t xml:space="preserve"> 2018</w:t>
            </w:r>
          </w:p>
          <w:p w:rsidR="00FA3460" w:rsidRDefault="00FA3460" w:rsidP="00FA3460">
            <w:pPr>
              <w:tabs>
                <w:tab w:val="left" w:pos="1701"/>
              </w:tabs>
            </w:pPr>
          </w:p>
          <w:p w:rsidR="00FA3460" w:rsidRDefault="00FA3460" w:rsidP="00FA3460">
            <w:pPr>
              <w:tabs>
                <w:tab w:val="left" w:pos="1701"/>
              </w:tabs>
            </w:pPr>
          </w:p>
          <w:p w:rsidR="00FA3460" w:rsidRDefault="00FA3460" w:rsidP="00FA3460">
            <w:pPr>
              <w:tabs>
                <w:tab w:val="left" w:pos="1701"/>
              </w:tabs>
            </w:pPr>
            <w:r>
              <w:t>Matilda Ernkrans</w:t>
            </w:r>
          </w:p>
          <w:p w:rsidR="007746F3" w:rsidRDefault="007746F3" w:rsidP="00FA3460">
            <w:pPr>
              <w:tabs>
                <w:tab w:val="left" w:pos="1701"/>
              </w:tabs>
            </w:pPr>
          </w:p>
          <w:p w:rsidR="007746F3" w:rsidRDefault="007746F3" w:rsidP="00FA3460">
            <w:pPr>
              <w:tabs>
                <w:tab w:val="left" w:pos="1701"/>
              </w:tabs>
            </w:pPr>
          </w:p>
          <w:p w:rsidR="007746F3" w:rsidRDefault="007746F3" w:rsidP="00FA3460">
            <w:pPr>
              <w:tabs>
                <w:tab w:val="left" w:pos="1701"/>
              </w:tabs>
            </w:pPr>
          </w:p>
          <w:p w:rsidR="00FA3460" w:rsidRDefault="00FA3460" w:rsidP="00FA3460">
            <w:pPr>
              <w:tabs>
                <w:tab w:val="left" w:pos="1701"/>
              </w:tabs>
              <w:rPr>
                <w:b/>
              </w:rPr>
            </w:pPr>
          </w:p>
        </w:tc>
      </w:tr>
    </w:tbl>
    <w:p w:rsidR="00ED7D7F" w:rsidRDefault="00ED7D7F">
      <w:r>
        <w:br w:type="page"/>
      </w:r>
    </w:p>
    <w:tbl>
      <w:tblPr>
        <w:tblW w:w="843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142"/>
        <w:gridCol w:w="45"/>
        <w:gridCol w:w="356"/>
        <w:gridCol w:w="356"/>
        <w:gridCol w:w="356"/>
        <w:gridCol w:w="356"/>
        <w:gridCol w:w="356"/>
        <w:gridCol w:w="356"/>
        <w:gridCol w:w="356"/>
        <w:gridCol w:w="356"/>
        <w:gridCol w:w="356"/>
        <w:gridCol w:w="296"/>
        <w:gridCol w:w="60"/>
        <w:gridCol w:w="356"/>
        <w:gridCol w:w="356"/>
        <w:gridCol w:w="356"/>
        <w:gridCol w:w="358"/>
      </w:tblGrid>
      <w:tr w:rsidR="00BB7028" w:rsidTr="00940342">
        <w:tc>
          <w:tcPr>
            <w:tcW w:w="3259" w:type="dxa"/>
            <w:tcBorders>
              <w:top w:val="nil"/>
              <w:left w:val="nil"/>
              <w:bottom w:val="nil"/>
              <w:right w:val="nil"/>
            </w:tcBorders>
          </w:tcPr>
          <w:p w:rsidR="00BB7028" w:rsidRDefault="00BB7028" w:rsidP="004C1EAB">
            <w:pPr>
              <w:tabs>
                <w:tab w:val="left" w:pos="1701"/>
              </w:tabs>
            </w:pPr>
            <w:r>
              <w:t>UTBILDNINGSUTSKOTTET</w:t>
            </w:r>
          </w:p>
        </w:tc>
        <w:tc>
          <w:tcPr>
            <w:tcW w:w="3687"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6"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7D2079">
            <w:pPr>
              <w:tabs>
                <w:tab w:val="left" w:pos="1701"/>
              </w:tabs>
            </w:pPr>
            <w:r>
              <w:t>201</w:t>
            </w:r>
            <w:r w:rsidR="0083501D">
              <w:t>7</w:t>
            </w:r>
            <w:r w:rsidR="00876835">
              <w:t>/1</w:t>
            </w:r>
            <w:r w:rsidR="0083501D">
              <w:t>8</w:t>
            </w:r>
            <w:r>
              <w:t>:</w:t>
            </w:r>
            <w:r w:rsidR="00E7726A">
              <w:t>40</w:t>
            </w: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E940AA" w:rsidP="00B4228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1-9</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4"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7A135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Matilda Ernkrans</w:t>
            </w:r>
            <w:r w:rsidR="00BB7028">
              <w:rPr>
                <w:sz w:val="22"/>
                <w:szCs w:val="22"/>
                <w:lang w:val="en-US"/>
              </w:rPr>
              <w:t xml:space="preserve"> (S)</w:t>
            </w:r>
            <w:r w:rsidR="00BB702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6110B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Christer Nylander (L),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9A1C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Bengtzboe (M)</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Thomas Strand (S)</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Betty Malmberg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Stefan Jakobsson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Svensson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Håkan Bergman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Carlsson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87683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 Knutsson</w:t>
            </w:r>
            <w:r w:rsidR="00BB702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4214D1"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827DBD" w:rsidP="004C1EAB">
            <w:pPr>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Annica Eclund (KD)</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Lena Emilsson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Eva Sonidsson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E7726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402D5D"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Olle Thorell (S)</w:t>
            </w: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D65276"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Patrick Reslow (-)</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Marianne Pettersson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E7726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Niclas Malmberg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Hanif Bali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013FF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Christina Östberg</w:t>
            </w:r>
            <w:r w:rsidR="00BB7028">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Roger Haddad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Linda Snecker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9B52FA">
            <w:pPr>
              <w:rPr>
                <w:sz w:val="22"/>
                <w:szCs w:val="22"/>
              </w:rPr>
            </w:pPr>
            <w:r>
              <w:rPr>
                <w:sz w:val="22"/>
                <w:szCs w:val="22"/>
              </w:rPr>
              <w:t xml:space="preserve">Sanne </w:t>
            </w:r>
            <w:r w:rsidR="009B52FA">
              <w:rPr>
                <w:sz w:val="22"/>
                <w:szCs w:val="22"/>
              </w:rPr>
              <w:t>Lennström</w:t>
            </w:r>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34218D" w:rsidRDefault="0034218D" w:rsidP="004C1EAB">
            <w:pPr>
              <w:rPr>
                <w:sz w:val="22"/>
                <w:szCs w:val="22"/>
              </w:rPr>
            </w:pPr>
            <w:r>
              <w:rPr>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013FF4" w:rsidP="004C1EAB">
            <w:pPr>
              <w:rPr>
                <w:sz w:val="22"/>
                <w:szCs w:val="22"/>
              </w:rPr>
            </w:pPr>
            <w:r>
              <w:rPr>
                <w:sz w:val="22"/>
                <w:szCs w:val="22"/>
              </w:rPr>
              <w:t>Nina Kain</w:t>
            </w:r>
            <w:r w:rsidR="00BB7028">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rPr>
                <w:sz w:val="22"/>
                <w:szCs w:val="22"/>
              </w:rPr>
            </w:pPr>
            <w:r>
              <w:rPr>
                <w:sz w:val="22"/>
                <w:szCs w:val="22"/>
              </w:rPr>
              <w:t>Emma Hult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Sofia Damm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EE4C8A" w:rsidP="004C1EAB">
            <w:pPr>
              <w:rPr>
                <w:sz w:val="22"/>
                <w:szCs w:val="22"/>
              </w:rPr>
            </w:pPr>
            <w:r>
              <w:rPr>
                <w:sz w:val="22"/>
                <w:szCs w:val="22"/>
              </w:rPr>
              <w:t>Maria Weimer</w:t>
            </w:r>
            <w:r w:rsidR="00BB702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EE4C8A" w:rsidP="004C1EAB">
            <w:pPr>
              <w:rPr>
                <w:sz w:val="22"/>
                <w:szCs w:val="22"/>
              </w:rPr>
            </w:pPr>
            <w:r>
              <w:rPr>
                <w:sz w:val="22"/>
                <w:szCs w:val="22"/>
              </w:rPr>
              <w:t>Christina Örnebjär</w:t>
            </w:r>
            <w:r w:rsidR="00BB702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rPr>
                <w:sz w:val="22"/>
                <w:szCs w:val="22"/>
              </w:rPr>
            </w:pPr>
            <w:r>
              <w:rPr>
                <w:sz w:val="22"/>
                <w:szCs w:val="22"/>
              </w:rPr>
              <w:t>Ida Karkiainen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3125C1" w:rsidP="004C1EAB">
            <w:pPr>
              <w:rPr>
                <w:sz w:val="22"/>
                <w:szCs w:val="22"/>
              </w:rPr>
            </w:pPr>
            <w:r>
              <w:rPr>
                <w:sz w:val="22"/>
                <w:szCs w:val="22"/>
              </w:rPr>
              <w:t>Aron Modig</w:t>
            </w:r>
            <w:r w:rsidR="00C62BD3">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C62BD3" w:rsidP="004C1EAB">
            <w:pPr>
              <w:rPr>
                <w:sz w:val="22"/>
                <w:szCs w:val="22"/>
              </w:rPr>
            </w:pPr>
            <w:r w:rsidRPr="00220A3A">
              <w:rPr>
                <w:sz w:val="22"/>
                <w:szCs w:val="22"/>
              </w:rPr>
              <w:t>Ann-Charlotte Hammar Johnsson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155"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5F5155" w:rsidRDefault="005F5155" w:rsidP="004C1EAB">
            <w:pPr>
              <w:rPr>
                <w:sz w:val="22"/>
                <w:szCs w:val="22"/>
              </w:rPr>
            </w:pPr>
            <w:r>
              <w:rPr>
                <w:sz w:val="22"/>
                <w:szCs w:val="22"/>
              </w:rPr>
              <w:t>Ingela Nylund Watz (S)</w:t>
            </w: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1"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31"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940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1"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31"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940342">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14"/>
    <w:rsid w:val="00001172"/>
    <w:rsid w:val="0001177E"/>
    <w:rsid w:val="00013FF4"/>
    <w:rsid w:val="0001407C"/>
    <w:rsid w:val="00022A7C"/>
    <w:rsid w:val="00026856"/>
    <w:rsid w:val="00033465"/>
    <w:rsid w:val="000724C3"/>
    <w:rsid w:val="00073768"/>
    <w:rsid w:val="0008083C"/>
    <w:rsid w:val="0009467D"/>
    <w:rsid w:val="00095BF2"/>
    <w:rsid w:val="00097DF0"/>
    <w:rsid w:val="000A2204"/>
    <w:rsid w:val="000B5D40"/>
    <w:rsid w:val="000C0C72"/>
    <w:rsid w:val="000C5953"/>
    <w:rsid w:val="000D534A"/>
    <w:rsid w:val="000E5FA0"/>
    <w:rsid w:val="000E611E"/>
    <w:rsid w:val="000F3EEE"/>
    <w:rsid w:val="000F4556"/>
    <w:rsid w:val="00100A34"/>
    <w:rsid w:val="00117D8D"/>
    <w:rsid w:val="00126727"/>
    <w:rsid w:val="00127778"/>
    <w:rsid w:val="00135412"/>
    <w:rsid w:val="00143656"/>
    <w:rsid w:val="00161A87"/>
    <w:rsid w:val="001634B9"/>
    <w:rsid w:val="001671DE"/>
    <w:rsid w:val="001828DE"/>
    <w:rsid w:val="00186651"/>
    <w:rsid w:val="001A0CCA"/>
    <w:rsid w:val="001A287E"/>
    <w:rsid w:val="001D5522"/>
    <w:rsid w:val="001F5AC6"/>
    <w:rsid w:val="002059AD"/>
    <w:rsid w:val="00207D45"/>
    <w:rsid w:val="0022226E"/>
    <w:rsid w:val="00224B5B"/>
    <w:rsid w:val="002462FF"/>
    <w:rsid w:val="00253162"/>
    <w:rsid w:val="0026038D"/>
    <w:rsid w:val="002608E3"/>
    <w:rsid w:val="00267FC1"/>
    <w:rsid w:val="002871AD"/>
    <w:rsid w:val="00293D89"/>
    <w:rsid w:val="002C1FA5"/>
    <w:rsid w:val="002D5CD8"/>
    <w:rsid w:val="002E7435"/>
    <w:rsid w:val="002E7751"/>
    <w:rsid w:val="002F31F6"/>
    <w:rsid w:val="00303E1D"/>
    <w:rsid w:val="003125C1"/>
    <w:rsid w:val="003172DF"/>
    <w:rsid w:val="00321811"/>
    <w:rsid w:val="00330C61"/>
    <w:rsid w:val="00335FB0"/>
    <w:rsid w:val="003372A6"/>
    <w:rsid w:val="00341ECC"/>
    <w:rsid w:val="0034218D"/>
    <w:rsid w:val="003526C0"/>
    <w:rsid w:val="00355251"/>
    <w:rsid w:val="00360AE7"/>
    <w:rsid w:val="00361E18"/>
    <w:rsid w:val="00370F89"/>
    <w:rsid w:val="003806C2"/>
    <w:rsid w:val="0038157D"/>
    <w:rsid w:val="00387EC2"/>
    <w:rsid w:val="003A0CB8"/>
    <w:rsid w:val="003A5FC9"/>
    <w:rsid w:val="003B0E28"/>
    <w:rsid w:val="003B4DE8"/>
    <w:rsid w:val="003D41A2"/>
    <w:rsid w:val="003E578A"/>
    <w:rsid w:val="003F4AD8"/>
    <w:rsid w:val="00402D5D"/>
    <w:rsid w:val="0040376B"/>
    <w:rsid w:val="004214D1"/>
    <w:rsid w:val="00424C64"/>
    <w:rsid w:val="00427081"/>
    <w:rsid w:val="00447E69"/>
    <w:rsid w:val="004514FD"/>
    <w:rsid w:val="00453542"/>
    <w:rsid w:val="0045482B"/>
    <w:rsid w:val="004674B5"/>
    <w:rsid w:val="00472879"/>
    <w:rsid w:val="00481843"/>
    <w:rsid w:val="00483EB5"/>
    <w:rsid w:val="004875DF"/>
    <w:rsid w:val="004A0B95"/>
    <w:rsid w:val="004C4C01"/>
    <w:rsid w:val="004D5C67"/>
    <w:rsid w:val="004E024A"/>
    <w:rsid w:val="004F6A53"/>
    <w:rsid w:val="00501D18"/>
    <w:rsid w:val="00514F03"/>
    <w:rsid w:val="00520D71"/>
    <w:rsid w:val="005331E3"/>
    <w:rsid w:val="005349AA"/>
    <w:rsid w:val="005739C0"/>
    <w:rsid w:val="00574D2C"/>
    <w:rsid w:val="00576AFA"/>
    <w:rsid w:val="00587BBF"/>
    <w:rsid w:val="005975E0"/>
    <w:rsid w:val="005A3941"/>
    <w:rsid w:val="005A4EAC"/>
    <w:rsid w:val="005A63E8"/>
    <w:rsid w:val="005B5BA2"/>
    <w:rsid w:val="005C7833"/>
    <w:rsid w:val="005D0198"/>
    <w:rsid w:val="005D63F2"/>
    <w:rsid w:val="005E36F0"/>
    <w:rsid w:val="005F5155"/>
    <w:rsid w:val="00601C28"/>
    <w:rsid w:val="00602725"/>
    <w:rsid w:val="0060305B"/>
    <w:rsid w:val="006110B5"/>
    <w:rsid w:val="00622525"/>
    <w:rsid w:val="00637376"/>
    <w:rsid w:val="00650ADB"/>
    <w:rsid w:val="00651253"/>
    <w:rsid w:val="00656ECC"/>
    <w:rsid w:val="00666846"/>
    <w:rsid w:val="00667E8B"/>
    <w:rsid w:val="006768D4"/>
    <w:rsid w:val="00680665"/>
    <w:rsid w:val="006965E4"/>
    <w:rsid w:val="006A2991"/>
    <w:rsid w:val="006B1BCF"/>
    <w:rsid w:val="006B1D76"/>
    <w:rsid w:val="006B4C5A"/>
    <w:rsid w:val="006B65A5"/>
    <w:rsid w:val="006B7A08"/>
    <w:rsid w:val="006D58E5"/>
    <w:rsid w:val="006E0945"/>
    <w:rsid w:val="006E6B54"/>
    <w:rsid w:val="00711344"/>
    <w:rsid w:val="00721260"/>
    <w:rsid w:val="00740F7D"/>
    <w:rsid w:val="00746854"/>
    <w:rsid w:val="00766B40"/>
    <w:rsid w:val="0076736F"/>
    <w:rsid w:val="007746F3"/>
    <w:rsid w:val="00775DBD"/>
    <w:rsid w:val="007765ED"/>
    <w:rsid w:val="00776CA2"/>
    <w:rsid w:val="007801D9"/>
    <w:rsid w:val="00786FC6"/>
    <w:rsid w:val="007A1350"/>
    <w:rsid w:val="007A2471"/>
    <w:rsid w:val="007B32E2"/>
    <w:rsid w:val="007B38F0"/>
    <w:rsid w:val="007B6F35"/>
    <w:rsid w:val="007D2079"/>
    <w:rsid w:val="007D23C1"/>
    <w:rsid w:val="007D3639"/>
    <w:rsid w:val="007D47AC"/>
    <w:rsid w:val="007D76A1"/>
    <w:rsid w:val="007E5066"/>
    <w:rsid w:val="007E738E"/>
    <w:rsid w:val="007F73E1"/>
    <w:rsid w:val="00823C8C"/>
    <w:rsid w:val="00827DBD"/>
    <w:rsid w:val="00832BA8"/>
    <w:rsid w:val="0083501D"/>
    <w:rsid w:val="00841B9D"/>
    <w:rsid w:val="008520F6"/>
    <w:rsid w:val="00861F0E"/>
    <w:rsid w:val="00862393"/>
    <w:rsid w:val="00872753"/>
    <w:rsid w:val="00876835"/>
    <w:rsid w:val="00886BA6"/>
    <w:rsid w:val="008B4A0D"/>
    <w:rsid w:val="008C35C4"/>
    <w:rsid w:val="008F6C98"/>
    <w:rsid w:val="008F7983"/>
    <w:rsid w:val="00900DC5"/>
    <w:rsid w:val="009171C9"/>
    <w:rsid w:val="00923EFE"/>
    <w:rsid w:val="00925ABE"/>
    <w:rsid w:val="00933FFE"/>
    <w:rsid w:val="00940342"/>
    <w:rsid w:val="009426C8"/>
    <w:rsid w:val="0094358D"/>
    <w:rsid w:val="00946B2F"/>
    <w:rsid w:val="00960E59"/>
    <w:rsid w:val="00985715"/>
    <w:rsid w:val="009A1313"/>
    <w:rsid w:val="009A164A"/>
    <w:rsid w:val="009A1CEC"/>
    <w:rsid w:val="009B52FA"/>
    <w:rsid w:val="009D4038"/>
    <w:rsid w:val="009D5E29"/>
    <w:rsid w:val="009E1FCA"/>
    <w:rsid w:val="009E7A20"/>
    <w:rsid w:val="00A00DE4"/>
    <w:rsid w:val="00A03D80"/>
    <w:rsid w:val="00A102DB"/>
    <w:rsid w:val="00A2367D"/>
    <w:rsid w:val="00A252CD"/>
    <w:rsid w:val="00A370F4"/>
    <w:rsid w:val="00A47DB2"/>
    <w:rsid w:val="00A63259"/>
    <w:rsid w:val="00A65178"/>
    <w:rsid w:val="00A66B33"/>
    <w:rsid w:val="00A84772"/>
    <w:rsid w:val="00A956F9"/>
    <w:rsid w:val="00AB2E46"/>
    <w:rsid w:val="00AB3B80"/>
    <w:rsid w:val="00AB5776"/>
    <w:rsid w:val="00AD44A0"/>
    <w:rsid w:val="00AF4D2B"/>
    <w:rsid w:val="00AF62C3"/>
    <w:rsid w:val="00B03783"/>
    <w:rsid w:val="00B1265F"/>
    <w:rsid w:val="00B2693D"/>
    <w:rsid w:val="00B40576"/>
    <w:rsid w:val="00B42282"/>
    <w:rsid w:val="00B432F2"/>
    <w:rsid w:val="00B529AF"/>
    <w:rsid w:val="00B6136A"/>
    <w:rsid w:val="00B734EF"/>
    <w:rsid w:val="00BA1F9C"/>
    <w:rsid w:val="00BA404C"/>
    <w:rsid w:val="00BA4F75"/>
    <w:rsid w:val="00BB4FC6"/>
    <w:rsid w:val="00BB6E1B"/>
    <w:rsid w:val="00BB7028"/>
    <w:rsid w:val="00BC55EE"/>
    <w:rsid w:val="00BE4DA2"/>
    <w:rsid w:val="00BF1E92"/>
    <w:rsid w:val="00BF5F58"/>
    <w:rsid w:val="00C04265"/>
    <w:rsid w:val="00C1169B"/>
    <w:rsid w:val="00C21DC4"/>
    <w:rsid w:val="00C318F6"/>
    <w:rsid w:val="00C354DD"/>
    <w:rsid w:val="00C616C4"/>
    <w:rsid w:val="00C62BD3"/>
    <w:rsid w:val="00C6692B"/>
    <w:rsid w:val="00C66AC4"/>
    <w:rsid w:val="00C76BCC"/>
    <w:rsid w:val="00C77DBB"/>
    <w:rsid w:val="00C83B49"/>
    <w:rsid w:val="00C866DE"/>
    <w:rsid w:val="00C87373"/>
    <w:rsid w:val="00C90010"/>
    <w:rsid w:val="00CC15D0"/>
    <w:rsid w:val="00CD10D8"/>
    <w:rsid w:val="00CD4DBD"/>
    <w:rsid w:val="00CE4D20"/>
    <w:rsid w:val="00CF376E"/>
    <w:rsid w:val="00CF57A9"/>
    <w:rsid w:val="00CF6815"/>
    <w:rsid w:val="00CF7C43"/>
    <w:rsid w:val="00D16550"/>
    <w:rsid w:val="00D21331"/>
    <w:rsid w:val="00D27C50"/>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06A14"/>
    <w:rsid w:val="00E12E8A"/>
    <w:rsid w:val="00E13501"/>
    <w:rsid w:val="00E15FBD"/>
    <w:rsid w:val="00E1627A"/>
    <w:rsid w:val="00E23AB7"/>
    <w:rsid w:val="00E45BEC"/>
    <w:rsid w:val="00E64053"/>
    <w:rsid w:val="00E74057"/>
    <w:rsid w:val="00E7726A"/>
    <w:rsid w:val="00E776AC"/>
    <w:rsid w:val="00E810DC"/>
    <w:rsid w:val="00E940AA"/>
    <w:rsid w:val="00EB577E"/>
    <w:rsid w:val="00EC23FD"/>
    <w:rsid w:val="00EC27A5"/>
    <w:rsid w:val="00EC418A"/>
    <w:rsid w:val="00ED7D7F"/>
    <w:rsid w:val="00EE4C8A"/>
    <w:rsid w:val="00EE6AE8"/>
    <w:rsid w:val="00F12574"/>
    <w:rsid w:val="00F23954"/>
    <w:rsid w:val="00F33EF9"/>
    <w:rsid w:val="00F7021F"/>
    <w:rsid w:val="00F70C44"/>
    <w:rsid w:val="00F72877"/>
    <w:rsid w:val="00F816D5"/>
    <w:rsid w:val="00F8533C"/>
    <w:rsid w:val="00F9402A"/>
    <w:rsid w:val="00FA12EF"/>
    <w:rsid w:val="00FA3460"/>
    <w:rsid w:val="00FA543D"/>
    <w:rsid w:val="00FD692D"/>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32D51-FC8B-43BB-A981-02F8F8B7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A252CD"/>
    <w:rPr>
      <w:color w:val="0000FF"/>
      <w:u w:val="single"/>
    </w:rPr>
  </w:style>
  <w:style w:type="paragraph" w:customStyle="1" w:styleId="Default">
    <w:name w:val="Default"/>
    <w:rsid w:val="00CF57A9"/>
    <w:pPr>
      <w:autoSpaceDE w:val="0"/>
      <w:autoSpaceDN w:val="0"/>
      <w:adjustRightInd w:val="0"/>
    </w:pPr>
    <w:rPr>
      <w:color w:val="000000"/>
      <w:sz w:val="24"/>
      <w:szCs w:val="24"/>
    </w:rPr>
  </w:style>
  <w:style w:type="paragraph" w:styleId="Ballongtext">
    <w:name w:val="Balloon Text"/>
    <w:basedOn w:val="Normal"/>
    <w:link w:val="BallongtextChar"/>
    <w:rsid w:val="00862393"/>
    <w:rPr>
      <w:rFonts w:ascii="Segoe UI" w:hAnsi="Segoe UI" w:cs="Segoe UI"/>
      <w:sz w:val="18"/>
      <w:szCs w:val="18"/>
    </w:rPr>
  </w:style>
  <w:style w:type="character" w:customStyle="1" w:styleId="BallongtextChar">
    <w:name w:val="Ballongtext Char"/>
    <w:basedOn w:val="Standardstycketeckensnitt"/>
    <w:link w:val="Ballongtext"/>
    <w:rsid w:val="00862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2088</Words>
  <Characters>14611</Characters>
  <Application>Microsoft Office Word</Application>
  <DocSecurity>4</DocSecurity>
  <Lines>1217</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2018-08-09T14:13:00Z</cp:lastPrinted>
  <dcterms:created xsi:type="dcterms:W3CDTF">2018-08-10T08:11:00Z</dcterms:created>
  <dcterms:modified xsi:type="dcterms:W3CDTF">2018-08-10T08:11:00Z</dcterms:modified>
</cp:coreProperties>
</file>