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62EA8" w:rsidRDefault="00662EA8">
            <w:pPr>
              <w:pStyle w:val="HuvudRubrik"/>
            </w:pPr>
            <w:bookmarkStart w:id="0" w:name="BetänkandeRubrik"/>
            <w:bookmarkEnd w:id="0"/>
            <w:r>
              <w:t>Försvarsutskottets betänkande</w:t>
            </w:r>
            <w:r w:rsidR="005A163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09676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62EA8" w:rsidRDefault="00662EA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4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62EA8" w:rsidRDefault="00662EA8">
                            <w:pPr>
                              <w:pStyle w:val="Logo"/>
                            </w:pPr>
                            <w:r>
                              <w:object w:dxaOrig="840" w:dyaOrig="1545">
                                <v:shape id="_x0000_i1025" type="#_x0000_t75" style="width:41.55pt;height:77.15pt" fillcolor="window">
                                  <v:imagedata r:id="rId6" o:title=""/>
                                </v:shape>
                                <o:OLEObject Type="Embed" ProgID="Word.Picture.8" ShapeID="_x0000_i1025" DrawAspect="Content" ObjectID="_1827335146" r:id="rId8"/>
                              </w:object>
                            </w:r>
                          </w:p>
                        </w:txbxContent>
                      </v:textbox>
                      <w10:wrap anchorx="page" anchory="page"/>
                    </v:shape>
                  </w:pict>
                </mc:Fallback>
              </mc:AlternateContent>
            </w:r>
          </w:p>
          <w:p w:rsidR="00662EA8" w:rsidRDefault="00662EA8">
            <w:pPr>
              <w:pStyle w:val="HuvudRubrikRad2"/>
            </w:pPr>
            <w:bookmarkStart w:id="15" w:name="BetänkandeNr"/>
            <w:bookmarkEnd w:id="15"/>
            <w:r>
              <w:t>1998/99:FöU6</w:t>
            </w:r>
          </w:p>
          <w:p w:rsidR="00662EA8" w:rsidRDefault="00662EA8">
            <w:pPr>
              <w:pStyle w:val="BetnkandeRubrik"/>
            </w:pPr>
            <w:bookmarkStart w:id="16" w:name="Huvudrubrik"/>
            <w:bookmarkEnd w:id="16"/>
            <w:r>
              <w:t>Säkrare kemikaliehantering</w:t>
            </w:r>
          </w:p>
        </w:tc>
        <w:tc>
          <w:tcPr>
            <w:tcW w:w="1559" w:type="dxa"/>
            <w:tcBorders>
              <w:bottom w:val="nil"/>
            </w:tcBorders>
          </w:tcPr>
          <w:p w:rsidR="00662EA8" w:rsidRDefault="00662EA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62EA8" w:rsidRDefault="00662EA8">
            <w:pPr>
              <w:spacing w:before="40" w:after="900" w:line="280" w:lineRule="exact"/>
              <w:jc w:val="left"/>
              <w:rPr>
                <w:sz w:val="28"/>
              </w:rPr>
            </w:pPr>
          </w:p>
        </w:tc>
        <w:tc>
          <w:tcPr>
            <w:tcW w:w="1559" w:type="dxa"/>
          </w:tcPr>
          <w:p w:rsidR="00662EA8" w:rsidRDefault="00662EA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62EA8" w:rsidRDefault="00662EA8">
            <w:pPr>
              <w:spacing w:before="40" w:after="900" w:line="280" w:lineRule="exact"/>
              <w:jc w:val="left"/>
              <w:rPr>
                <w:sz w:val="28"/>
              </w:rPr>
            </w:pPr>
          </w:p>
        </w:tc>
        <w:tc>
          <w:tcPr>
            <w:tcW w:w="1559" w:type="dxa"/>
            <w:tcBorders>
              <w:bottom w:val="single" w:sz="6" w:space="0" w:color="auto"/>
            </w:tcBorders>
          </w:tcPr>
          <w:p w:rsidR="00662EA8" w:rsidRDefault="00662EA8">
            <w:pPr>
              <w:pStyle w:val="rtal"/>
            </w:pPr>
            <w:r>
              <w:t>FöU6</w:t>
            </w:r>
          </w:p>
        </w:tc>
      </w:tr>
      <w:tr w:rsidR="00000000">
        <w:tblPrEx>
          <w:tblCellMar>
            <w:top w:w="0" w:type="dxa"/>
            <w:bottom w:w="0" w:type="dxa"/>
          </w:tblCellMar>
        </w:tblPrEx>
        <w:trPr>
          <w:cantSplit/>
          <w:trHeight w:hRule="exact" w:val="660"/>
        </w:trPr>
        <w:tc>
          <w:tcPr>
            <w:tcW w:w="3012" w:type="dxa"/>
          </w:tcPr>
          <w:p w:rsidR="00662EA8" w:rsidRDefault="00662EA8">
            <w:pPr>
              <w:pStyle w:val="StatusSida1"/>
            </w:pPr>
          </w:p>
          <w:p w:rsidR="00662EA8" w:rsidRDefault="00662EA8">
            <w:pPr>
              <w:pStyle w:val="StatusSida1"/>
            </w:pPr>
          </w:p>
        </w:tc>
        <w:tc>
          <w:tcPr>
            <w:tcW w:w="3012" w:type="dxa"/>
          </w:tcPr>
          <w:p w:rsidR="00662EA8" w:rsidRDefault="00662EA8">
            <w:pPr>
              <w:pStyle w:val="UtskriftsdatumSida1"/>
              <w:rPr>
                <w:b/>
                <w:sz w:val="28"/>
              </w:rPr>
            </w:pPr>
          </w:p>
        </w:tc>
        <w:tc>
          <w:tcPr>
            <w:tcW w:w="1559" w:type="dxa"/>
          </w:tcPr>
          <w:p w:rsidR="00662EA8" w:rsidRDefault="00662EA8"/>
        </w:tc>
      </w:tr>
    </w:tbl>
    <w:p w:rsidR="00662EA8" w:rsidRDefault="00662EA8">
      <w:pPr>
        <w:pStyle w:val="Rubrik1"/>
        <w:spacing w:before="0"/>
      </w:pPr>
      <w:bookmarkStart w:id="17" w:name="_Toc450629680"/>
      <w:r>
        <w:t>Sammanfattning</w:t>
      </w:r>
      <w:bookmarkEnd w:id="17"/>
    </w:p>
    <w:p w:rsidR="00662EA8" w:rsidRDefault="00662EA8">
      <w:r>
        <w:t>Utskottet behandlar i betänkandet regeringens proposition 1998/99:64 Säkr</w:t>
      </w:r>
      <w:r>
        <w:t>a</w:t>
      </w:r>
      <w:r>
        <w:t>re kemikaliehantering. I propositionen föreslås att riksdagen dels godkänner konventionen om gränsöverskridande effekter av industriolyckor av den 17 mars 1992, dels antar en lag om åtgärder för att förebygga och begränsa följderna av allvarliga kemikalieolyckor. Lagen genomför rådets direktiv 96/82/EG av den 9 december 1996 om åtgärder för att förebygga och begrä</w:t>
      </w:r>
      <w:r>
        <w:t>n</w:t>
      </w:r>
      <w:r>
        <w:t>sa följderna av allvarliga olyckshändelser där farliga ämnen ingår och ko</w:t>
      </w:r>
      <w:r>
        <w:t>n</w:t>
      </w:r>
      <w:r>
        <w:t>ventionen om gränsöverskridande effekter av industriolyckor. Inom arbe</w:t>
      </w:r>
      <w:r>
        <w:t>t</w:t>
      </w:r>
      <w:r>
        <w:t>s</w:t>
      </w:r>
      <w:r>
        <w:t>miljöområdet genomförs dock direktivet genom bestämmelser i form av myndighetsföreskrifter. Den nya lagen föreslås träda i kraft den 1 juli 1999.</w:t>
      </w:r>
    </w:p>
    <w:p w:rsidR="00662EA8" w:rsidRDefault="00662EA8">
      <w:pPr>
        <w:pStyle w:val="Normaltindrag"/>
      </w:pPr>
      <w:r>
        <w:t>I propositionen föreslås även ändringar i miljöbalken, lagen (1976:661) om immunitet och privilegier i vissa fall, sekretesslagen (1980:100) och räd</w:t>
      </w:r>
      <w:r>
        <w:t>d</w:t>
      </w:r>
      <w:r>
        <w:t>ningstjänstlagen(1986:1102). Dessa ändringar föreslås träda i kraft samtidigt med den nya lagens ikraftträdande.</w:t>
      </w:r>
    </w:p>
    <w:p w:rsidR="00662EA8" w:rsidRDefault="00662EA8">
      <w:pPr>
        <w:pStyle w:val="Normaltindrag"/>
      </w:pPr>
      <w:r>
        <w:t>Två motioner med tre yrkanden har väckts med anledning av propositi</w:t>
      </w:r>
      <w:r>
        <w:t>o</w:t>
      </w:r>
      <w:r>
        <w:t xml:space="preserve">nen. </w:t>
      </w:r>
    </w:p>
    <w:p w:rsidR="00662EA8" w:rsidRDefault="00662EA8">
      <w:pPr>
        <w:pStyle w:val="Normaltindrag"/>
      </w:pPr>
      <w:r>
        <w:t>Utskottet föreslår att riksdagen antar regeringens förslag i propositionen och avslår motionsyrkandena.</w:t>
      </w:r>
    </w:p>
    <w:p w:rsidR="00662EA8" w:rsidRDefault="00662EA8">
      <w:pPr>
        <w:pStyle w:val="Normaltindrag"/>
      </w:pPr>
      <w:r>
        <w:t>Till utskottets förslag har fogats en reservation.</w:t>
      </w:r>
    </w:p>
    <w:p w:rsidR="00662EA8" w:rsidRDefault="00662EA8">
      <w:pPr>
        <w:pStyle w:val="Rubrik1"/>
      </w:pPr>
      <w:bookmarkStart w:id="18" w:name="Textstart"/>
      <w:bookmarkStart w:id="19" w:name="_Toc450629681"/>
      <w:bookmarkEnd w:id="18"/>
      <w:r>
        <w:t>Propositionen</w:t>
      </w:r>
      <w:bookmarkEnd w:id="19"/>
    </w:p>
    <w:p w:rsidR="00662EA8" w:rsidRDefault="00662EA8">
      <w:pPr>
        <w:pStyle w:val="Rubrik2"/>
        <w:spacing w:before="123"/>
      </w:pPr>
      <w:bookmarkStart w:id="20" w:name="_Toc450629682"/>
      <w:r>
        <w:t>Regeringens förslag till riksdagsbeslut</w:t>
      </w:r>
      <w:bookmarkEnd w:id="20"/>
    </w:p>
    <w:p w:rsidR="00662EA8" w:rsidRDefault="00662EA8">
      <w:r>
        <w:t>Regeringen föreslår i proposition 1998/99:64 att riksdagen</w:t>
      </w:r>
    </w:p>
    <w:p w:rsidR="00662EA8" w:rsidRDefault="00662EA8">
      <w:pPr>
        <w:pStyle w:val="Normaltindrag"/>
      </w:pPr>
      <w:r>
        <w:rPr>
          <w:i/>
        </w:rPr>
        <w:t>dels</w:t>
      </w:r>
      <w:r>
        <w:t xml:space="preserve"> godkänner </w:t>
      </w:r>
    </w:p>
    <w:p w:rsidR="00662EA8" w:rsidRDefault="00662EA8">
      <w:pPr>
        <w:pStyle w:val="Normaltindrag"/>
      </w:pPr>
      <w:r>
        <w:t>– konventionen den 17 mars 1992 om gränsöverskridande effekter av i</w:t>
      </w:r>
      <w:r>
        <w:t>n</w:t>
      </w:r>
      <w:r>
        <w:t>dustriolyckor,</w:t>
      </w:r>
    </w:p>
    <w:p w:rsidR="00662EA8" w:rsidRDefault="00662EA8">
      <w:pPr>
        <w:pStyle w:val="Normaltindrag"/>
      </w:pPr>
      <w:r>
        <w:rPr>
          <w:i/>
        </w:rPr>
        <w:t>dels</w:t>
      </w:r>
      <w:r>
        <w:t xml:space="preserve"> antar regeringens förslag till</w:t>
      </w:r>
    </w:p>
    <w:p w:rsidR="00662EA8" w:rsidRDefault="00662EA8">
      <w:pPr>
        <w:pStyle w:val="Normaltindrag"/>
      </w:pPr>
      <w:r>
        <w:t>– lag om åtgärder för att förebygga och begränsa följderna av allvarliga kemikalieolyckor,</w:t>
      </w:r>
    </w:p>
    <w:p w:rsidR="00662EA8" w:rsidRDefault="00662EA8">
      <w:pPr>
        <w:pStyle w:val="Normaltindrag"/>
      </w:pPr>
      <w:r>
        <w:t>– lag om ändring i miljöbalken,</w:t>
      </w:r>
    </w:p>
    <w:p w:rsidR="00662EA8" w:rsidRDefault="00662EA8">
      <w:pPr>
        <w:pStyle w:val="Normaltindrag"/>
      </w:pPr>
      <w:r>
        <w:t>– lag om  ändring i lagen (1976:661) om immunitet och privilegier i vissa fall,</w:t>
      </w:r>
    </w:p>
    <w:p w:rsidR="00662EA8" w:rsidRDefault="00662EA8">
      <w:pPr>
        <w:pStyle w:val="Normaltindrag"/>
      </w:pPr>
      <w:r>
        <w:lastRenderedPageBreak/>
        <w:t>– lag om ändring i sekretesslagen (1980:100) och</w:t>
      </w:r>
    </w:p>
    <w:p w:rsidR="00662EA8" w:rsidRDefault="00662EA8">
      <w:pPr>
        <w:pStyle w:val="Normaltindrag"/>
      </w:pPr>
      <w:r>
        <w:t>– lag om ändring i räddningstjänstlagen (1986:1102).</w:t>
      </w:r>
    </w:p>
    <w:p w:rsidR="00662EA8" w:rsidRDefault="00662EA8">
      <w:pPr>
        <w:pStyle w:val="Rubrik1"/>
      </w:pPr>
      <w:bookmarkStart w:id="21" w:name="_Toc450629683"/>
      <w:r>
        <w:t>Motionerna</w:t>
      </w:r>
      <w:bookmarkEnd w:id="21"/>
    </w:p>
    <w:p w:rsidR="00662EA8" w:rsidRDefault="00662EA8">
      <w:r>
        <w:t xml:space="preserve">1998/99:Fö3 av Åke Carnerö m.fl. (kd) vari yrkas </w:t>
      </w:r>
    </w:p>
    <w:p w:rsidR="00662EA8" w:rsidRDefault="00662EA8">
      <w:pPr>
        <w:pStyle w:val="Normaltindrag"/>
      </w:pPr>
      <w:r>
        <w:t>1. att riksdagen som sin mening ger regeringen till känna vad i motionen anförts om att Kustbevakningen bör tilldelas ansvaret för att bygga upp den organisation som krävs för att förebygga och bistå vid brandolyckor till sjöss,</w:t>
      </w:r>
    </w:p>
    <w:p w:rsidR="00662EA8" w:rsidRDefault="00662EA8">
      <w:pPr>
        <w:pStyle w:val="Normaltindrag"/>
      </w:pPr>
      <w:r>
        <w:t>2. att riksdagen som sin mening ger regeringen till känna vad i motionen anförts om att regeringen bör återkomma till riksdagen med underlag för bedömning av skyddsavstånd i den fysiska planeringen.</w:t>
      </w:r>
    </w:p>
    <w:p w:rsidR="00662EA8" w:rsidRDefault="00662EA8">
      <w:r>
        <w:t>1998/99:Fö4 av Stig Sandström och Berit Jóhannesson (v) vari yrkas att riksdagen som sin mening ger regeringen till känna vad i motionen anförts om att en uppföljning och utvärdering av Seveso I-direktivet görs.</w:t>
      </w:r>
    </w:p>
    <w:p w:rsidR="00662EA8" w:rsidRDefault="00662EA8">
      <w:pPr>
        <w:pStyle w:val="Rubrik1"/>
      </w:pPr>
      <w:bookmarkStart w:id="22" w:name="_Toc450629684"/>
      <w:r>
        <w:t>Utskottet</w:t>
      </w:r>
      <w:bookmarkEnd w:id="22"/>
    </w:p>
    <w:p w:rsidR="00662EA8" w:rsidRDefault="00662EA8">
      <w:pPr>
        <w:pStyle w:val="Rubrik2"/>
        <w:spacing w:before="123"/>
      </w:pPr>
      <w:bookmarkStart w:id="23" w:name="_Toc450629685"/>
      <w:r>
        <w:t>Bakgrund och utgångspunkter</w:t>
      </w:r>
      <w:bookmarkEnd w:id="23"/>
    </w:p>
    <w:p w:rsidR="00662EA8" w:rsidRDefault="00662EA8">
      <w:pPr>
        <w:pStyle w:val="Rubrik3"/>
        <w:spacing w:before="123"/>
      </w:pPr>
      <w:bookmarkStart w:id="24" w:name="_Toc450629686"/>
      <w:r>
        <w:t>Kemikalieolyckor inom industrin</w:t>
      </w:r>
      <w:bookmarkEnd w:id="24"/>
    </w:p>
    <w:p w:rsidR="00662EA8" w:rsidRDefault="00662EA8">
      <w:r>
        <w:t>Efter en industriolycka i Seveso i Italien år 1976, med utsläpp av dioxiner, varvid ett stort område fick utrymmas för flera år framöver, påbörjades ett arbete inom Europeiska gemenskapen (EG) med att ta fram gemensamma regler avseende stora industriolyckor. Detta arbete utmynnade år 1982 i direktivet om risker för storolyckor i vissa industriella verksamheter (82/501/EEG), det s.k. Sevesodirektivet (nedan kallat Seveso I-direktivet). I direktivet regleras säkerhetshanteringen vid viss industriell verksamh</w:t>
      </w:r>
      <w:r>
        <w:t>et där farliga ämnen ingår. Syftet med direktivet är att förhindra och begränsa föl</w:t>
      </w:r>
      <w:r>
        <w:t>j</w:t>
      </w:r>
      <w:r>
        <w:t>derna av stora olyckor vid sådan industriell verksamhet.</w:t>
      </w:r>
    </w:p>
    <w:p w:rsidR="00662EA8" w:rsidRDefault="00662EA8">
      <w:pPr>
        <w:pStyle w:val="Rubrik3"/>
      </w:pPr>
      <w:bookmarkStart w:id="25" w:name="_Toc450629687"/>
      <w:r>
        <w:t>Genomförandet av Seveso I-direktivet</w:t>
      </w:r>
      <w:bookmarkEnd w:id="25"/>
    </w:p>
    <w:p w:rsidR="00662EA8" w:rsidRDefault="00662EA8">
      <w:r>
        <w:t>Nödvändiga anpassningar av svenska bestämmelser med anledning av dire</w:t>
      </w:r>
      <w:r>
        <w:t>k</w:t>
      </w:r>
      <w:r>
        <w:t>tivets innehåll skedde genom tillägg i räddningstjänstförordningen (1986:1107) och genom myndighetsföreskrifter av berörda myndigheter (Arbetarskyddsstyrelsen, Naturvårdsverket, Statens räddningsverk och Sprängämnesinpektionen.)</w:t>
      </w:r>
    </w:p>
    <w:p w:rsidR="00662EA8" w:rsidRDefault="00662EA8">
      <w:pPr>
        <w:pStyle w:val="Rubrik3"/>
      </w:pPr>
      <w:bookmarkStart w:id="26" w:name="_Toc450629688"/>
      <w:r>
        <w:t>Seveso II-direktivet</w:t>
      </w:r>
      <w:bookmarkEnd w:id="26"/>
    </w:p>
    <w:p w:rsidR="00662EA8" w:rsidRDefault="00662EA8">
      <w:r>
        <w:t>Rådets direktiv (96/82/EG) av den 9 december 1996 om åtgärder för att förebygga och begränsa följderna av allvarliga olyckshändelser där farliga ämnen ingår (nedan kallat Seveso II-direktivet) är en vidareutveckling av Seveso I-direktivet. Generellt kan sägas att kraven på såväl företag som myndigheter är högre och mer omfattande i Seveso II jämfört med Seveso I.</w:t>
      </w:r>
    </w:p>
    <w:p w:rsidR="00662EA8" w:rsidRDefault="00662EA8">
      <w:pPr>
        <w:pStyle w:val="Normaltindrag"/>
      </w:pPr>
      <w:r>
        <w:t>Huvuddragen i Seveso II-direktivet är följande.</w:t>
      </w:r>
    </w:p>
    <w:p w:rsidR="00662EA8" w:rsidRDefault="00662EA8">
      <w:pPr>
        <w:pStyle w:val="Normaltindrag"/>
      </w:pPr>
      <w:r>
        <w:t>Syftet med direktivet är att förebygga allvarliga olyckshändelser inom den kemikaliehanterande industrin och att begränsa följderna  av dem för männ</w:t>
      </w:r>
      <w:r>
        <w:t>i</w:t>
      </w:r>
      <w:r>
        <w:t>skor och miljö, så att höga skyddsnivåer säkerställs konsekvent och effektivt i hela gemenskapen. De verksamheter som omfattas av direktivet är indelade i två kravnivåer beroende på vilka farliga ämnen som förekommer i ver</w:t>
      </w:r>
      <w:r>
        <w:t>k</w:t>
      </w:r>
      <w:r>
        <w:t xml:space="preserve">samheten och i vilka mängder detta kan antas ske. Vissa verksamheter är emellertid undantagna från direktivets tillämpningsområde. Dessa är bl.a. militär verksamhet, faror som har samband med joniserande strålning och gruvindustri. </w:t>
      </w:r>
    </w:p>
    <w:p w:rsidR="00662EA8" w:rsidRDefault="00662EA8">
      <w:pPr>
        <w:pStyle w:val="Normaltindrag"/>
      </w:pPr>
      <w:r>
        <w:t>Verksamhetsutövarens skyldigheter i direktivet är uppde</w:t>
      </w:r>
      <w:r>
        <w:t>lade i allmänna skyldigheter och särskilda skyldigheter. De allmänna skyldigheterna gäller samtliga verksamhetsutövare som omfattas av direktivet och innebär att medlemsstaterna skall se till att verksamhetsutövarna vidtar alla åtgärder som krävs för att förebygga allvarliga olyckshändelser och för att begränsa föl</w:t>
      </w:r>
      <w:r>
        <w:t>j</w:t>
      </w:r>
      <w:r>
        <w:t>derna av dessa för människor och miljö. De särskilda skyldigheterna omfattar  dels en anmälningsskyldighet, dels en skyldighet för verksamhetsutövarna att utforma en säkerhetspolicy och dels en s</w:t>
      </w:r>
      <w:r>
        <w:t>kyldighet att upprätta en säkerhet</w:t>
      </w:r>
      <w:r>
        <w:t>s</w:t>
      </w:r>
      <w:r>
        <w:t>rapport som skall inges till behörig myndighet. Skyldigheten att lämna en säkerhetsrapport omfattar dock endast de verksamhetsutövare som omfattas av den högre kravnivån i direktivet.</w:t>
      </w:r>
    </w:p>
    <w:p w:rsidR="00662EA8" w:rsidRDefault="00662EA8">
      <w:pPr>
        <w:pStyle w:val="Rubrik3"/>
      </w:pPr>
      <w:bookmarkStart w:id="27" w:name="_Toc450629689"/>
      <w:r>
        <w:t>Konventionen om gränsöverskridande effekter av industriolyckor</w:t>
      </w:r>
      <w:bookmarkEnd w:id="27"/>
    </w:p>
    <w:p w:rsidR="00662EA8" w:rsidRDefault="00662EA8">
      <w:r>
        <w:t>Konventionen om gränsöverskridande effekter av industriolyckor (nedan kallad Industriolyckskonventionen) är en del av ett folkrättsligt miljöskydd</w:t>
      </w:r>
      <w:r>
        <w:t>s</w:t>
      </w:r>
      <w:r>
        <w:t>system med konventioner som utarbetats inom FN:s ekonomiska kommi</w:t>
      </w:r>
      <w:r>
        <w:t>s</w:t>
      </w:r>
      <w:r>
        <w:t>sion för Europa. Syftet med konventionen är att förebygga allvarliga olyckshändelser inom den kemikaliehanterande industrin och att begränsa skadorna om sådana olyckor skulle inträffa. Industriolyckskonventionen är när det gäller förebyggande åtgärder endast tillämplig på gränsöverskridande effe</w:t>
      </w:r>
      <w:r>
        <w:t>k</w:t>
      </w:r>
      <w:r>
        <w:t>ter.</w:t>
      </w:r>
    </w:p>
    <w:p w:rsidR="00662EA8" w:rsidRDefault="00662EA8">
      <w:pPr>
        <w:pStyle w:val="Normaltindrag"/>
      </w:pPr>
      <w:r>
        <w:t>Bestämmelserna i Industriolyckskonventionen skall inte tillämpas på bl.a. kärntekniska olyckor och olyckor vid militära anläggningar.</w:t>
      </w:r>
    </w:p>
    <w:p w:rsidR="00662EA8" w:rsidRDefault="00662EA8">
      <w:pPr>
        <w:pStyle w:val="Rubrik3"/>
      </w:pPr>
      <w:bookmarkStart w:id="28" w:name="_Toc450629690"/>
      <w:r>
        <w:t>Sambandet mellan Seveso II-direktivet och Industriolyckskonventionen</w:t>
      </w:r>
      <w:bookmarkEnd w:id="28"/>
    </w:p>
    <w:p w:rsidR="00662EA8" w:rsidRDefault="00662EA8">
      <w:r>
        <w:t>Både Seveso II-direktivet och Industriolyckskonventionen syftar till att för</w:t>
      </w:r>
      <w:r>
        <w:t>e</w:t>
      </w:r>
      <w:r>
        <w:t>bygga allvarliga olyckshändelser inom den kemikaliehanterande industrin och att begränsa skadorna om sådana olyckor skulle inträffa. Direktivets och konventionens tillämpningsområden sammanfaller därför i hög grad med varandra. Att beakta är dock att Industriolyckskonventionen, när det gäller förebyggande åtgärder, endast är tillämplig på gränsöverskridande effekter.</w:t>
      </w:r>
    </w:p>
    <w:p w:rsidR="00662EA8" w:rsidRDefault="00662EA8">
      <w:pPr>
        <w:pStyle w:val="Normaltindrag"/>
      </w:pPr>
      <w:r>
        <w:t>Seveso II-direktivet har ett vidare tillämpningsområde än Industri-olyckskonventionen eftersom direktivets tröskelvärden avseende förekom</w:t>
      </w:r>
      <w:r>
        <w:t>s</w:t>
      </w:r>
      <w:r>
        <w:t>ten av farliga ämnen är lägre än motsvarande tröskelvärden i Industriolyc</w:t>
      </w:r>
      <w:r>
        <w:t>k</w:t>
      </w:r>
      <w:r>
        <w:t>skonventi</w:t>
      </w:r>
      <w:r>
        <w:t>o</w:t>
      </w:r>
      <w:r>
        <w:t xml:space="preserve">nen. </w:t>
      </w:r>
    </w:p>
    <w:p w:rsidR="00662EA8" w:rsidRDefault="00662EA8">
      <w:pPr>
        <w:pStyle w:val="Normaltindrag"/>
      </w:pPr>
      <w:r>
        <w:t>Generellt, anförs i propositionen, är som regel kraven i direktivet mer o</w:t>
      </w:r>
      <w:r>
        <w:t>m</w:t>
      </w:r>
      <w:r>
        <w:t>fattande och mer preciserade än i konventionen. Inom EU pågår ett arbete med en harmonisering av tröskelvärden m.m. i direktivet och konve</w:t>
      </w:r>
      <w:r>
        <w:t>n</w:t>
      </w:r>
      <w:r>
        <w:t xml:space="preserve">tionen. </w:t>
      </w:r>
    </w:p>
    <w:p w:rsidR="00662EA8" w:rsidRDefault="00662EA8">
      <w:pPr>
        <w:pStyle w:val="Rubrik2"/>
      </w:pPr>
      <w:bookmarkStart w:id="29" w:name="_Toc450629691"/>
      <w:r>
        <w:t>Godkännande av konventionen om gränsöverskridande effekter av industriolyckor</w:t>
      </w:r>
      <w:bookmarkEnd w:id="29"/>
    </w:p>
    <w:p w:rsidR="00662EA8" w:rsidRDefault="00662EA8">
      <w:pPr>
        <w:pStyle w:val="R4"/>
        <w:spacing w:before="123"/>
      </w:pPr>
      <w:r>
        <w:t>Regeringen</w:t>
      </w:r>
    </w:p>
    <w:p w:rsidR="00662EA8" w:rsidRDefault="00662EA8">
      <w:r>
        <w:t xml:space="preserve">Regeringen </w:t>
      </w:r>
      <w:r>
        <w:rPr>
          <w:i/>
        </w:rPr>
        <w:t>föreslår</w:t>
      </w:r>
      <w:r>
        <w:t xml:space="preserve"> i propositionen att konventionen om gränsöverskridande effekter av industriolyckor godkänns.</w:t>
      </w:r>
    </w:p>
    <w:p w:rsidR="00662EA8" w:rsidRDefault="00662EA8">
      <w:r>
        <w:t xml:space="preserve">Som </w:t>
      </w:r>
      <w:r>
        <w:rPr>
          <w:i/>
        </w:rPr>
        <w:t>skäl för regeringens förslag</w:t>
      </w:r>
      <w:r>
        <w:t xml:space="preserve"> anförs bl.a. att konventionen om gränsöve</w:t>
      </w:r>
      <w:r>
        <w:t>r</w:t>
      </w:r>
      <w:r>
        <w:t>skridande effekter av industriolyckor är en del av ett folkrättsligt milj</w:t>
      </w:r>
      <w:r>
        <w:t>ö</w:t>
      </w:r>
      <w:r>
        <w:t>skyddssystem med konventioner som utarbetas inom FN:s ekonomiska kommission för Europa. Industriolyckskonventionen har särskilt stor bet</w:t>
      </w:r>
      <w:r>
        <w:t>y</w:t>
      </w:r>
      <w:r>
        <w:t>delse för de central- och östeuropeiska länder där det nu pågår en modernis</w:t>
      </w:r>
      <w:r>
        <w:t>e</w:t>
      </w:r>
      <w:r>
        <w:t>ring och up</w:t>
      </w:r>
      <w:r>
        <w:t>p</w:t>
      </w:r>
      <w:r>
        <w:t>byggnad av industrin.</w:t>
      </w:r>
    </w:p>
    <w:p w:rsidR="00662EA8" w:rsidRDefault="00662EA8">
      <w:pPr>
        <w:pStyle w:val="Normaltindrag"/>
      </w:pPr>
      <w:r>
        <w:t>Regeringen anser det angeläget att Sverige tillträder konventionen om gränsöverskridande effekter av industriolyckor. Ko</w:t>
      </w:r>
      <w:r>
        <w:t>nventionen är av sådan betydelse att den bör godkännas av riksdagen.</w:t>
      </w:r>
    </w:p>
    <w:p w:rsidR="00662EA8" w:rsidRDefault="00662EA8">
      <w:pPr>
        <w:pStyle w:val="R4"/>
      </w:pPr>
      <w:r>
        <w:t>Utskottet</w:t>
      </w:r>
    </w:p>
    <w:p w:rsidR="00662EA8" w:rsidRDefault="00662EA8">
      <w:r>
        <w:t>Utskottet föreslår att riksdagen godkänner konventionen den 17 mars 1992 om gränsöverskridande effekter av industriolyckor.</w:t>
      </w:r>
    </w:p>
    <w:p w:rsidR="00662EA8" w:rsidRDefault="00662EA8">
      <w:pPr>
        <w:pStyle w:val="Rubrik2"/>
      </w:pPr>
      <w:bookmarkStart w:id="30" w:name="_Toc450629692"/>
      <w:r>
        <w:t>Genomförandet av Seveso II-direktivet och Industriolyckskonventionen</w:t>
      </w:r>
      <w:bookmarkEnd w:id="30"/>
    </w:p>
    <w:p w:rsidR="00662EA8" w:rsidRDefault="00662EA8">
      <w:pPr>
        <w:pStyle w:val="Rubrik3"/>
        <w:spacing w:before="123"/>
      </w:pPr>
      <w:bookmarkStart w:id="31" w:name="_Toc450629693"/>
      <w:r>
        <w:t>Samordning med miljöprövningen</w:t>
      </w:r>
      <w:bookmarkEnd w:id="31"/>
    </w:p>
    <w:p w:rsidR="00662EA8" w:rsidRDefault="00662EA8">
      <w:pPr>
        <w:pStyle w:val="R4"/>
        <w:spacing w:before="123"/>
      </w:pPr>
      <w:r>
        <w:t>Regeringen</w:t>
      </w:r>
    </w:p>
    <w:p w:rsidR="00662EA8" w:rsidRDefault="00662EA8">
      <w:r>
        <w:t xml:space="preserve">Regeringen </w:t>
      </w:r>
      <w:r>
        <w:rPr>
          <w:i/>
        </w:rPr>
        <w:t>föreslår</w:t>
      </w:r>
      <w:r>
        <w:t xml:space="preserve"> att för de verksamheter som omfattas av kraven på s</w:t>
      </w:r>
      <w:r>
        <w:t>ä</w:t>
      </w:r>
      <w:r>
        <w:t>kerhetsrapport enligt Seveso II-direktivet och av Industriolycks-konventionen, skall en fördjupad säkerhetsprövning ske i samband med tillståndsprövningen enligt miljöbalken.</w:t>
      </w:r>
    </w:p>
    <w:p w:rsidR="00662EA8" w:rsidRDefault="00662EA8">
      <w:r>
        <w:t xml:space="preserve">Som </w:t>
      </w:r>
      <w:r>
        <w:rPr>
          <w:i/>
        </w:rPr>
        <w:t xml:space="preserve">skäl för regeringens förslag </w:t>
      </w:r>
      <w:r>
        <w:t>anförs bl.a. att bestämmelser om miljöko</w:t>
      </w:r>
      <w:r>
        <w:t>n</w:t>
      </w:r>
      <w:r>
        <w:t>sekvensbeskrivningar finns i miljöbalken. Även utanför miljöbalken finns bestämmelser om miljökonsekvensbeskrivningar, bl.a. i plan- och bygglagen (1987:10). Syftet med miljökonsekvensbeskrivningar är primärt att ge ett bättre beslutsunderlag och möjliggöra en samlad bedömning av en planerad verksamhets inverkan på miljö, hälsa och hushållning med naturresurser. Någon systematisk granskning av säkerhetsarrangemangen sker dock inte vid mil</w:t>
      </w:r>
      <w:r>
        <w:t xml:space="preserve">jöprövningen. </w:t>
      </w:r>
    </w:p>
    <w:p w:rsidR="00662EA8" w:rsidRDefault="00662EA8">
      <w:pPr>
        <w:pStyle w:val="Normaltindrag"/>
      </w:pPr>
      <w:r>
        <w:t>Miljöprövningen enligt miljöbalken är ett offentligt förfarande. Sak</w:t>
      </w:r>
      <w:r>
        <w:softHyphen/>
        <w:t>ägare och allmänhet har rätt och möjlighet att yttra sig över en ansökan om tillstånd och under arbetet med miljökonsekvensbeskrivningen.</w:t>
      </w:r>
    </w:p>
    <w:p w:rsidR="00662EA8" w:rsidRDefault="00662EA8">
      <w:pPr>
        <w:pStyle w:val="Normaltindrag"/>
      </w:pPr>
      <w:r>
        <w:t xml:space="preserve">Verksamhetsutövarens skyldigheter i Seveso II-direktivet och Industri-olyckskonventionen omfattar bl.a. vidtagande av åtgärder för att förebygga allvarliga kemikalieolyckor och begränsa följderna av dessa samt ingivande av redovisningar angående verksamheten och säkerhetsarrangemangen till behöriga myndigheter. </w:t>
      </w:r>
    </w:p>
    <w:p w:rsidR="00662EA8" w:rsidRDefault="00662EA8">
      <w:pPr>
        <w:pStyle w:val="Normaltindrag"/>
      </w:pPr>
      <w:r>
        <w:t>Varken i Seveso II-direktivet eller i Industriolyckskonventionen anges att säkerhetsarrangemangen skall prövas. I Seveso II-direktivet anges emellertid att säkerhetsrapporten skall granskas. En prövning förutsätter ett mer aktivt ställningstagande från den berörda myndigheten än en granskning. Prövnin</w:t>
      </w:r>
      <w:r>
        <w:t>g</w:t>
      </w:r>
      <w:r>
        <w:t>en av miljöfarlig verksamhet enligt miljöbalken resulterar t.ex. i ett tillstånd där särskilda krav ställs på verksamheten, alternativt i ett avslag.</w:t>
      </w:r>
    </w:p>
    <w:p w:rsidR="00662EA8" w:rsidRDefault="00662EA8">
      <w:pPr>
        <w:pStyle w:val="Normaltindrag"/>
      </w:pPr>
      <w:r>
        <w:t>Den kemikaliehanterande industrin som omfattas av Seveso II-direktivet och av Industriolyckskonventionen kan anses omfattas av miljöbalkens tillämpningsomr</w:t>
      </w:r>
      <w:r>
        <w:t>å</w:t>
      </w:r>
      <w:r>
        <w:t>de.</w:t>
      </w:r>
    </w:p>
    <w:p w:rsidR="00662EA8" w:rsidRDefault="00662EA8">
      <w:pPr>
        <w:pStyle w:val="Normaltindrag"/>
      </w:pPr>
      <w:r>
        <w:t>Sambandet mellan miljö- och säkerhetsfrågor är som nyss sagts påtagligt genom att det i båda fallen handlar om att förhindra skador på människor och miljön. Miljö- och säkerhetsfrågorna går ofta i varandra och kräver geme</w:t>
      </w:r>
      <w:r>
        <w:t>n</w:t>
      </w:r>
      <w:r>
        <w:t>samma överväganden och åtgärder. Det är därför en fördel om de kan lösas i ett sammanhang för att undvika motstridigheter. En samordning av säke</w:t>
      </w:r>
      <w:r>
        <w:t>r</w:t>
      </w:r>
      <w:r>
        <w:t>hetsfrågorna i Seveso II-direktivet och Industriolyckskonventionen med tillståndsprövningen enligt miljöbalken skulle således ha stora fördelar. En gemensam prövning blir mer rationell och myndigheternas och industrins hantering av frågor om hälsa, miljö och säkerhet kommer att bättre harmon</w:t>
      </w:r>
      <w:r>
        <w:t>i</w:t>
      </w:r>
      <w:r>
        <w:t>seras med varandra. Vidare kan i en integrerad miljö- och säkerhetsprövni</w:t>
      </w:r>
      <w:r>
        <w:t>ng miljökonsekvensbeskrivningar användas för att ge en allsidig beskrivning av både de kontinuerliga miljöeffekterna och riskerna vid en verksamhet. En samordnad miljö- och säkerhetsprövning enligt miljöbalken kommer att omfatta de verksamheter som omfattas av den högre kravnivån enligt Seveso II-direktivet och Industriolyckskonventionen.</w:t>
      </w:r>
    </w:p>
    <w:p w:rsidR="00662EA8" w:rsidRDefault="00662EA8">
      <w:pPr>
        <w:pStyle w:val="Normaltindrag"/>
      </w:pPr>
      <w:r>
        <w:t>En samordnad  miljö- och säkerhetsprövning enligt miljöbalken kommer att omfatta i huvudsak de områden som enligt nuvarande reglering enligt Seveso I-direktivet täcks in a</w:t>
      </w:r>
      <w:r>
        <w:t>v räddningstjänstlagstiftningen och miljöbalken. De arbetsmiljörelaterade säkerhetsfrågorna kommer, eftersom de faller uta</w:t>
      </w:r>
      <w:r>
        <w:t>n</w:t>
      </w:r>
      <w:r>
        <w:t>för miljöbalkens tillämpningsområde, inte att omfattas av prövningen. Inom arbetsmiljöområdet finns emellertid en omfattande reglering av säkerhetsfr</w:t>
      </w:r>
      <w:r>
        <w:t>å</w:t>
      </w:r>
      <w:r>
        <w:t>gorna.</w:t>
      </w:r>
    </w:p>
    <w:p w:rsidR="00662EA8" w:rsidRDefault="00662EA8">
      <w:pPr>
        <w:pStyle w:val="R4"/>
      </w:pPr>
      <w:r>
        <w:t>Utskottet</w:t>
      </w:r>
    </w:p>
    <w:p w:rsidR="00662EA8" w:rsidRDefault="00662EA8">
      <w:r>
        <w:t>Utskottet instämmer i regeringens förslag att en fördjupad säkerhetsprövning skall ske i samband med tillståndsprövningen enligt miljöbalken för de ver</w:t>
      </w:r>
      <w:r>
        <w:t>k</w:t>
      </w:r>
      <w:r>
        <w:t>samheter som omfattas av kraven på säkerhetsrapport enligt Seveso II-direktivet och av I</w:t>
      </w:r>
      <w:r>
        <w:t>n</w:t>
      </w:r>
      <w:r>
        <w:t xml:space="preserve">dustriolyckskonventionen. </w:t>
      </w:r>
    </w:p>
    <w:p w:rsidR="00662EA8" w:rsidRDefault="00662EA8">
      <w:pPr>
        <w:pStyle w:val="Rubrik3"/>
      </w:pPr>
      <w:bookmarkStart w:id="32" w:name="_Toc450629694"/>
      <w:r>
        <w:t>Lagteknisk lösning</w:t>
      </w:r>
      <w:bookmarkEnd w:id="32"/>
    </w:p>
    <w:p w:rsidR="00662EA8" w:rsidRDefault="00662EA8">
      <w:pPr>
        <w:pStyle w:val="R4"/>
        <w:spacing w:before="123"/>
      </w:pPr>
      <w:r>
        <w:t>Regeringen</w:t>
      </w:r>
    </w:p>
    <w:p w:rsidR="00662EA8" w:rsidRDefault="00662EA8">
      <w:r>
        <w:t xml:space="preserve">Regeringen </w:t>
      </w:r>
      <w:r>
        <w:rPr>
          <w:i/>
        </w:rPr>
        <w:t>föreslår</w:t>
      </w:r>
      <w:r>
        <w:t xml:space="preserve"> att Seveso II-direktivet och Industriolyckskonventionen skall genomföras genom en gemensam reglering. För ändamålet bör en sä</w:t>
      </w:r>
      <w:r>
        <w:t>r</w:t>
      </w:r>
      <w:r>
        <w:t>skild lag införas.</w:t>
      </w:r>
    </w:p>
    <w:p w:rsidR="00662EA8" w:rsidRDefault="00662EA8">
      <w:r>
        <w:t xml:space="preserve">Som </w:t>
      </w:r>
      <w:r>
        <w:rPr>
          <w:i/>
        </w:rPr>
        <w:t>skäl för regeringens förslag</w:t>
      </w:r>
      <w:r>
        <w:t xml:space="preserve"> anförs bl.a. att den samordning av miljö- och säkerhetsprövningen som regeringen föreslår ställer krav på en större enhetlighet i regleringen inom framför allt Statens räddningsverks och N</w:t>
      </w:r>
      <w:r>
        <w:t>a</w:t>
      </w:r>
      <w:r>
        <w:t>turvårdsverkets ansvarsområden. En gemensam reglering kommer att o</w:t>
      </w:r>
      <w:r>
        <w:t>m</w:t>
      </w:r>
      <w:r>
        <w:t>fatta båda dessa myndigheters a</w:t>
      </w:r>
      <w:r>
        <w:t>n</w:t>
      </w:r>
      <w:r>
        <w:t>svarsområden.</w:t>
      </w:r>
    </w:p>
    <w:p w:rsidR="00662EA8" w:rsidRDefault="00662EA8">
      <w:pPr>
        <w:pStyle w:val="Normaltindrag"/>
      </w:pPr>
      <w:r>
        <w:t>Sambandet mellan hälsa, miljö och säkerhet är som tidigare nämnts tydligt i Seveso II-direktivet. Även Industriolyckskonventionen uppvisar en helhet</w:t>
      </w:r>
      <w:r>
        <w:t>s</w:t>
      </w:r>
      <w:r>
        <w:t>syn på säkerhetsfrågorna.</w:t>
      </w:r>
    </w:p>
    <w:p w:rsidR="00662EA8" w:rsidRDefault="00662EA8">
      <w:pPr>
        <w:pStyle w:val="Normaltindrag"/>
      </w:pPr>
      <w:r>
        <w:t>Med hänsyn till den överensstämmelse som således föreligger mellan d</w:t>
      </w:r>
      <w:r>
        <w:t>i</w:t>
      </w:r>
      <w:r>
        <w:t>rektivet och konventionen bör bestämmelserna samordnas för att möjliggöra en gemensam reglering. Detta innebär visserligen att de svenska bestämme</w:t>
      </w:r>
      <w:r>
        <w:t>l</w:t>
      </w:r>
      <w:r>
        <w:t>serna i vissa avseenden kommer att bli något strängare än om direktivets och konventionens bestämmelser skulle följts var för sig. I gengäld blir en sa</w:t>
      </w:r>
      <w:r>
        <w:t>m</w:t>
      </w:r>
      <w:r>
        <w:t>ordnad reglering mer lättöverskådlig och tillämpningen kommer vidare att ku</w:t>
      </w:r>
      <w:r>
        <w:t>n</w:t>
      </w:r>
      <w:r>
        <w:t>na underlättas.</w:t>
      </w:r>
    </w:p>
    <w:p w:rsidR="00662EA8" w:rsidRDefault="00662EA8">
      <w:pPr>
        <w:pStyle w:val="Normaltindrag"/>
      </w:pPr>
      <w:r>
        <w:t>Genom att samla vissa av reglerna för olycksförebyggande och skadeb</w:t>
      </w:r>
      <w:r>
        <w:t>e</w:t>
      </w:r>
      <w:r>
        <w:t>gränsande åtgärder inom kemikaliehanterande verksamhet i en särskild lag skapas nödvändiga förutsättningar för en fördjupad säkerhetsprövning i samband med tillståndsprövningen enligt miljöbalken samt ges möjlighet att uppfylla de krav som ställs i Seveso II-direktivet och Industriolyckskonve</w:t>
      </w:r>
      <w:r>
        <w:t>n</w:t>
      </w:r>
      <w:r>
        <w:t>tionen. Därmed ges också förutsättningar för en klarare och enklare myndi</w:t>
      </w:r>
      <w:r>
        <w:t>g</w:t>
      </w:r>
      <w:r>
        <w:t>hetsstruktur.</w:t>
      </w:r>
    </w:p>
    <w:p w:rsidR="00662EA8" w:rsidRDefault="00662EA8">
      <w:pPr>
        <w:pStyle w:val="Normaltindrag"/>
      </w:pPr>
      <w:r>
        <w:t>Lagrådet har anfört att de bestämmelser som direkt i</w:t>
      </w:r>
      <w:r>
        <w:t>n</w:t>
      </w:r>
      <w:r>
        <w:t>förlivar Seveso II-direktivet har sin plats i en särskild lag, men att regler om tillstånd och tillsyn mycket väl hade kunnat sökas i miljöbalken. Statens räddningsverk hade därvid, enligt Lagrådet, kunnat inordnas som en central tillsynsmyndighet enligt miljöbalken. Lagrådet har ansett att det har uppkommit en dubblyr med miljöbalkens b</w:t>
      </w:r>
      <w:r>
        <w:t>e</w:t>
      </w:r>
      <w:r>
        <w:t xml:space="preserve">stämmelser. </w:t>
      </w:r>
    </w:p>
    <w:p w:rsidR="00662EA8" w:rsidRDefault="00662EA8">
      <w:pPr>
        <w:pStyle w:val="Normaltindrag"/>
      </w:pPr>
      <w:r>
        <w:t>Genom den före</w:t>
      </w:r>
      <w:r>
        <w:softHyphen/>
        <w:t>slagna lagen genomförs en ny princip inom miljöområdet som innebär att domstolarna och tillsynsmyndigheterna är skyldiga att beakta olycks</w:t>
      </w:r>
      <w:r>
        <w:softHyphen/>
        <w:t>förebyggande åtgärder när de prövar tillståndsfrågor och utövar tillsyn. Vid tillståndsprövningen och tillsynen har således domstolarna och till</w:t>
      </w:r>
      <w:r>
        <w:softHyphen/>
        <w:t>syns</w:t>
      </w:r>
      <w:r>
        <w:softHyphen/>
        <w:t>myndigheterna att tillämpa miljöbalkens allmänna hänsynsregler i 2 kap. Någon dubblyr mellan den föreslagna lagen och miljöbalken bör därför inte anses uppkomma.</w:t>
      </w:r>
    </w:p>
    <w:p w:rsidR="00662EA8" w:rsidRDefault="00662EA8">
      <w:pPr>
        <w:pStyle w:val="Normaltindrag"/>
      </w:pPr>
      <w:r>
        <w:t>I detta sammanhang bör också nämnas att det i följdlagstiftn</w:t>
      </w:r>
      <w:r>
        <w:t>ingen till mi</w:t>
      </w:r>
      <w:r>
        <w:t>l</w:t>
      </w:r>
      <w:r>
        <w:t>jö</w:t>
      </w:r>
      <w:r>
        <w:softHyphen/>
        <w:t>balken ingår flera lagar som innehåller förfaranderegler för bl.a. tillstånd och som samtidigt är parallellt tillämpliga med miljöbalken. Exempel på sådana lagar är minerallagen (1991:45) och lagen (1995:1649) om byggande av järnväg.</w:t>
      </w:r>
    </w:p>
    <w:p w:rsidR="00662EA8" w:rsidRDefault="00662EA8">
      <w:pPr>
        <w:pStyle w:val="Normaltindrag"/>
      </w:pPr>
      <w:r>
        <w:t>Enligt regeringen föreligger det skäl att reglera även frågor om tillstånd och tillsyn i den föreslagna lagen med hänsyn till regleringen där i fråga om olycksförebyggande åtgärder och skadebegränsande åtgärder. Till detta kommer den nya principen för domstolar</w:t>
      </w:r>
      <w:r>
        <w:t>na och tillsyns</w:t>
      </w:r>
      <w:r>
        <w:softHyphen/>
        <w:t>myndigheterna att vid tillståndsprövning och tillsyn beakta olycksföre</w:t>
      </w:r>
      <w:r>
        <w:softHyphen/>
        <w:t>byggande åtgärder.</w:t>
      </w:r>
    </w:p>
    <w:p w:rsidR="00662EA8" w:rsidRDefault="00662EA8">
      <w:pPr>
        <w:pStyle w:val="Normaltindrag"/>
      </w:pPr>
      <w:r>
        <w:t>De arbetsmiljörelaterade säkerhetsfrågorna kommer, eftersom de faller utanför miljöbalkens tillämpningsområde, inte att omfattas av den fördjupade säkerhetsprövningen i samband med tillståndsprövningen enligt miljöbalken som föreslås. Inom arbetsmiljöområdet finns emellertid en omfattande regl</w:t>
      </w:r>
      <w:r>
        <w:t>e</w:t>
      </w:r>
      <w:r>
        <w:t>ring av säkerhetsfrågor, och någon ny lagstiftning är enligt regeringens b</w:t>
      </w:r>
      <w:r>
        <w:t>e</w:t>
      </w:r>
      <w:r>
        <w:t>dömning inte nödvändig. Kompletterande regler för att genomföra Seveso II-direktivet kan ges i form av myndighetsföreskrifter.</w:t>
      </w:r>
    </w:p>
    <w:p w:rsidR="00662EA8" w:rsidRDefault="00662EA8">
      <w:pPr>
        <w:pStyle w:val="R4"/>
      </w:pPr>
      <w:r>
        <w:t>Utskottet</w:t>
      </w:r>
    </w:p>
    <w:p w:rsidR="00662EA8" w:rsidRDefault="00662EA8">
      <w:r>
        <w:t>Utskottet instämmer i regeringens förslag att Seveso II-direktivet och Indus</w:t>
      </w:r>
      <w:r>
        <w:t>t</w:t>
      </w:r>
      <w:r>
        <w:t>riolyckskonventionen skall genomföras genom en gemensam reglering och att det för ändamålet bör införas en sä</w:t>
      </w:r>
      <w:r>
        <w:t>r</w:t>
      </w:r>
      <w:r>
        <w:t>skild lag.</w:t>
      </w:r>
    </w:p>
    <w:p w:rsidR="00662EA8" w:rsidRDefault="00662EA8">
      <w:pPr>
        <w:pStyle w:val="Rubrik3"/>
      </w:pPr>
      <w:bookmarkStart w:id="33" w:name="_Toc450629695"/>
      <w:r>
        <w:t>Tillsynsansvaret</w:t>
      </w:r>
      <w:bookmarkEnd w:id="33"/>
    </w:p>
    <w:p w:rsidR="00662EA8" w:rsidRDefault="00662EA8">
      <w:pPr>
        <w:pStyle w:val="R4"/>
        <w:spacing w:before="123"/>
      </w:pPr>
      <w:r>
        <w:t>Regeringen</w:t>
      </w:r>
    </w:p>
    <w:p w:rsidR="00662EA8" w:rsidRDefault="00662EA8">
      <w:r>
        <w:t xml:space="preserve">Regeringen </w:t>
      </w:r>
      <w:r>
        <w:rPr>
          <w:i/>
        </w:rPr>
        <w:t xml:space="preserve">föreslår </w:t>
      </w:r>
      <w:r>
        <w:t>att tillsynsorganisationen enligt den nya lagen harmon</w:t>
      </w:r>
      <w:r>
        <w:t>i</w:t>
      </w:r>
      <w:r>
        <w:t>serar med tillsynen enligt miljöbalken. Länsstyrelse och kommuner skall därför ha det regionala och lokala tillsynsansvaret. Det centrala til</w:t>
      </w:r>
      <w:r>
        <w:t>l</w:t>
      </w:r>
      <w:r>
        <w:t>synsansvaret enligt den nya lagen skall ligga på Statens räddningsverk.</w:t>
      </w:r>
    </w:p>
    <w:p w:rsidR="00662EA8" w:rsidRDefault="00662EA8">
      <w:r>
        <w:t xml:space="preserve">Som </w:t>
      </w:r>
      <w:r>
        <w:rPr>
          <w:i/>
        </w:rPr>
        <w:t xml:space="preserve">skäl för regeringens förslag </w:t>
      </w:r>
      <w:r>
        <w:t>anförs bl.a. att Seveso II-direktivet up</w:t>
      </w:r>
      <w:r>
        <w:t>p</w:t>
      </w:r>
      <w:r>
        <w:t>ställer som krav att medlemsstaterna tillskapar ett system för tillsyn av både den lägre och den högre kravnivån i Seveso II-direktivet. Industriolycksko</w:t>
      </w:r>
      <w:r>
        <w:t>n</w:t>
      </w:r>
      <w:r>
        <w:t>vention har inget direkt krav på en tillsynsorganisation utan anger att varje part till konventionen skall utse en myn</w:t>
      </w:r>
      <w:r>
        <w:softHyphen/>
        <w:t>dighet för konventionens ändamål.</w:t>
      </w:r>
    </w:p>
    <w:p w:rsidR="00662EA8" w:rsidRDefault="00662EA8">
      <w:pPr>
        <w:pStyle w:val="Normaltindrag"/>
      </w:pPr>
      <w:r>
        <w:t>Även om de formella kraven är mindre omfattande enligt den lägre kravn</w:t>
      </w:r>
      <w:r>
        <w:t>i</w:t>
      </w:r>
      <w:r>
        <w:t>vån betyder inte det att tillsynen av en sådan verksamhet är okomplicerad. Eftersom uppdelningen av de både kravnivåerna är mycket förenklad – mängden hanterade farliga ämnen – ger den i många fall en inte helt rättv</w:t>
      </w:r>
      <w:r>
        <w:t>i</w:t>
      </w:r>
      <w:r>
        <w:t>sande bild av de krav på kompetens som fordras för tillsynen av de verksa</w:t>
      </w:r>
      <w:r>
        <w:t>m</w:t>
      </w:r>
      <w:r>
        <w:t>heter som omfattas av direktivet. Om tillsynen skall bli effektiv och bidra till att höja säkerheten bör därför tillsynsorganisationen vara densamma för de båda kravnivåerna. På detta sätt kan den högre kompetens som krä</w:t>
      </w:r>
      <w:r>
        <w:t>vs för att utöva tillsyn över de verksamheter som omfattas av den högre kravnivån även utnyttjas vid tillsyn av verksamheter enligt den lägre kra</w:t>
      </w:r>
      <w:r>
        <w:t>v</w:t>
      </w:r>
      <w:r>
        <w:t xml:space="preserve">nivån. </w:t>
      </w:r>
    </w:p>
    <w:p w:rsidR="00662EA8" w:rsidRDefault="00662EA8">
      <w:pPr>
        <w:pStyle w:val="Normaltindrag"/>
      </w:pPr>
      <w:r>
        <w:t>Regeringen anför att Räddningsverkets övergripande roll i samhällets olycks- och skadeförebyggande arbete på senare år har betonats av riksd</w:t>
      </w:r>
      <w:r>
        <w:t>a</w:t>
      </w:r>
      <w:r>
        <w:t xml:space="preserve">gen. Försvarsutskottet framhöll i betänkande 1993/94:FöU1 vikten av att ge Statens räddningsverks samordningsuppgift ett sådant innehåll att verket kunde agera på ett likartat sätt inom samtliga myndighetsområden avseende skyddet mot kemikalieolyckor och vid transport av farligt gods. </w:t>
      </w:r>
    </w:p>
    <w:p w:rsidR="00662EA8" w:rsidRDefault="00662EA8">
      <w:pPr>
        <w:pStyle w:val="Normaltindrag"/>
      </w:pPr>
      <w:r>
        <w:t>Naturvårdsverket är central förvaltningsmyndighet för frågor om milj</w:t>
      </w:r>
      <w:r>
        <w:t>ö</w:t>
      </w:r>
      <w:r>
        <w:t>vård, däri inbegripet naturvård och miljöskydd. Något särskilt ansvar för säkerhetsfrågor har verket emellertid inte även om säkerheten inom t.ex. industrin naturligtvis har betydelse för miljön. Med hänsyn till att den för</w:t>
      </w:r>
      <w:r>
        <w:t>e</w:t>
      </w:r>
      <w:r>
        <w:t xml:space="preserve">slagna lagen främst kommer att avse säkerhetsfrågor anser regeringen att det centrala tillsynsansvaret bör ligga på Statens räddningsverk. Som central tillsynsmyndighet bör Statens räddningsverk även få ansvaret för att utfärda föreskrifter och allmänna råd för tillämpningen av den nya </w:t>
      </w:r>
      <w:r>
        <w:t xml:space="preserve">lagen. </w:t>
      </w:r>
    </w:p>
    <w:p w:rsidR="00662EA8" w:rsidRDefault="00662EA8">
      <w:pPr>
        <w:pStyle w:val="R4"/>
      </w:pPr>
      <w:r>
        <w:t>Motionen</w:t>
      </w:r>
    </w:p>
    <w:p w:rsidR="00662EA8" w:rsidRDefault="00662EA8">
      <w:r>
        <w:t xml:space="preserve">I </w:t>
      </w:r>
      <w:r>
        <w:rPr>
          <w:i/>
        </w:rPr>
        <w:t>motion Fö4 (v)</w:t>
      </w:r>
      <w:r>
        <w:t xml:space="preserve"> av Stig Sandström och Berit Jóhannesson framhålls bl.a. för att undvika dubbelreglering och uppbyggnad av samma kompetens hos ett flertal myndigheter att det är angeläget att ansvaret för de olika myndighete</w:t>
      </w:r>
      <w:r>
        <w:t>r</w:t>
      </w:r>
      <w:r>
        <w:t xml:space="preserve">na tydligt avgränsas. Motionärerna framhåller också att det saknas analys av hur reglering och tillsyn under Seveso I fungerat och föreslår att det görs en uppföljning och utvärdering av Seveso I-direktivet. </w:t>
      </w:r>
    </w:p>
    <w:p w:rsidR="00662EA8" w:rsidRDefault="00662EA8">
      <w:pPr>
        <w:pStyle w:val="R4"/>
      </w:pPr>
      <w:r>
        <w:t>Utskottet</w:t>
      </w:r>
    </w:p>
    <w:p w:rsidR="00662EA8" w:rsidRDefault="00662EA8">
      <w:r>
        <w:t>Utskottet delar regeringens syn att tillsynsorganisationen enligt den nya lagen bör harmonisera med tillsynen enligt miljöbalken. Länsstyrelse och kommuner skall, anser utskottet i likhet med regeringen, därför ha det regi</w:t>
      </w:r>
      <w:r>
        <w:t>o</w:t>
      </w:r>
      <w:r>
        <w:t>nala och lokala tillsynsansvaret, liksom att det centrala tillsynsansvaret enligt den nya lagen skall ligga på Statens räd</w:t>
      </w:r>
      <w:r>
        <w:t>d</w:t>
      </w:r>
      <w:r>
        <w:t>ningsverk.</w:t>
      </w:r>
    </w:p>
    <w:p w:rsidR="00662EA8" w:rsidRDefault="00662EA8">
      <w:pPr>
        <w:pStyle w:val="Normaltindrag"/>
      </w:pPr>
      <w:r>
        <w:t>Med anledning av yrkandet i motion Fö4 (v) vill utskottet framhålla fö</w:t>
      </w:r>
      <w:r>
        <w:t>l</w:t>
      </w:r>
      <w:r>
        <w:t>jande.</w:t>
      </w:r>
    </w:p>
    <w:p w:rsidR="00662EA8" w:rsidRDefault="00662EA8">
      <w:pPr>
        <w:pStyle w:val="Normaltindrag"/>
      </w:pPr>
      <w:r>
        <w:t>Försvarsdepartementet har vid en föredragning inför utskottet den 13 april 1999 bl.a. anfört att syftet med tillsynsorganisationen enligt den nya lagen (Sevesolagen) är att denna skall harmonisera med miljöbalkens tillsyns-system, vilket regeringen också anför i propositionen. Naturvårdsverket, som är central tillsynsmyndighet för miljöbalken, har ansvar för frågor om natu</w:t>
      </w:r>
      <w:r>
        <w:t>r</w:t>
      </w:r>
      <w:r>
        <w:t>vård och miljöskydd, inte säkerhetsfrågor i enlighet med vad den nya Sev</w:t>
      </w:r>
      <w:r>
        <w:t>e</w:t>
      </w:r>
      <w:r>
        <w:t>so-lagen kräver. Utskottet har, som redan framgått, inget att invända mot den ordning regeringen nu föreslår om tillsynsorganisationen. Utskottet vill dock i sammanhanget anföra följande.</w:t>
      </w:r>
    </w:p>
    <w:p w:rsidR="00662EA8" w:rsidRDefault="00662EA8">
      <w:pPr>
        <w:pStyle w:val="Normaltindrag"/>
      </w:pPr>
      <w:r>
        <w:t>Utskottet, som erfarit att tillsynen enligt Seveso I-direktivet fungerat väl, utgår i från att den nu föreslagna ordningen inte medför en dubbelreglering på området. Behovet av en effektiv samordning av de olika tillsynsmyndi</w:t>
      </w:r>
      <w:r>
        <w:t>g</w:t>
      </w:r>
      <w:r>
        <w:t xml:space="preserve">heternas arbete framstår som uppenbart. Utskottet förutsätter att nödvändig kompetens är säkrad i den föreslagna organisationen och att tillsynsansvaret för berörda myndigheter är tydligt och väl uttalat. Utskottet vill särskilt framhålla att utskottet utgår ifrån att regeringen följer upp och utvärderar genomförandet av Seveso II-direktivet och återkommer till riksdagen om förhållanden, som utskottet nu pekat på, visar sig föreligga. Mot bakgrund av vad utskottet anfört behöver </w:t>
      </w:r>
      <w:r>
        <w:rPr>
          <w:i/>
        </w:rPr>
        <w:t xml:space="preserve">motion Fö4 (v) </w:t>
      </w:r>
      <w:r>
        <w:t>inte bifalla</w:t>
      </w:r>
      <w:r>
        <w:t>s av riksd</w:t>
      </w:r>
      <w:r>
        <w:t>a</w:t>
      </w:r>
      <w:r>
        <w:t>gen.</w:t>
      </w:r>
    </w:p>
    <w:p w:rsidR="00662EA8" w:rsidRDefault="00662EA8">
      <w:pPr>
        <w:pStyle w:val="Rubrik2"/>
      </w:pPr>
      <w:bookmarkStart w:id="34" w:name="_Toc450629696"/>
      <w:r>
        <w:t>Den materiella regleringen</w:t>
      </w:r>
      <w:bookmarkEnd w:id="34"/>
      <w:r>
        <w:t xml:space="preserve"> </w:t>
      </w:r>
    </w:p>
    <w:p w:rsidR="00662EA8" w:rsidRDefault="00662EA8">
      <w:r>
        <w:t>Utskottet redovisar i det följande regeringens sammanfattande förslag under respektive avsnitt. Under de avsnitt som motionsyrkandena behandlas finns en mer utförlig redovisning av regeringens anföranden i propositi</w:t>
      </w:r>
      <w:r>
        <w:t>o</w:t>
      </w:r>
      <w:r>
        <w:t>nen.</w:t>
      </w:r>
    </w:p>
    <w:p w:rsidR="00662EA8" w:rsidRDefault="00662EA8">
      <w:pPr>
        <w:pStyle w:val="Rubrik3"/>
      </w:pPr>
      <w:bookmarkStart w:id="35" w:name="_Toc450629697"/>
      <w:r>
        <w:t>Tillämpningsområde</w:t>
      </w:r>
      <w:bookmarkEnd w:id="35"/>
    </w:p>
    <w:p w:rsidR="00662EA8" w:rsidRDefault="00662EA8">
      <w:pPr>
        <w:pStyle w:val="R4"/>
        <w:spacing w:before="123"/>
      </w:pPr>
      <w:r>
        <w:t>Regeringen</w:t>
      </w:r>
    </w:p>
    <w:p w:rsidR="00662EA8" w:rsidRDefault="00662EA8">
      <w:r>
        <w:t xml:space="preserve">Regeringen </w:t>
      </w:r>
      <w:r>
        <w:rPr>
          <w:i/>
        </w:rPr>
        <w:t>föreslår</w:t>
      </w:r>
      <w:r>
        <w:t xml:space="preserve"> att lagens tillämpningsområde skall omfatta sådana verksamheter där farliga ämnen förekommer eller kan förekomma i mängder (tröskelvärden) som motsvarar eller överstiger de mängder som regeringen bestämmer. Tröskelvärdena får därmed inte överstiga de värden som anges i Seveso II-direktivet och i Industriolyckskonventionen.</w:t>
      </w:r>
    </w:p>
    <w:p w:rsidR="00662EA8" w:rsidRDefault="00662EA8">
      <w:pPr>
        <w:pStyle w:val="Normaltindrag"/>
      </w:pPr>
      <w:r>
        <w:t>Såvitt gäller skydd mot ohälsa och olycksfall i arbete samt i övrigt vad gäller arbetsmiljön tillämpas bestämmelserna i arbetsmiljölagen (1977:1160). Från lagens tillämpningsområ</w:t>
      </w:r>
      <w:r>
        <w:t>de undantas faror som har samband med jon</w:t>
      </w:r>
      <w:r>
        <w:t>i</w:t>
      </w:r>
      <w:r>
        <w:t>serande strålning, militär verksamhet, transport av farliga ämnen i rörle</w:t>
      </w:r>
      <w:r>
        <w:t>d</w:t>
      </w:r>
      <w:r>
        <w:t>ningar utanför de verksamheter som omfattas av lagen och sådan hantering av farliga ämnen som omfattas av lagen (1982:821) om transport av farligt gods.</w:t>
      </w:r>
    </w:p>
    <w:p w:rsidR="00662EA8" w:rsidRDefault="00662EA8">
      <w:pPr>
        <w:pStyle w:val="R4"/>
      </w:pPr>
      <w:r>
        <w:t>Utskottet</w:t>
      </w:r>
    </w:p>
    <w:p w:rsidR="00662EA8" w:rsidRDefault="00662EA8">
      <w:r>
        <w:t>Utskottet instämmer i regeringens förslag att lagens tillämpningsområde skall omfatta sådana verksamheter där farliga ämnen förekommer eller kan förekomma i mängder (tröskelvärden) som motsvarar eller överstiger de mängder som regeringen bestämmer. Tröskelvärdena får därmed inte öve</w:t>
      </w:r>
      <w:r>
        <w:t>r</w:t>
      </w:r>
      <w:r>
        <w:t>stiga de värden som anges i Seveso II-direktivet och i Industriolyckskonve</w:t>
      </w:r>
      <w:r>
        <w:t>n</w:t>
      </w:r>
      <w:r>
        <w:t>tionen. Utskottet har heller inget att invända mot vad regeringen i övrigt anför om tillämpningsområdet.</w:t>
      </w:r>
    </w:p>
    <w:p w:rsidR="00662EA8" w:rsidRDefault="00662EA8">
      <w:pPr>
        <w:pStyle w:val="Rubrik3"/>
      </w:pPr>
      <w:bookmarkStart w:id="36" w:name="_Toc450629698"/>
      <w:r>
        <w:t>Definitioner</w:t>
      </w:r>
      <w:bookmarkEnd w:id="36"/>
    </w:p>
    <w:p w:rsidR="00662EA8" w:rsidRDefault="00662EA8">
      <w:pPr>
        <w:pStyle w:val="R4"/>
        <w:spacing w:before="123"/>
      </w:pPr>
      <w:r>
        <w:t>Regeringen</w:t>
      </w:r>
    </w:p>
    <w:p w:rsidR="00662EA8" w:rsidRDefault="00662EA8">
      <w:r>
        <w:t xml:space="preserve">Regeringen </w:t>
      </w:r>
      <w:r>
        <w:rPr>
          <w:i/>
        </w:rPr>
        <w:t>föreslår</w:t>
      </w:r>
      <w:r>
        <w:t xml:space="preserve"> att vissa för Seveso II-direktivet och Industriolycksko</w:t>
      </w:r>
      <w:r>
        <w:t>n</w:t>
      </w:r>
      <w:r>
        <w:t>ventionen centrala begrepp skall definieras i den föreslagna lagen. Dessa begrepp är allvarlig kemikalieolycka, verksamhet, verksamhetsutövare, a</w:t>
      </w:r>
      <w:r>
        <w:t>n</w:t>
      </w:r>
      <w:r>
        <w:t>läggning, lager och farliga ämnen. Definitionerna i direktivet och konventi</w:t>
      </w:r>
      <w:r>
        <w:t>o</w:t>
      </w:r>
      <w:r>
        <w:t>nen kommer därvid att vara samordnade. Regeringen skall få föreskriva vilka ämnen som skall anses som farl</w:t>
      </w:r>
      <w:r>
        <w:t>i</w:t>
      </w:r>
      <w:r>
        <w:t>ga.</w:t>
      </w:r>
    </w:p>
    <w:p w:rsidR="00662EA8" w:rsidRDefault="00662EA8">
      <w:pPr>
        <w:pStyle w:val="R4"/>
      </w:pPr>
      <w:r>
        <w:t>Utskottet</w:t>
      </w:r>
    </w:p>
    <w:p w:rsidR="00662EA8" w:rsidRDefault="00662EA8">
      <w:r>
        <w:t>Utskottet instämmer i regeringens förslag att vissa för Seveso II-direktivet och Industriolyckskonventionen centrala begrepp skall definieras i den för</w:t>
      </w:r>
      <w:r>
        <w:t>e</w:t>
      </w:r>
      <w:r>
        <w:t>slagna lagen. Dessa begrepp är allvarlig kemikalieolycka, verksamhet, ver</w:t>
      </w:r>
      <w:r>
        <w:t>k</w:t>
      </w:r>
      <w:r>
        <w:t>samhetsutövare, anläggning, lager och farliga ämnen. Definitionerna i dire</w:t>
      </w:r>
      <w:r>
        <w:t>k</w:t>
      </w:r>
      <w:r>
        <w:t>tivet och konventionen kommer därvid att vara samordnade. Utskottet har heller inget att invända mot att regeringen får föreskriva vilka ämnen som skall anses som farl</w:t>
      </w:r>
      <w:r>
        <w:t>i</w:t>
      </w:r>
      <w:r>
        <w:t>ga.</w:t>
      </w:r>
    </w:p>
    <w:p w:rsidR="00662EA8" w:rsidRDefault="00662EA8">
      <w:pPr>
        <w:pStyle w:val="Rubrik3"/>
      </w:pPr>
      <w:bookmarkStart w:id="37" w:name="_Toc450629699"/>
      <w:r>
        <w:t>Verksamhetsutövarnas skyldigheter</w:t>
      </w:r>
      <w:bookmarkEnd w:id="37"/>
    </w:p>
    <w:p w:rsidR="00662EA8" w:rsidRDefault="00662EA8">
      <w:pPr>
        <w:pStyle w:val="R4"/>
        <w:spacing w:before="123"/>
      </w:pPr>
      <w:r>
        <w:t>Regeringen</w:t>
      </w:r>
    </w:p>
    <w:p w:rsidR="00662EA8" w:rsidRDefault="00662EA8">
      <w:r>
        <w:t xml:space="preserve">Regeringen </w:t>
      </w:r>
      <w:r>
        <w:rPr>
          <w:i/>
        </w:rPr>
        <w:t>föreslår</w:t>
      </w:r>
      <w:r>
        <w:t xml:space="preserve"> i propositionen att verksamhetsutövarnas skyldigheter är uppdelade i två kravnivåer beroende på i vilka mängder farliga ämnen för</w:t>
      </w:r>
      <w:r>
        <w:t>e</w:t>
      </w:r>
      <w:r>
        <w:t xml:space="preserve">kommer eller kan förekomma i verksamheten. </w:t>
      </w:r>
    </w:p>
    <w:p w:rsidR="00662EA8" w:rsidRDefault="00662EA8">
      <w:pPr>
        <w:pStyle w:val="Normaltindrag"/>
      </w:pPr>
      <w:r>
        <w:t>Samtliga verksamhetsutövare är skyldiga att vidta förebyggande och sk</w:t>
      </w:r>
      <w:r>
        <w:t>a</w:t>
      </w:r>
      <w:r>
        <w:t>debegränsande åtgärder, inge anmälan till tillsynsmyndigheten om verksa</w:t>
      </w:r>
      <w:r>
        <w:t>m</w:t>
      </w:r>
      <w:r>
        <w:t xml:space="preserve">heten samt upprätta ett handlingsprogram för hur allvarliga kemikalieolyckor skall förebyggas. Bestämmelser med dessa skyldigheter införs i lagen. </w:t>
      </w:r>
    </w:p>
    <w:p w:rsidR="00662EA8" w:rsidRDefault="00662EA8">
      <w:pPr>
        <w:pStyle w:val="Normaltindrag"/>
      </w:pPr>
      <w:r>
        <w:t>De verksamhetsutövare som omfattas av den högre kravnivån i lagen skall utöver nämnda skyldigheter även lämna en säkerhetsrapport. Vid nyanläg</w:t>
      </w:r>
      <w:r>
        <w:t>g</w:t>
      </w:r>
      <w:r>
        <w:t>ning och förändring av verksamhet som omfattas av den högre kravnivån skall säkerhetsrapporten lämnas till miljöprövnings</w:t>
      </w:r>
      <w:r>
        <w:softHyphen/>
        <w:t>myndig</w:t>
      </w:r>
      <w:r>
        <w:softHyphen/>
        <w:t>heten för en fö</w:t>
      </w:r>
      <w:r>
        <w:t>r</w:t>
      </w:r>
      <w:r>
        <w:t>djupad säkerhetsprövning. I övriga fall skall säkerhetsrapporten lämnas till tillsynsmyndi</w:t>
      </w:r>
      <w:r>
        <w:t>g</w:t>
      </w:r>
      <w:r>
        <w:t>heten.</w:t>
      </w:r>
    </w:p>
    <w:p w:rsidR="00662EA8" w:rsidRDefault="00662EA8">
      <w:pPr>
        <w:pStyle w:val="R4"/>
      </w:pPr>
      <w:r>
        <w:t>Utskottet</w:t>
      </w:r>
    </w:p>
    <w:p w:rsidR="00662EA8" w:rsidRDefault="00662EA8">
      <w:r>
        <w:t>Utskottet instämmer i regeringens förslag att verksamhetsutövarnas skyldi</w:t>
      </w:r>
      <w:r>
        <w:t>g</w:t>
      </w:r>
      <w:r>
        <w:t>heter är uppdelade i två kravnivåer beroende på i vilka mängder farliga ä</w:t>
      </w:r>
      <w:r>
        <w:t>m</w:t>
      </w:r>
      <w:r>
        <w:t xml:space="preserve">nen förekommer eller kan förekomma i verksamheten. Likaså anser utskottet </w:t>
      </w:r>
      <w:r>
        <w:softHyphen/>
        <w:t>– i likhet med regeringen – att samtliga verksamhetsutövare är skyldiga att vidta förebyggande och skadebegränsande åtgärder, inge anmälan till til</w:t>
      </w:r>
      <w:r>
        <w:t>l</w:t>
      </w:r>
      <w:r>
        <w:t xml:space="preserve">synsmyndigheten om verksamheten samt upprätta ett handlingsprogram för hur allvarliga kemikalieolyckor skall förebyggas och att bestämmelser med dessa skyldigheter införs i lagen. </w:t>
      </w:r>
    </w:p>
    <w:p w:rsidR="00662EA8" w:rsidRDefault="00662EA8">
      <w:pPr>
        <w:pStyle w:val="Normaltindrag"/>
      </w:pPr>
      <w:r>
        <w:t>Utskottet instämmer även i regeri</w:t>
      </w:r>
      <w:r>
        <w:t>ngens förslag att de verksamhetsutövare, som omfattas av den högre kravnivån i lagen utöver nämnda skyldigheter även skall lämna en säkerhetsrapport. I likhet med regeringen anser utskottet att vid nyanläggning och förändring av verksamhet som omfattas av den högre kravnivån skall säkerhetsrapporten lämnas till miljöprövnings</w:t>
      </w:r>
      <w:r>
        <w:softHyphen/>
        <w:t>myndig</w:t>
      </w:r>
      <w:r>
        <w:softHyphen/>
        <w:t>heten för en fördjupad säkerhetsprövning. I övriga fall skall säkerhetsra</w:t>
      </w:r>
      <w:r>
        <w:t>p</w:t>
      </w:r>
      <w:r>
        <w:t>porten lämnas till tillsynsmyndi</w:t>
      </w:r>
      <w:r>
        <w:t>g</w:t>
      </w:r>
      <w:r>
        <w:t>heten.</w:t>
      </w:r>
    </w:p>
    <w:p w:rsidR="00662EA8" w:rsidRDefault="00662EA8">
      <w:pPr>
        <w:pStyle w:val="Rubrik3"/>
      </w:pPr>
      <w:bookmarkStart w:id="38" w:name="_Toc450629700"/>
      <w:r>
        <w:t>Planering för räddningsinsatser</w:t>
      </w:r>
      <w:bookmarkEnd w:id="38"/>
    </w:p>
    <w:p w:rsidR="00662EA8" w:rsidRDefault="00662EA8">
      <w:pPr>
        <w:pStyle w:val="R4"/>
        <w:spacing w:before="123"/>
      </w:pPr>
      <w:r>
        <w:t>Regeringen</w:t>
      </w:r>
    </w:p>
    <w:p w:rsidR="00662EA8" w:rsidRDefault="00662EA8">
      <w:r>
        <w:t xml:space="preserve">Regeringen </w:t>
      </w:r>
      <w:r>
        <w:rPr>
          <w:i/>
        </w:rPr>
        <w:t>föreslår</w:t>
      </w:r>
      <w:r>
        <w:t xml:space="preserve"> att interna planer för räddningsinsatser skall ingå i s</w:t>
      </w:r>
      <w:r>
        <w:t>ä</w:t>
      </w:r>
      <w:r>
        <w:t>kerhetsrapporten. Den interna planen för räddningsinsatser utarbetas av verksamhetsutövaren i samråd med kommunen och de anställda. Den fortl</w:t>
      </w:r>
      <w:r>
        <w:t>ö</w:t>
      </w:r>
      <w:r>
        <w:t>pande kontrollen av de interna planerna för räddningsinsatser skall ligga på tillsynsmyndigheten.</w:t>
      </w:r>
    </w:p>
    <w:p w:rsidR="00662EA8" w:rsidRDefault="00662EA8">
      <w:r>
        <w:t xml:space="preserve">Som </w:t>
      </w:r>
      <w:r>
        <w:rPr>
          <w:i/>
        </w:rPr>
        <w:t xml:space="preserve">skäl för regeringens förslag </w:t>
      </w:r>
      <w:r>
        <w:t>anförs bl.a. att kravet i Seveso II-direktivet riktar sig både till verksamhetsutövarna, som skall upprätta interna planer för räddningsinsatsen, och till den behöriga myndighet som skall upprätta exte</w:t>
      </w:r>
      <w:r>
        <w:t>r</w:t>
      </w:r>
      <w:r>
        <w:t>na planer för räddningsinsatser. Utarbetande av den interna planen för räd</w:t>
      </w:r>
      <w:r>
        <w:t>d</w:t>
      </w:r>
      <w:r>
        <w:t xml:space="preserve">ningsinsatser skall ske i samråd med de anställda, och vid utarbetande av den externa planen för räddningsinsatser skall allmänheten ges tillfälle att lämna synpunkter. </w:t>
      </w:r>
    </w:p>
    <w:p w:rsidR="00662EA8" w:rsidRDefault="00662EA8">
      <w:pPr>
        <w:pStyle w:val="Normaltindrag"/>
      </w:pPr>
      <w:r>
        <w:t>Beredskapen för räddningsinsatser in</w:t>
      </w:r>
      <w:r>
        <w:t>om en verksamhet är underordnad kommunens räddningstjänst och är vid en insats i ledningshänseende unde</w:t>
      </w:r>
      <w:r>
        <w:t>r</w:t>
      </w:r>
      <w:r>
        <w:t>ställd räddningsledaren inom den kommunala räddningstjänsten, vilket följer av räddningstjänstlagen (1986:1102). I lagen bör framgå att den interna planen skall utarbetas i samråd med kommunen och de anställda. Den fortl</w:t>
      </w:r>
      <w:r>
        <w:t>ö</w:t>
      </w:r>
      <w:r>
        <w:t>pande kontrollen av de interna planerna bör, i enlighet med direktivet, hant</w:t>
      </w:r>
      <w:r>
        <w:t>e</w:t>
      </w:r>
      <w:r>
        <w:t xml:space="preserve">ras som en tillsynsfråga. </w:t>
      </w:r>
    </w:p>
    <w:p w:rsidR="00662EA8" w:rsidRDefault="00662EA8">
      <w:pPr>
        <w:pStyle w:val="Normaltindrag"/>
      </w:pPr>
      <w:r>
        <w:t>De externa planerna för räddningsinsatser skall enligt direktivet upprättas av behö</w:t>
      </w:r>
      <w:r>
        <w:t>rig myndighet, dvs. för svenska förhållanden, den kommunala räd</w:t>
      </w:r>
      <w:r>
        <w:t>d</w:t>
      </w:r>
      <w:r>
        <w:t xml:space="preserve">ningstjänsten, på grundval av vad som redovisats i säkerhetsrapporten. </w:t>
      </w:r>
    </w:p>
    <w:p w:rsidR="00662EA8" w:rsidRDefault="00662EA8">
      <w:pPr>
        <w:pStyle w:val="Normaltindrag"/>
      </w:pPr>
      <w:r>
        <w:t>Såvitt avser frågan om underlaget för de externa planerna skall bedömas vid den fördjupade säkerhetsprövningen i samband med tillståndsprövningen enligt miljöbalken anser regeringen att det finns fördelar med ett sådant förfarande. Därmed kan behovet av kommunala räddningsinsatser vägas mot verksamhetsutövarens andra åtgärder för att förebygga olyckor och effekter av olycko</w:t>
      </w:r>
      <w:r>
        <w:t>r samt krav på interna planer för räddningsinsatser. Regeringen anser att underlaget för de externa planerna för räddningsinsatser skall ingå som en del av den fördjupade säkerhetsprövningen i samband med til</w:t>
      </w:r>
      <w:r>
        <w:t>l</w:t>
      </w:r>
      <w:r>
        <w:t xml:space="preserve">ståndsprövningen enligt miljöbalken. </w:t>
      </w:r>
    </w:p>
    <w:p w:rsidR="00662EA8" w:rsidRDefault="00662EA8">
      <w:pPr>
        <w:pStyle w:val="Normaltindrag"/>
      </w:pPr>
      <w:r>
        <w:t>Planerna för räddningsinsatser rör i huvudsak räddningstjänstfrågor. Detta gäller särskilt de externa planerna för räddningsinsatser som inte direkt b</w:t>
      </w:r>
      <w:r>
        <w:t>e</w:t>
      </w:r>
      <w:r>
        <w:t>rörs av prövningen av säkerhetsarrangemangen. De övergripande bestä</w:t>
      </w:r>
      <w:r>
        <w:t>m</w:t>
      </w:r>
      <w:r>
        <w:t>melserna om externa planer för räddningsinsatser bör därför ingå bland de bestämmelser som reglerar räddningstjänsten. Regeringen har för avsikt att vidta erforderliga förordningsändringar med stöd av 61 § räddningstjänstl</w:t>
      </w:r>
      <w:r>
        <w:t>a</w:t>
      </w:r>
      <w:r>
        <w:t>gen.</w:t>
      </w:r>
    </w:p>
    <w:p w:rsidR="00662EA8" w:rsidRDefault="00662EA8">
      <w:pPr>
        <w:pStyle w:val="R4"/>
      </w:pPr>
      <w:r>
        <w:t>Motionen</w:t>
      </w:r>
    </w:p>
    <w:p w:rsidR="00662EA8" w:rsidRDefault="00662EA8">
      <w:r>
        <w:t xml:space="preserve">I </w:t>
      </w:r>
      <w:r>
        <w:rPr>
          <w:i/>
        </w:rPr>
        <w:t>kommittémotion Fö3 (kd)</w:t>
      </w:r>
      <w:r>
        <w:t xml:space="preserve"> av Åke Carnerö m.fl. framhålls bl.a. att det i dag inte finns någon ändamålsenlig organisation för brandbekämpning i Öste</w:t>
      </w:r>
      <w:r>
        <w:t>r</w:t>
      </w:r>
      <w:r>
        <w:t>sjön. Vid en jämförelse ter sig beredskapen i Nordsjön betydligt bättre, där bl.a. Storbritannien har en stor bogserbåt i ständig beredskap. Motionärerna framhåller också att Kustbevakningen har ansvaret för åtgärder vid olje- och kemikalieolyckor till sjöss. Dess miljöskyddsfartyg är också utrustade för brandbekämpningsinsatser. Det är därför rimligt att Kustbeva</w:t>
      </w:r>
      <w:r>
        <w:t>kningen också tilldelas ansvaret för att bygga upp den organisation som krävs för att för</w:t>
      </w:r>
      <w:r>
        <w:t>e</w:t>
      </w:r>
      <w:r>
        <w:t xml:space="preserve">bygga och bistå vid brandolyckor till sjöss </w:t>
      </w:r>
      <w:r>
        <w:rPr>
          <w:i/>
        </w:rPr>
        <w:t>(yrkande 1).</w:t>
      </w:r>
      <w:r>
        <w:t xml:space="preserve"> </w:t>
      </w:r>
    </w:p>
    <w:p w:rsidR="00662EA8" w:rsidRDefault="00662EA8">
      <w:pPr>
        <w:pStyle w:val="R4"/>
      </w:pPr>
      <w:r>
        <w:t>Utskottet</w:t>
      </w:r>
    </w:p>
    <w:p w:rsidR="00662EA8" w:rsidRDefault="00662EA8">
      <w:r>
        <w:t>Utskottet instämmer i regeringens förslag att interna planer för räddningsi</w:t>
      </w:r>
      <w:r>
        <w:t>n</w:t>
      </w:r>
      <w:r>
        <w:t>satser skall ingå i säkerhetsrapporten. Den interna planen för räddningsinsa</w:t>
      </w:r>
      <w:r>
        <w:t>t</w:t>
      </w:r>
      <w:r>
        <w:t>ser utarbetas av verksamhetsutövaren i samråd med kommunen och de a</w:t>
      </w:r>
      <w:r>
        <w:t>n</w:t>
      </w:r>
      <w:r>
        <w:t>ställda. Den fortlöpande kontrollen av de interna planerna för räddningsinsa</w:t>
      </w:r>
      <w:r>
        <w:t>t</w:t>
      </w:r>
      <w:r>
        <w:t>ser skall ligga på tillsynsmyndigheten.</w:t>
      </w:r>
    </w:p>
    <w:p w:rsidR="00662EA8" w:rsidRDefault="00662EA8">
      <w:pPr>
        <w:pStyle w:val="Normaltindrag"/>
      </w:pPr>
      <w:r>
        <w:t>Med anledning av yrkande 1 i motion Fö3 (kd) vill utskottet anföra följa</w:t>
      </w:r>
      <w:r>
        <w:t>n</w:t>
      </w:r>
      <w:r>
        <w:t>de.</w:t>
      </w:r>
    </w:p>
    <w:p w:rsidR="00662EA8" w:rsidRDefault="00662EA8">
      <w:pPr>
        <w:pStyle w:val="Normaltindrag"/>
      </w:pPr>
      <w:r>
        <w:t>Enligt uppgift har Statens räddningverk i rapporten Det svenska marina oljeskadeskyddet inför 2000-talet tagit upp frågan om brandbekämpning till sjöss. I rapporten sägs bl.a. att beredskap för att bistå fartygsledningen vid brand ombord samt beredskap för att snabbt kunna påbörja nödbogsering behöver förbättras. En utökad statlig beredskap bör därför övervägas enligt rapporten. Utskottet har erfarit att Kustbevakningen instämmer i denna b</w:t>
      </w:r>
      <w:r>
        <w:t>e</w:t>
      </w:r>
      <w:r>
        <w:t>dömning och att Kustbevakningen – inom ramen för tillgängliga resurser –bl.a. förstärkt insatsmöjligheterna till brandbekämpning till sjöss. Brandb</w:t>
      </w:r>
      <w:r>
        <w:t>e</w:t>
      </w:r>
      <w:r>
        <w:t>kämpningskapaciteten har också förstärkts vid om- och nybyggnad av my</w:t>
      </w:r>
      <w:r>
        <w:t>n</w:t>
      </w:r>
      <w:r>
        <w:t>digh</w:t>
      </w:r>
      <w:r>
        <w:t>e</w:t>
      </w:r>
      <w:r>
        <w:t xml:space="preserve">tens större fartyg. </w:t>
      </w:r>
    </w:p>
    <w:p w:rsidR="00662EA8" w:rsidRDefault="00662EA8">
      <w:pPr>
        <w:pStyle w:val="Normaltindrag"/>
        <w:tabs>
          <w:tab w:val="left" w:pos="3969"/>
        </w:tabs>
      </w:pPr>
      <w:r>
        <w:t>Utskottet kan konstatera att frågan om brandbekämpning till sjöss har uppmärksammats av berörda myndigheter. De åtgärder som vidtagits av Kustbevakningen för att förbättra kapaciteten för brandbekämpning till sjöss bedömer utskottet som mycket värdefulla. Utskottet f</w:t>
      </w:r>
      <w:r>
        <w:t xml:space="preserve">örutsätter att regeringen bevakar frågan om brandbekämpning till sjöss och tar erforderliga initiativ om allvarliga brister i beredskapen uppdagas. Något särskilt uttalande från riksdagens sida – utöver vad utskottet nu framhållit – bedömer utskottet för närvarande inte föreligga. </w:t>
      </w:r>
      <w:r>
        <w:rPr>
          <w:i/>
        </w:rPr>
        <w:t>Motion Fö3 (kd) yrkande 1</w:t>
      </w:r>
      <w:r>
        <w:t xml:space="preserve"> bör därför inte bifallas av riksd</w:t>
      </w:r>
      <w:r>
        <w:t>a</w:t>
      </w:r>
      <w:r>
        <w:t xml:space="preserve">gen.   </w:t>
      </w:r>
    </w:p>
    <w:p w:rsidR="00662EA8" w:rsidRDefault="00662EA8">
      <w:pPr>
        <w:pStyle w:val="Rubrik3"/>
      </w:pPr>
      <w:bookmarkStart w:id="39" w:name="_Toc450629701"/>
      <w:r>
        <w:t>Den fysiska planeringen</w:t>
      </w:r>
      <w:bookmarkEnd w:id="39"/>
    </w:p>
    <w:p w:rsidR="00662EA8" w:rsidRDefault="00662EA8">
      <w:pPr>
        <w:pStyle w:val="R4"/>
        <w:spacing w:before="123"/>
      </w:pPr>
      <w:r>
        <w:t>Regeringen</w:t>
      </w:r>
    </w:p>
    <w:p w:rsidR="00662EA8" w:rsidRDefault="00662EA8">
      <w:r>
        <w:t xml:space="preserve">Regeringen </w:t>
      </w:r>
      <w:r>
        <w:rPr>
          <w:i/>
        </w:rPr>
        <w:t>bedömer</w:t>
      </w:r>
      <w:r>
        <w:t xml:space="preserve"> att nuvarande lagstiftning är tillräcklig för att uppfylla både Seveso II-direktivets och Industr</w:t>
      </w:r>
      <w:r>
        <w:t>i</w:t>
      </w:r>
      <w:r>
        <w:t>olyckskonventionens krav.</w:t>
      </w:r>
    </w:p>
    <w:p w:rsidR="00662EA8" w:rsidRDefault="00662EA8">
      <w:r>
        <w:t xml:space="preserve">Som </w:t>
      </w:r>
      <w:r>
        <w:rPr>
          <w:i/>
        </w:rPr>
        <w:t>skäl för regeringens bedömning</w:t>
      </w:r>
      <w:r>
        <w:t xml:space="preserve"> anförs bl.a. att frågor om lokalisering och markanvändning är en nyhet i Seveso II-direktivet. Medlemsstaterna skall enligt artikel 12 i direktivet se till att målen när det gäller att förebygga allvarliga olyckshändelser och begränsningar av följderna av sådana olyckor beaktas vid regleringen av markanvändningen och annan relevant reglering.  Målen uppnås, enligt artikeln, genom kontroll av dels lokaliseringen av nya verksamheter, dels förändringar av befintliga verksamheter </w:t>
      </w:r>
      <w:r>
        <w:t>och dels nya anordningar kring befintliga verksamheter som t.ex. transportleder, platser som besöks av allmänheten och bostadsområden, när denna lokalisering eller dessa anordningar kan befaras öka risken för allvarliga olyckshändelser eller förvärra följderna av dem. Vid reglering av markanvändningen skall me</w:t>
      </w:r>
      <w:r>
        <w:t>d</w:t>
      </w:r>
      <w:r>
        <w:t>lemsstaterna se till att nödvändigheten av att på lång sikt upprätthålla lämpl</w:t>
      </w:r>
      <w:r>
        <w:t>i</w:t>
      </w:r>
      <w:r>
        <w:t xml:space="preserve">ga skyddsavstånd beaktas. Vidare skall lämpliga samrådsförfaranden finnas.  </w:t>
      </w:r>
    </w:p>
    <w:p w:rsidR="00662EA8" w:rsidRDefault="00662EA8">
      <w:pPr>
        <w:pStyle w:val="Normaltindrag"/>
      </w:pPr>
      <w:r>
        <w:t>Regeringen anför också att det i svensk rätt</w:t>
      </w:r>
      <w:r>
        <w:t xml:space="preserve"> finns en omfattande reglering av frågor som rör fysisk planering och markanvändning. Plan- och bygglagen (1987:10) innehåller bestämmelser om planläggning av mark och vatten samt om byggande. </w:t>
      </w:r>
    </w:p>
    <w:p w:rsidR="00662EA8" w:rsidRDefault="00662EA8">
      <w:pPr>
        <w:pStyle w:val="Normaltindrag"/>
      </w:pPr>
      <w:r>
        <w:t>I plan- och bygglagen (PBL) finns bestämmelser om allmänna intressen som skall beaktas vid planläggning och vid lokalisering av bebyggelse. E</w:t>
      </w:r>
      <w:r>
        <w:t>n</w:t>
      </w:r>
      <w:r>
        <w:t>ligt 2 kap. 1 § PBL skall mark och vattenområden användas för det eller de ändamål för vilka områdena är mest lämpade med hänsyn till beskaffenhet och läge samt föreliggande behov. Bebyggelse skall enligt 2 kap. 3 § PBL lokaliseras till mark som är lämpad för ändamålet med hänsyn till bl.a. de boendes och övrigas hälsa. Inom områden med sammanhängande bebyggelse skall bebyggelsemiljön utformas med hänsyn till behovet av skydd mot up</w:t>
      </w:r>
      <w:r>
        <w:t>p</w:t>
      </w:r>
      <w:r>
        <w:t>komst och spridning av brand samt trafikolyckor och andra olyckshändelser.</w:t>
      </w:r>
    </w:p>
    <w:p w:rsidR="00662EA8" w:rsidRDefault="00662EA8">
      <w:pPr>
        <w:pStyle w:val="Normaltindrag"/>
      </w:pPr>
      <w:r>
        <w:t>I miljöbalken finns bestämmelser för hushållning med mark, vattenomr</w:t>
      </w:r>
      <w:r>
        <w:t>å</w:t>
      </w:r>
      <w:r>
        <w:t>den, miljöfarlig verksamhet och hälsoskydd. De grundläggande hushål</w:t>
      </w:r>
      <w:r>
        <w:t>l</w:t>
      </w:r>
      <w:r>
        <w:t xml:space="preserve">ningsbestämmelserna i 3 kap. miljöbalken skall främja väl genomtänkta avvägningar mellan olika önskemål om att utnyttja marken, vattnet och den fysiska miljön i övrigt. Syftet med bestämmelserna är att redovisa vilka intressen som har särskild betydelse för samhällsutvecklingen och som därför skall ges ett försteg framför andra intressen när markanvändningsfrågor skall avgöras. </w:t>
      </w:r>
    </w:p>
    <w:p w:rsidR="00662EA8" w:rsidRDefault="00662EA8">
      <w:pPr>
        <w:pStyle w:val="Normaltindrag"/>
      </w:pPr>
      <w:r>
        <w:t>Plan- och bygglagen och miljöbalken gör det således möjligt f</w:t>
      </w:r>
      <w:r>
        <w:t>ör myndi</w:t>
      </w:r>
      <w:r>
        <w:t>g</w:t>
      </w:r>
      <w:r>
        <w:t>heterna att ställa långtgående krav på lokalisering och markanvändning. Kommunerna har genom sitt planmonopol stora möjligheter att styra ma</w:t>
      </w:r>
      <w:r>
        <w:t>r</w:t>
      </w:r>
      <w:r>
        <w:t>k-användningen och därmed också ett stort ansvar för samhällsplaneringen. För att bereda allmänheten möjlighet till insyn i planförfarandet finns särskilda regler om samråd innan översiktsplan, detaljplan eller områdesbestämmelser antas.</w:t>
      </w:r>
    </w:p>
    <w:p w:rsidR="00662EA8" w:rsidRDefault="00662EA8">
      <w:pPr>
        <w:pStyle w:val="Normaltindrag"/>
      </w:pPr>
      <w:r>
        <w:t>Genom framför allt plan- och bygglagen och miljöbalken har svenska myndigheter långtgående möjligheter att påverka frågor om</w:t>
      </w:r>
      <w:r>
        <w:t xml:space="preserve"> fysisk planering.  Även allmänhetens möjlighet till insyn och deltagande är väl tillgodosedd.  Några särskilda lagstiftningsåtgärder såvitt avser den fysiska planeringen behövs därför inte.</w:t>
      </w:r>
    </w:p>
    <w:p w:rsidR="00662EA8" w:rsidRDefault="00662EA8">
      <w:pPr>
        <w:pStyle w:val="R4"/>
      </w:pPr>
      <w:r>
        <w:t>Motionen</w:t>
      </w:r>
    </w:p>
    <w:p w:rsidR="00662EA8" w:rsidRDefault="00662EA8">
      <w:r>
        <w:t xml:space="preserve">I </w:t>
      </w:r>
      <w:r>
        <w:rPr>
          <w:i/>
        </w:rPr>
        <w:t xml:space="preserve">kommittémotion Fö3 (kd) </w:t>
      </w:r>
      <w:r>
        <w:t>av Åke Carnerö m.fl. anförs bl.a. att regeringen bedömer att befintlig lagstiftning är tillräcklig för att uppfylla både Seveso II-direktivets och Industriolyckskonventionens krav när det gäller den fysi</w:t>
      </w:r>
      <w:r>
        <w:t>s</w:t>
      </w:r>
      <w:r>
        <w:t>ka planeringen av verksamhet som involverar kemikaliehantering. Kristd</w:t>
      </w:r>
      <w:r>
        <w:t>e</w:t>
      </w:r>
      <w:r>
        <w:t>mokraterna, som tidigare pekat på brister i säkerheten på grund av att skyddsavstånden kan variera från län till län och från kommun till kommun, delar därför inte regeringens uppfattning att nuvarande lagstiftnin</w:t>
      </w:r>
      <w:r>
        <w:t>g är til</w:t>
      </w:r>
      <w:r>
        <w:t>l</w:t>
      </w:r>
      <w:r>
        <w:t xml:space="preserve">räcklig. Motionärerna kräver att regeringen återkommer till riksdagen med underlag för bedömning av skyddsavstånd i den fysiska samhällsplaneringen </w:t>
      </w:r>
      <w:r>
        <w:rPr>
          <w:i/>
        </w:rPr>
        <w:t>(yrkande 2)</w:t>
      </w:r>
      <w:r>
        <w:t xml:space="preserve">. </w:t>
      </w:r>
    </w:p>
    <w:p w:rsidR="00662EA8" w:rsidRDefault="00662EA8">
      <w:pPr>
        <w:pStyle w:val="R4"/>
      </w:pPr>
      <w:r>
        <w:t>Utskottet</w:t>
      </w:r>
    </w:p>
    <w:p w:rsidR="00662EA8" w:rsidRDefault="00662EA8">
      <w:r>
        <w:t>Utskottet delar regeringens bedömning att nuvarande lagstiftning är tillräc</w:t>
      </w:r>
      <w:r>
        <w:t>k</w:t>
      </w:r>
      <w:r>
        <w:t>lig för att uppfylla både Seveso II-direktivets och Industriolyckskonventi</w:t>
      </w:r>
      <w:r>
        <w:t>o</w:t>
      </w:r>
      <w:r>
        <w:t>nens krav.</w:t>
      </w:r>
    </w:p>
    <w:p w:rsidR="00662EA8" w:rsidRDefault="00662EA8">
      <w:pPr>
        <w:pStyle w:val="Normaltindrag"/>
      </w:pPr>
      <w:r>
        <w:t>Med anledning av yrkande 2 i motion Fö3 (kd) vill utskottet anföra följa</w:t>
      </w:r>
      <w:r>
        <w:t>n</w:t>
      </w:r>
      <w:r>
        <w:t xml:space="preserve">de. </w:t>
      </w:r>
    </w:p>
    <w:p w:rsidR="00662EA8" w:rsidRDefault="00662EA8">
      <w:pPr>
        <w:pStyle w:val="Normaltindrag"/>
      </w:pPr>
      <w:r>
        <w:t>Utskottet har erfarit att Boverket i samråd med Statens räddningsverk och övriga berörda myndigheter genomfört ett regeringsuppdrag rörande skydd</w:t>
      </w:r>
      <w:r>
        <w:t>s</w:t>
      </w:r>
      <w:r>
        <w:t>avstånd i den fysiska planeringen. Uppdraget har redovisats i rapporten Bät</w:t>
      </w:r>
      <w:r>
        <w:t>t</w:t>
      </w:r>
      <w:r>
        <w:t>re plats för arbete – planering med hänsyn till miljö, hälsa och säkerhet. Resultatet av detta arbete är att det nu finns rekommenderade riktvärden i landet för skyddsavstånd i den fysiska planeringen – Boverkets allmänna råd om skyddsavstånd. En utvärdering av erfarenheterna av de allmänna råden om skyddsavstånd genomfördes år 1998 av Boverket i samråd med Statens räddningsverk och övriga berörda myndigheter. Utvärderingen visar b</w:t>
      </w:r>
      <w:r>
        <w:t>l.a. att kommunerna i sitt planarbete använder sig av skyddsavstånd i den fysiska planeringen och att kommunerna normalt utgår från de riktvärden för skyddsavstånd som anges i rapporten Bättre plats för arbete. Utskottet vill framhålla betydelsen av en enhetlighet i kommunernas fysiska planering när det gäller skyddsavstånd och ser positivt på att kommunerna normalt anvä</w:t>
      </w:r>
      <w:r>
        <w:t>n</w:t>
      </w:r>
      <w:r>
        <w:t>der sig av de riktvärden som utarbetats. Enligt utskottets bedömning går tillämpningen av dessa riktvärden i riktning mot vad som motionär</w:t>
      </w:r>
      <w:r>
        <w:t xml:space="preserve">erna i motion Fö3 (kd) efterlyser. Utskottet anser därför att </w:t>
      </w:r>
      <w:r>
        <w:rPr>
          <w:i/>
        </w:rPr>
        <w:t>motion Fö3 (kd) yrka</w:t>
      </w:r>
      <w:r>
        <w:rPr>
          <w:i/>
        </w:rPr>
        <w:t>n</w:t>
      </w:r>
      <w:r>
        <w:rPr>
          <w:i/>
        </w:rPr>
        <w:t>de 2</w:t>
      </w:r>
      <w:r>
        <w:t xml:space="preserve"> inte bör bifallas av rik</w:t>
      </w:r>
      <w:r>
        <w:t>s</w:t>
      </w:r>
      <w:r>
        <w:t>dagen.</w:t>
      </w:r>
    </w:p>
    <w:p w:rsidR="00662EA8" w:rsidRDefault="00662EA8">
      <w:pPr>
        <w:pStyle w:val="Rubrik3"/>
      </w:pPr>
      <w:bookmarkStart w:id="40" w:name="_Toc450629702"/>
      <w:r>
        <w:t>Påverkan på omgivningen</w:t>
      </w:r>
      <w:bookmarkEnd w:id="40"/>
    </w:p>
    <w:p w:rsidR="00662EA8" w:rsidRDefault="00662EA8">
      <w:pPr>
        <w:pStyle w:val="R4"/>
        <w:spacing w:before="123"/>
      </w:pPr>
      <w:r>
        <w:t xml:space="preserve">Regeringen </w:t>
      </w:r>
    </w:p>
    <w:p w:rsidR="00662EA8" w:rsidRDefault="00662EA8">
      <w:r>
        <w:t xml:space="preserve">Regeringen </w:t>
      </w:r>
      <w:r>
        <w:rPr>
          <w:i/>
        </w:rPr>
        <w:t>föreslår</w:t>
      </w:r>
      <w:r>
        <w:t xml:space="preserve"> att särskilda bestämmelser om det ömsesidiga för</w:t>
      </w:r>
      <w:r>
        <w:softHyphen/>
        <w:t>hål</w:t>
      </w:r>
      <w:r>
        <w:softHyphen/>
        <w:t>landet mellan en verksamhet och omgivningen skall införas i lagen. Ett syfte med miljökonsekvensbeskrivningar skall vara att identifiera verk</w:t>
      </w:r>
      <w:r>
        <w:softHyphen/>
        <w:t>sam</w:t>
      </w:r>
      <w:r>
        <w:softHyphen/>
        <w:t>het vars säkerhet kan påverkas av faktorer i omgivningen.</w:t>
      </w:r>
    </w:p>
    <w:p w:rsidR="00662EA8" w:rsidRDefault="00662EA8">
      <w:pPr>
        <w:pStyle w:val="R4"/>
      </w:pPr>
      <w:r>
        <w:t>Utskottet</w:t>
      </w:r>
    </w:p>
    <w:p w:rsidR="00662EA8" w:rsidRDefault="00662EA8">
      <w:r>
        <w:t>Utskottet instämmer i regeringens förslag att särskilda bestämmelser om det ömsesidiga för</w:t>
      </w:r>
      <w:r>
        <w:softHyphen/>
        <w:t>hål</w:t>
      </w:r>
      <w:r>
        <w:softHyphen/>
        <w:t>landet mellan en verksamhet och omgivningen skall införas i lagen. Utskottet instämmer också i att ett syfte med miljökonsekvensb</w:t>
      </w:r>
      <w:r>
        <w:t>e</w:t>
      </w:r>
      <w:r>
        <w:t>skrivningar skall vara att identifiera verk</w:t>
      </w:r>
      <w:r>
        <w:softHyphen/>
        <w:t>sam</w:t>
      </w:r>
      <w:r>
        <w:softHyphen/>
        <w:t>het vars säkerhet kan påverkas av faktorer i omgivningen.</w:t>
      </w:r>
    </w:p>
    <w:p w:rsidR="00662EA8" w:rsidRDefault="00662EA8">
      <w:pPr>
        <w:pStyle w:val="Rubrik3"/>
      </w:pPr>
      <w:bookmarkStart w:id="41" w:name="_Toc450629703"/>
      <w:r>
        <w:t>Informationsskyldighet</w:t>
      </w:r>
      <w:bookmarkEnd w:id="41"/>
    </w:p>
    <w:p w:rsidR="00662EA8" w:rsidRDefault="00662EA8">
      <w:pPr>
        <w:pStyle w:val="R4"/>
        <w:spacing w:before="123"/>
      </w:pPr>
      <w:r>
        <w:t>Regeringen</w:t>
      </w:r>
    </w:p>
    <w:p w:rsidR="00662EA8" w:rsidRDefault="00662EA8">
      <w:r>
        <w:t xml:space="preserve">Regeringen </w:t>
      </w:r>
      <w:r>
        <w:rPr>
          <w:i/>
        </w:rPr>
        <w:t xml:space="preserve">föreslår </w:t>
      </w:r>
      <w:r>
        <w:t>att information om säkerhetsåtgärder och lämpligt up</w:t>
      </w:r>
      <w:r>
        <w:t>p</w:t>
      </w:r>
      <w:r>
        <w:t>trädande vid en olycka skall spridas till berörd allmänhet. Kommunen skall ha ansvaret för att detta sker. Informationen skall dock bekostas av verksa</w:t>
      </w:r>
      <w:r>
        <w:t>m</w:t>
      </w:r>
      <w:r>
        <w:t>hetsutövaren. En bestämmelse om detta skall införas i lagen.</w:t>
      </w:r>
    </w:p>
    <w:p w:rsidR="00662EA8" w:rsidRDefault="00662EA8">
      <w:pPr>
        <w:pStyle w:val="R4"/>
      </w:pPr>
      <w:r>
        <w:t>Utskottet</w:t>
      </w:r>
    </w:p>
    <w:p w:rsidR="00662EA8" w:rsidRDefault="00662EA8">
      <w:r>
        <w:t>Utskottet instämmer i regeringens förslag att information om säkerhetsåtgä</w:t>
      </w:r>
      <w:r>
        <w:t>r</w:t>
      </w:r>
      <w:r>
        <w:t>der och lämpligt uppträdande vid en olycka skall spridas till berörd allmänhet och att kommunen skall ha ansvaret för att detta sker. Informationen skall dock bekostas av verksamhetsutövaren. Utskottet anser – i likhet med reg</w:t>
      </w:r>
      <w:r>
        <w:t>e</w:t>
      </w:r>
      <w:r>
        <w:t>ringen – att en bestämmelse om detta införs i lagen.</w:t>
      </w:r>
    </w:p>
    <w:p w:rsidR="00662EA8" w:rsidRDefault="00662EA8"/>
    <w:p w:rsidR="00662EA8" w:rsidRDefault="00662EA8">
      <w:pPr>
        <w:pStyle w:val="Rubrik3"/>
      </w:pPr>
      <w:bookmarkStart w:id="42" w:name="_Toc450629704"/>
      <w:r>
        <w:t>Tillsyn</w:t>
      </w:r>
      <w:bookmarkEnd w:id="42"/>
    </w:p>
    <w:p w:rsidR="00662EA8" w:rsidRDefault="00662EA8">
      <w:pPr>
        <w:pStyle w:val="R4"/>
        <w:spacing w:before="123"/>
      </w:pPr>
      <w:r>
        <w:t>Regeringen</w:t>
      </w:r>
    </w:p>
    <w:p w:rsidR="00662EA8" w:rsidRDefault="00662EA8">
      <w:r>
        <w:t xml:space="preserve">Regeringen </w:t>
      </w:r>
      <w:r>
        <w:rPr>
          <w:i/>
        </w:rPr>
        <w:t>föreslår</w:t>
      </w:r>
      <w:r>
        <w:t xml:space="preserve"> att bestämmelser om tillsyn och tillsynsmyndigheternas befogenheter tas in i den nya lagen. </w:t>
      </w:r>
    </w:p>
    <w:p w:rsidR="00662EA8" w:rsidRDefault="00662EA8">
      <w:pPr>
        <w:pStyle w:val="R4"/>
      </w:pPr>
      <w:r>
        <w:t>Utskottet</w:t>
      </w:r>
    </w:p>
    <w:p w:rsidR="00662EA8" w:rsidRDefault="00662EA8">
      <w:r>
        <w:t xml:space="preserve">Utskottet instämmer i regeringens förslag att bestämmelser om tillsyn och tillsynsmyndigheternas befogenheter tas in i den nya lagen. </w:t>
      </w:r>
    </w:p>
    <w:p w:rsidR="00662EA8" w:rsidRDefault="00662EA8">
      <w:pPr>
        <w:pStyle w:val="Rubrik3"/>
      </w:pPr>
      <w:bookmarkStart w:id="43" w:name="_Toc450629705"/>
      <w:r>
        <w:t>Driftförbud m.m.</w:t>
      </w:r>
      <w:bookmarkEnd w:id="43"/>
    </w:p>
    <w:p w:rsidR="00662EA8" w:rsidRDefault="00662EA8">
      <w:pPr>
        <w:pStyle w:val="R4"/>
        <w:spacing w:before="123"/>
      </w:pPr>
      <w:r>
        <w:t>Regeringen</w:t>
      </w:r>
    </w:p>
    <w:p w:rsidR="00662EA8" w:rsidRDefault="00662EA8">
      <w:r>
        <w:t xml:space="preserve">Regeringen </w:t>
      </w:r>
      <w:r>
        <w:rPr>
          <w:i/>
        </w:rPr>
        <w:t>föreslå</w:t>
      </w:r>
      <w:r>
        <w:t>r att en bestämmelse om tillsynsmyndighetens befogenhet att meddela föreläggande och förbud bör tas in i lagen. Föreläggandet skall kunna förenas med vite.</w:t>
      </w:r>
    </w:p>
    <w:p w:rsidR="00662EA8" w:rsidRDefault="00662EA8">
      <w:pPr>
        <w:pStyle w:val="R4"/>
      </w:pPr>
      <w:r>
        <w:t>Utskottet</w:t>
      </w:r>
    </w:p>
    <w:p w:rsidR="00662EA8" w:rsidRDefault="00662EA8">
      <w:r>
        <w:t>Utskottet instämmer i regeringens förslag att en bestämmelse om til</w:t>
      </w:r>
      <w:r>
        <w:t>l</w:t>
      </w:r>
      <w:r>
        <w:t>synsmyndighetens befogenhet att meddela föreläggande och förbud bör tas in i lagen och att föreläggandet skall kunna förenas med vite.</w:t>
      </w:r>
    </w:p>
    <w:p w:rsidR="00662EA8" w:rsidRDefault="00662EA8">
      <w:pPr>
        <w:pStyle w:val="Rubrik3"/>
      </w:pPr>
      <w:bookmarkStart w:id="44" w:name="_Toc450629706"/>
      <w:r>
        <w:t>Den gemensamma miljö- och säkerhetsprövningen</w:t>
      </w:r>
      <w:bookmarkEnd w:id="44"/>
    </w:p>
    <w:p w:rsidR="00662EA8" w:rsidRDefault="00662EA8">
      <w:pPr>
        <w:pStyle w:val="R4"/>
        <w:spacing w:before="123"/>
      </w:pPr>
      <w:r>
        <w:t>Regeringen</w:t>
      </w:r>
    </w:p>
    <w:p w:rsidR="00662EA8" w:rsidRDefault="00662EA8">
      <w:r>
        <w:t xml:space="preserve">Regeringen </w:t>
      </w:r>
      <w:r>
        <w:rPr>
          <w:i/>
        </w:rPr>
        <w:t>föreslår</w:t>
      </w:r>
      <w:r>
        <w:t xml:space="preserve"> att vid den fördjupade säkerhetsprövningen som skall ske i samband med tillståndsprövningen enligt miljöbalken skall en säke</w:t>
      </w:r>
      <w:r>
        <w:t>r</w:t>
      </w:r>
      <w:r>
        <w:t xml:space="preserve">hetsrapport ingå i tillståndsansökan. </w:t>
      </w:r>
    </w:p>
    <w:p w:rsidR="00662EA8" w:rsidRDefault="00662EA8">
      <w:pPr>
        <w:pStyle w:val="Normaltindrag"/>
      </w:pPr>
      <w:r>
        <w:t>En dom i ett tillståndsmål skall innehålla de villkor som behövs för att f</w:t>
      </w:r>
      <w:r>
        <w:t>ö</w:t>
      </w:r>
      <w:r>
        <w:t>rebygga allvarliga kemikalieolyckor och begränsa följderna av dem för mä</w:t>
      </w:r>
      <w:r>
        <w:t>n</w:t>
      </w:r>
      <w:r>
        <w:t>n</w:t>
      </w:r>
      <w:r>
        <w:t>i</w:t>
      </w:r>
      <w:r>
        <w:t>skors hälsa och miljön.</w:t>
      </w:r>
    </w:p>
    <w:p w:rsidR="00662EA8" w:rsidRDefault="00662EA8">
      <w:pPr>
        <w:pStyle w:val="Normaltindrag"/>
      </w:pPr>
      <w:r>
        <w:t>Statens räddningsverk skall ges rätt att föra talan i mål för att tillvarata miljöintressen och andra allmänna intressen avseende säkerhet</w:t>
      </w:r>
      <w:r>
        <w:t>s</w:t>
      </w:r>
      <w:r>
        <w:t>frågor.</w:t>
      </w:r>
    </w:p>
    <w:p w:rsidR="00662EA8" w:rsidRDefault="00662EA8">
      <w:pPr>
        <w:pStyle w:val="R4"/>
      </w:pPr>
      <w:r>
        <w:t>Utskottet</w:t>
      </w:r>
    </w:p>
    <w:p w:rsidR="00662EA8" w:rsidRDefault="00662EA8">
      <w:r>
        <w:t>Utskottet instämmer i regeringens förslag att vid den fördjupade säke</w:t>
      </w:r>
      <w:r>
        <w:t>r</w:t>
      </w:r>
      <w:r>
        <w:t>hetsprövningen som skall ske i samband med tillståndsprövningen enligt miljöbalken skall en säkerhetsrapport ingå i tillståndsansökan. Utskottet anser – i likhet med regeringen – att en dom i ett tillståndsmål skall innehålla de villkor som behövs för att förebygga allvarliga kemikalieolyckor och begränsa följderna av dem för människors hälsa och miljön. Likaså anser utskottet att Statens räddningsverk ges rätt att föra talan i mål för att tillvarata miljöintressen och andra allmänna intressen avseende säk</w:t>
      </w:r>
      <w:r>
        <w:t>erhet</w:t>
      </w:r>
      <w:r>
        <w:t>s</w:t>
      </w:r>
      <w:r>
        <w:t>frågor.</w:t>
      </w:r>
    </w:p>
    <w:p w:rsidR="00662EA8" w:rsidRDefault="00662EA8">
      <w:pPr>
        <w:pStyle w:val="Rubrik3"/>
      </w:pPr>
      <w:bookmarkStart w:id="45" w:name="_Toc450629707"/>
      <w:r>
        <w:t>Överklagande</w:t>
      </w:r>
      <w:bookmarkEnd w:id="45"/>
    </w:p>
    <w:p w:rsidR="00662EA8" w:rsidRDefault="00662EA8">
      <w:pPr>
        <w:pStyle w:val="R4"/>
        <w:spacing w:before="123"/>
      </w:pPr>
      <w:r>
        <w:t>Regeringen</w:t>
      </w:r>
    </w:p>
    <w:p w:rsidR="00662EA8" w:rsidRDefault="00662EA8">
      <w:r>
        <w:t xml:space="preserve">Regeringen </w:t>
      </w:r>
      <w:r>
        <w:rPr>
          <w:i/>
        </w:rPr>
        <w:t>föreslår</w:t>
      </w:r>
      <w:r>
        <w:t xml:space="preserve"> att en kommuns beslut enligt lagen får överklagas hos länsstyrelsen. Länsstyrelsens och Statens räddningsverks beslut får överkl</w:t>
      </w:r>
      <w:r>
        <w:t>a</w:t>
      </w:r>
      <w:r>
        <w:t>gas hos miljödomstolen.</w:t>
      </w:r>
    </w:p>
    <w:p w:rsidR="00662EA8" w:rsidRDefault="00662EA8">
      <w:pPr>
        <w:pStyle w:val="R4"/>
      </w:pPr>
      <w:r>
        <w:t>Utskottet</w:t>
      </w:r>
    </w:p>
    <w:p w:rsidR="00662EA8" w:rsidRDefault="00662EA8">
      <w:r>
        <w:t>Utskottet instämmer i regeringens förslag att en kommuns beslut enligt lagen får överklagas hos länsstyrelsen och att länsstyrelsens och Statens räddning</w:t>
      </w:r>
      <w:r>
        <w:t>s</w:t>
      </w:r>
      <w:r>
        <w:t>verks beslut får överkl</w:t>
      </w:r>
      <w:r>
        <w:t>a</w:t>
      </w:r>
      <w:r>
        <w:t>gas hos miljödomstolen.</w:t>
      </w:r>
    </w:p>
    <w:p w:rsidR="00662EA8" w:rsidRDefault="00662EA8">
      <w:pPr>
        <w:pStyle w:val="Rubrik3"/>
      </w:pPr>
      <w:bookmarkStart w:id="46" w:name="_Toc450629708"/>
      <w:r>
        <w:t>Behov av lagstiftningsåtgärder i övrigt</w:t>
      </w:r>
      <w:bookmarkEnd w:id="46"/>
    </w:p>
    <w:p w:rsidR="00662EA8" w:rsidRDefault="00662EA8">
      <w:pPr>
        <w:pStyle w:val="R4"/>
        <w:spacing w:before="123"/>
      </w:pPr>
      <w:r>
        <w:t>Regeringen</w:t>
      </w:r>
    </w:p>
    <w:p w:rsidR="00662EA8" w:rsidRDefault="00662EA8">
      <w:r>
        <w:t xml:space="preserve">Regeringen </w:t>
      </w:r>
      <w:r>
        <w:rPr>
          <w:i/>
        </w:rPr>
        <w:t>föreslår</w:t>
      </w:r>
      <w:r>
        <w:t xml:space="preserve"> att i 30 § räddningstjänstlagen (1986:1102) görs ett tillägg för att klarlägga att det föreligger en skyldighet för räddningsorgan som utför en räddningsinsats att omedelbart underrätta berörd myndighet i annat land än Sverige.</w:t>
      </w:r>
    </w:p>
    <w:p w:rsidR="00662EA8" w:rsidRDefault="00662EA8">
      <w:pPr>
        <w:pStyle w:val="Normaltindrag"/>
      </w:pPr>
      <w:r>
        <w:t xml:space="preserve"> Ändringar bör även göras i lagen (1976:661) om immunitet och privilegier i vissa fall och sekretesslagen (1980:100) för att uppfylla kraven i Industri-olycksko</w:t>
      </w:r>
      <w:r>
        <w:t>n</w:t>
      </w:r>
      <w:r>
        <w:t xml:space="preserve">ventionen. </w:t>
      </w:r>
    </w:p>
    <w:p w:rsidR="00662EA8" w:rsidRDefault="00662EA8">
      <w:pPr>
        <w:pStyle w:val="R4"/>
      </w:pPr>
      <w:r>
        <w:t>Utskottet</w:t>
      </w:r>
    </w:p>
    <w:p w:rsidR="00662EA8" w:rsidRDefault="00662EA8">
      <w:r>
        <w:t>Utskottet instämmer i regeringens förslag att det i 30 § räddningstjänstlagen (1986:1102) görs ett tillägg för att klarlägga att det föreligger en skyldighet för räddningsorgan som utför en räddningsinsats att omedelbart underrätta berörd myndighet i annat land än Sverige. Utskottet anser – i likhet med regeringen – att ändringar även bör göras i lagen (1976:661) om immunitet och privilegier i vissa fall och sekretesslagen (1980:100) för att uppfylla kraven i Industriolycksko</w:t>
      </w:r>
      <w:r>
        <w:t>n</w:t>
      </w:r>
      <w:r>
        <w:t xml:space="preserve">ventionen. </w:t>
      </w:r>
    </w:p>
    <w:p w:rsidR="00662EA8" w:rsidRDefault="00662EA8">
      <w:pPr>
        <w:pStyle w:val="Rubrik2"/>
      </w:pPr>
      <w:bookmarkStart w:id="47" w:name="_Toc450629709"/>
      <w:r>
        <w:t>Ikraftträdande- och övergångsbestämmelser</w:t>
      </w:r>
      <w:bookmarkEnd w:id="47"/>
    </w:p>
    <w:p w:rsidR="00662EA8" w:rsidRDefault="00662EA8">
      <w:pPr>
        <w:pStyle w:val="R4"/>
        <w:spacing w:before="123"/>
      </w:pPr>
      <w:r>
        <w:t>Regeringen</w:t>
      </w:r>
    </w:p>
    <w:p w:rsidR="00662EA8" w:rsidRDefault="00662EA8">
      <w:r>
        <w:t xml:space="preserve">Regeringen </w:t>
      </w:r>
      <w:r>
        <w:rPr>
          <w:i/>
        </w:rPr>
        <w:t>föreslår</w:t>
      </w:r>
      <w:r>
        <w:t xml:space="preserve"> att lagen om åtgärder för att förebygga och begränsa följderna av allvarliga kemikalieolyckor träder i kraft den 1 juli 1999. För befintliga verksamheter som omfattas av lagen skall anmälan inges till til</w:t>
      </w:r>
      <w:r>
        <w:t>l</w:t>
      </w:r>
      <w:r>
        <w:t>synsmyndigheten senast den 1 januari 2000 och säker</w:t>
      </w:r>
      <w:r>
        <w:softHyphen/>
      </w:r>
      <w:r>
        <w:softHyphen/>
        <w:t>hetsrapporten respekt</w:t>
      </w:r>
      <w:r>
        <w:t>i</w:t>
      </w:r>
      <w:r>
        <w:t>ve den interna planen för räddningsinsatser senast den 1 januari 2001. För befintliga verksamheter som inte har omfattats av bestämmelserna i direktiv 82/501/EEG (Seveso I-direkti</w:t>
      </w:r>
      <w:r>
        <w:softHyphen/>
        <w:t>v</w:t>
      </w:r>
      <w:r>
        <w:softHyphen/>
        <w:t>et) skall dock säkerhetsrapporten och int</w:t>
      </w:r>
      <w:r>
        <w:t>erna planerna för räddnings</w:t>
      </w:r>
      <w:r>
        <w:softHyphen/>
        <w:t>insatser inges till tillsynsmyn</w:t>
      </w:r>
      <w:r>
        <w:softHyphen/>
        <w:t>dig</w:t>
      </w:r>
      <w:r>
        <w:softHyphen/>
        <w:t>heterna senast den 1 februari 2002.</w:t>
      </w:r>
    </w:p>
    <w:p w:rsidR="00662EA8" w:rsidRDefault="00662EA8">
      <w:pPr>
        <w:pStyle w:val="Normaltindrag"/>
      </w:pPr>
      <w:r>
        <w:t>Lagen om ändring i miljöbalken skall inte tillämpas på mål och ärenden som vid lagens ikraftträdande är under handläggning enligt miljöbalkens bestämmelser eller motsvarande äldre bestämmelser som upphävts genom miljöbalken enligt 2 § lagen (1998:811) om införa</w:t>
      </w:r>
      <w:r>
        <w:t>n</w:t>
      </w:r>
      <w:r>
        <w:t xml:space="preserve">de av miljöbalken. </w:t>
      </w:r>
    </w:p>
    <w:p w:rsidR="00662EA8" w:rsidRDefault="00662EA8">
      <w:pPr>
        <w:pStyle w:val="R4"/>
      </w:pPr>
      <w:r>
        <w:t>Utskottet</w:t>
      </w:r>
    </w:p>
    <w:p w:rsidR="00662EA8" w:rsidRDefault="00662EA8">
      <w:r>
        <w:t>Utskottet har inget att invända mot vad regeringen i propositionen föreslår om ikraftträdande- och övergångsbestämmelser.</w:t>
      </w:r>
    </w:p>
    <w:p w:rsidR="00662EA8" w:rsidRDefault="00662EA8">
      <w:pPr>
        <w:pStyle w:val="Rubrik2"/>
      </w:pPr>
      <w:bookmarkStart w:id="48" w:name="_Toc450629710"/>
      <w:r>
        <w:t>Ekonomiska konsekvenser av förslaget</w:t>
      </w:r>
      <w:bookmarkEnd w:id="48"/>
    </w:p>
    <w:p w:rsidR="00662EA8" w:rsidRDefault="00662EA8">
      <w:pPr>
        <w:pStyle w:val="R4"/>
        <w:spacing w:before="123"/>
        <w:jc w:val="both"/>
      </w:pPr>
      <w:r>
        <w:t>Regeringen</w:t>
      </w:r>
    </w:p>
    <w:p w:rsidR="00662EA8" w:rsidRDefault="00662EA8">
      <w:r>
        <w:t xml:space="preserve">Regeringen </w:t>
      </w:r>
      <w:r>
        <w:rPr>
          <w:i/>
        </w:rPr>
        <w:t xml:space="preserve">anför </w:t>
      </w:r>
      <w:r>
        <w:t xml:space="preserve"> att de nu föreslagna bestämmelserna i och för sig endast är en vidareutveckling av de regler som i dag finns införda genom Sev</w:t>
      </w:r>
      <w:r>
        <w:t>e</w:t>
      </w:r>
      <w:r>
        <w:t>so I-direktivet. Med det lagförslag med en fördjupad säkerhetsprövning som föreligger har regeringen varit angelägen om att ha så enkla och samordnade regler som möjligt, som skall underlätta för verksamhetsutövarna att tillämpa bestämmelse</w:t>
      </w:r>
      <w:r>
        <w:t>r</w:t>
      </w:r>
      <w:r>
        <w:t>na.</w:t>
      </w:r>
    </w:p>
    <w:p w:rsidR="00662EA8" w:rsidRDefault="00662EA8">
      <w:pPr>
        <w:pStyle w:val="Normaltindrag"/>
      </w:pPr>
      <w:r>
        <w:t>Länsstyrelsernas och kommunernas tillkommande kos</w:t>
      </w:r>
      <w:r>
        <w:t>t</w:t>
      </w:r>
      <w:r>
        <w:t>nader för genom</w:t>
      </w:r>
      <w:r>
        <w:softHyphen/>
        <w:t>förandet av den föreslagna lagen kommer att finansieras över utgiftsområde 6 Tota</w:t>
      </w:r>
      <w:r>
        <w:t>l</w:t>
      </w:r>
      <w:r>
        <w:t>försvar.</w:t>
      </w:r>
    </w:p>
    <w:p w:rsidR="00662EA8" w:rsidRDefault="00662EA8">
      <w:pPr>
        <w:pStyle w:val="Normaltindrag"/>
      </w:pPr>
      <w:r>
        <w:t xml:space="preserve">På sikt kan övervägas en finansiering genom avgifter. </w:t>
      </w:r>
    </w:p>
    <w:p w:rsidR="00662EA8" w:rsidRDefault="00662EA8">
      <w:pPr>
        <w:pStyle w:val="R4"/>
      </w:pPr>
      <w:r>
        <w:t>Utskottet</w:t>
      </w:r>
    </w:p>
    <w:p w:rsidR="00662EA8" w:rsidRDefault="00662EA8">
      <w:r>
        <w:t>Utskottet har inget att invända mot vad regeringen i propositionen anför om ekonomiska ko</w:t>
      </w:r>
      <w:r>
        <w:t>n</w:t>
      </w:r>
      <w:r>
        <w:t>sekvenser av förslaget.</w:t>
      </w:r>
    </w:p>
    <w:p w:rsidR="00662EA8" w:rsidRDefault="00662EA8"/>
    <w:p w:rsidR="00662EA8" w:rsidRDefault="00662EA8">
      <w:pPr>
        <w:pStyle w:val="Rubrik2"/>
      </w:pPr>
      <w:bookmarkStart w:id="49" w:name="_Toc450629711"/>
      <w:r>
        <w:t>Hemställan</w:t>
      </w:r>
      <w:bookmarkEnd w:id="49"/>
    </w:p>
    <w:p w:rsidR="00662EA8" w:rsidRDefault="00662EA8">
      <w:r>
        <w:t>Utskottet hemställer</w:t>
      </w:r>
    </w:p>
    <w:p w:rsidR="00662EA8" w:rsidRDefault="00662EA8">
      <w:pPr>
        <w:pStyle w:val="hembetr"/>
      </w:pPr>
      <w:r>
        <w:t xml:space="preserve">1. beträffande </w:t>
      </w:r>
      <w:r>
        <w:rPr>
          <w:i/>
        </w:rPr>
        <w:t>konventionen om gränsöverskridande effekter av i</w:t>
      </w:r>
      <w:r>
        <w:rPr>
          <w:i/>
        </w:rPr>
        <w:t>n</w:t>
      </w:r>
      <w:r>
        <w:rPr>
          <w:i/>
        </w:rPr>
        <w:t>dustriolyckor</w:t>
      </w:r>
    </w:p>
    <w:p w:rsidR="00662EA8" w:rsidRDefault="00662EA8">
      <w:pPr>
        <w:pStyle w:val="hemtext"/>
      </w:pPr>
      <w:r>
        <w:t>att riksdagen godkänner konventionen den 17 mars 1992 om grän</w:t>
      </w:r>
      <w:r>
        <w:t>s</w:t>
      </w:r>
      <w:r>
        <w:t>överskridande effekter av industriolyckor,</w:t>
      </w:r>
    </w:p>
    <w:p w:rsidR="00662EA8" w:rsidRDefault="00662EA8">
      <w:pPr>
        <w:pStyle w:val="hembetr"/>
      </w:pPr>
      <w:r>
        <w:t xml:space="preserve">2. beträffande </w:t>
      </w:r>
      <w:r>
        <w:rPr>
          <w:i/>
        </w:rPr>
        <w:t>ny  lag vid kemikalieolyckor</w:t>
      </w:r>
    </w:p>
    <w:p w:rsidR="00662EA8" w:rsidRDefault="00662EA8">
      <w:pPr>
        <w:pStyle w:val="hemtext"/>
      </w:pPr>
      <w:r>
        <w:t>att riksdagen med avslag på motionerna 1998/99:Fö3 yrkandena 1 och 2 samt 1998/99:Fö4 antar lag om åtgärder för att förebygga och b</w:t>
      </w:r>
      <w:r>
        <w:t>e</w:t>
      </w:r>
      <w:r>
        <w:t>gränsa följderna av al</w:t>
      </w:r>
      <w:r>
        <w:t>l</w:t>
      </w:r>
      <w:r>
        <w:t>varliga kemikalieolyckor,</w:t>
      </w:r>
    </w:p>
    <w:p w:rsidR="00662EA8" w:rsidRDefault="00662EA8">
      <w:pPr>
        <w:pStyle w:val="Reseftermom"/>
      </w:pPr>
      <w:r>
        <w:t>res. (kd, mp)</w:t>
      </w:r>
    </w:p>
    <w:p w:rsidR="00662EA8" w:rsidRDefault="00662EA8">
      <w:pPr>
        <w:pStyle w:val="hembetr"/>
      </w:pPr>
      <w:r>
        <w:t xml:space="preserve">3. beträffande </w:t>
      </w:r>
      <w:r>
        <w:rPr>
          <w:i/>
        </w:rPr>
        <w:t>miljöbalken</w:t>
      </w:r>
    </w:p>
    <w:p w:rsidR="00662EA8" w:rsidRDefault="00662EA8">
      <w:pPr>
        <w:pStyle w:val="hemtext"/>
      </w:pPr>
      <w:r>
        <w:t>att riksdagen antar lag om ändring i miljöbalken,</w:t>
      </w:r>
    </w:p>
    <w:p w:rsidR="00662EA8" w:rsidRDefault="00662EA8">
      <w:pPr>
        <w:pStyle w:val="hembetr"/>
      </w:pPr>
      <w:r>
        <w:t xml:space="preserve">4. beträffande </w:t>
      </w:r>
      <w:r>
        <w:rPr>
          <w:i/>
        </w:rPr>
        <w:t>lagen om immunitet och privilegier i vissa fall</w:t>
      </w:r>
    </w:p>
    <w:p w:rsidR="00662EA8" w:rsidRDefault="00662EA8">
      <w:pPr>
        <w:pStyle w:val="hemtext"/>
      </w:pPr>
      <w:r>
        <w:t>att riksdagen antar lag om ändring i lagen (1976:661) om immunitet och privilegier i vissa fall,</w:t>
      </w:r>
    </w:p>
    <w:p w:rsidR="00662EA8" w:rsidRDefault="00662EA8">
      <w:pPr>
        <w:pStyle w:val="hembetr"/>
      </w:pPr>
      <w:r>
        <w:t xml:space="preserve">5. beträffande </w:t>
      </w:r>
      <w:r>
        <w:rPr>
          <w:i/>
        </w:rPr>
        <w:t>sekretesslagen</w:t>
      </w:r>
    </w:p>
    <w:p w:rsidR="00662EA8" w:rsidRDefault="00662EA8">
      <w:pPr>
        <w:pStyle w:val="hemtext"/>
      </w:pPr>
      <w:r>
        <w:t xml:space="preserve">att riksdagen antar lag om ändring i sekretesslagen (1980:100), </w:t>
      </w:r>
    </w:p>
    <w:p w:rsidR="00662EA8" w:rsidRDefault="00662EA8">
      <w:pPr>
        <w:pStyle w:val="hembetr"/>
      </w:pPr>
      <w:r>
        <w:t xml:space="preserve">6. beträffande </w:t>
      </w:r>
      <w:r>
        <w:rPr>
          <w:i/>
        </w:rPr>
        <w:t>räddningstjänstlagen</w:t>
      </w:r>
    </w:p>
    <w:p w:rsidR="00662EA8" w:rsidRDefault="00662EA8">
      <w:pPr>
        <w:pStyle w:val="hemtext"/>
      </w:pPr>
      <w:r>
        <w:t>att riksdagen antar lag om ändring i räddningstjänstlagen (1986:1102).</w:t>
      </w:r>
    </w:p>
    <w:p w:rsidR="00662EA8" w:rsidRDefault="00662EA8">
      <w:pPr>
        <w:pStyle w:val="Normaltindrag"/>
      </w:pPr>
      <w:bookmarkStart w:id="50" w:name="Nästa_Hpunkt"/>
      <w:bookmarkEnd w:id="50"/>
    </w:p>
    <w:p w:rsidR="00662EA8" w:rsidRDefault="00662EA8">
      <w:pPr>
        <w:pStyle w:val="Normaltindrag"/>
      </w:pPr>
    </w:p>
    <w:p w:rsidR="00662EA8" w:rsidRDefault="00662EA8">
      <w:pPr>
        <w:pStyle w:val="Stockholm"/>
      </w:pPr>
      <w:r>
        <w:t>Stockholm den 4 maj 1999</w:t>
      </w:r>
    </w:p>
    <w:p w:rsidR="00662EA8" w:rsidRDefault="00662EA8">
      <w:pPr>
        <w:pStyle w:val="Vgnar"/>
      </w:pPr>
      <w:r>
        <w:t>På försvarsutskottets vägnar</w:t>
      </w:r>
    </w:p>
    <w:p w:rsidR="00662EA8" w:rsidRDefault="00662EA8">
      <w:pPr>
        <w:pStyle w:val="Ordfnamn"/>
      </w:pPr>
      <w:bookmarkStart w:id="51" w:name="Ordförande"/>
      <w:bookmarkEnd w:id="51"/>
      <w:r>
        <w:t xml:space="preserve">Henrik Landerholm </w:t>
      </w:r>
    </w:p>
    <w:p w:rsidR="00662EA8" w:rsidRDefault="00662EA8"/>
    <w:p w:rsidR="00662EA8" w:rsidRDefault="00662EA8">
      <w:pPr>
        <w:pStyle w:val="Deltagare"/>
        <w:spacing w:before="123"/>
      </w:pPr>
      <w:bookmarkStart w:id="52" w:name="Deltagare"/>
      <w:bookmarkEnd w:id="52"/>
      <w:r>
        <w:t>I beslutet har deltagit: Henrik Landerholm (m), Tone Tingstård (s), Karin Wegestål (s), Stig Sandström (v), Åke Carnerö (kd), Olle Lindström (m),  Rolf Gunnarsson (m), Håkan Juholt (s), Berit Jóhannesson (v), Margareta Viklund (kd), Anna Lilliehöök (m), Lars Ångström (mp), Erik Arthur Ege</w:t>
      </w:r>
      <w:r>
        <w:t>r</w:t>
      </w:r>
      <w:r>
        <w:t>värn (c), Runar Patriksson (fp), Laila Bäck (s) och  Berndt Sköldestig (s).</w:t>
      </w:r>
    </w:p>
    <w:p w:rsidR="00662EA8" w:rsidRDefault="00662EA8">
      <w:pPr>
        <w:pStyle w:val="Normaltindrag"/>
      </w:pPr>
    </w:p>
    <w:p w:rsidR="00662EA8" w:rsidRDefault="00662EA8">
      <w:pPr>
        <w:pStyle w:val="Rubrik1"/>
      </w:pPr>
      <w:bookmarkStart w:id="53" w:name="_Toc450629712"/>
      <w:r>
        <w:t>Reservation</w:t>
      </w:r>
      <w:bookmarkEnd w:id="53"/>
    </w:p>
    <w:p w:rsidR="00662EA8" w:rsidRDefault="00662EA8">
      <w:pPr>
        <w:pStyle w:val="Rubrik2"/>
      </w:pPr>
      <w:bookmarkStart w:id="54" w:name="_Toc450629713"/>
      <w:r>
        <w:t>Ny lag vid kemikalieolyckor (mom. 2)</w:t>
      </w:r>
      <w:bookmarkEnd w:id="54"/>
    </w:p>
    <w:p w:rsidR="00662EA8" w:rsidRDefault="00662EA8">
      <w:r>
        <w:t>Åke Carnerö, Margareta Viklund (båda kd) och Lars Ångström (mp) anser:</w:t>
      </w:r>
    </w:p>
    <w:p w:rsidR="00662EA8" w:rsidRDefault="00662EA8">
      <w:r>
        <w:rPr>
          <w:i/>
        </w:rPr>
        <w:t xml:space="preserve">dels </w:t>
      </w:r>
      <w:r>
        <w:t>att den del av utskottets anförande som på s. 12 börjar med ”Enligt uppgift” och slutar med ”av riksdagen” bort ha följande lyde</w:t>
      </w:r>
      <w:r>
        <w:t>l</w:t>
      </w:r>
      <w:r>
        <w:t>se:</w:t>
      </w:r>
    </w:p>
    <w:p w:rsidR="00662EA8" w:rsidRDefault="00662EA8">
      <w:r>
        <w:t>Kemikalier transporteras i stora mängder varje år i fartygstrafiken på Öste</w:t>
      </w:r>
      <w:r>
        <w:t>r</w:t>
      </w:r>
      <w:r>
        <w:t>sjön. Det innebär att det finns en permanent och långt ifrån obefintlig risk för bränder och andra kemikalieolyckor. Det är därför angeläget att kunna för</w:t>
      </w:r>
      <w:r>
        <w:t>e</w:t>
      </w:r>
      <w:r>
        <w:t>bygga olyckor och ha en beredskap för dem så att de kan begränsas. En olycka kan i vissa fall undvikas eller minimeras genom att man flyttar olyc</w:t>
      </w:r>
      <w:r>
        <w:t>k</w:t>
      </w:r>
      <w:r>
        <w:t>an eller det fartyg/föremål som utgör olycksrisken med hjälp av bogserbåt. Flytten kan till exempel ske till en hamn där det finns större resurser eller bara till en mindre hotad eller utsatt plats.</w:t>
      </w:r>
    </w:p>
    <w:p w:rsidR="00662EA8" w:rsidRDefault="00662EA8">
      <w:pPr>
        <w:pStyle w:val="Normaltindrag"/>
      </w:pPr>
      <w:r>
        <w:t>I dag finns</w:t>
      </w:r>
      <w:r>
        <w:t xml:space="preserve"> det ingen ändamålsenlig organisation för brandbekämpning i Östersjön. När en olycka inträffar i Östersjön får man i dag räkna med att det tar flera timmar innan bogserbåtar eller fartyg med tillräcklig brandsläc</w:t>
      </w:r>
      <w:r>
        <w:t>k</w:t>
      </w:r>
      <w:r>
        <w:t>ningskapacitet når fram till olycksplatsen. Vid tidigare olyckor har det i vissa fall tagit ett helt dygn innan en bogserbåt kunnat nå fram.</w:t>
      </w:r>
    </w:p>
    <w:p w:rsidR="00662EA8" w:rsidRDefault="00662EA8">
      <w:pPr>
        <w:pStyle w:val="Normaltindrag"/>
      </w:pPr>
      <w:r>
        <w:t>Vid en jämförelse ter sig beredskapen i Nordsjön betydligt högre. Storbr</w:t>
      </w:r>
      <w:r>
        <w:t>i</w:t>
      </w:r>
      <w:r>
        <w:t>tannien har en stor bogserbåt i ständig beredskap. Holland sänder ut ett bo</w:t>
      </w:r>
      <w:r>
        <w:t>g</w:t>
      </w:r>
      <w:r>
        <w:t>serfartyg till sjöss varje gång en viss vindstyrka öve</w:t>
      </w:r>
      <w:r>
        <w:t>r</w:t>
      </w:r>
      <w:r>
        <w:t>skrids.</w:t>
      </w:r>
    </w:p>
    <w:p w:rsidR="00662EA8" w:rsidRDefault="00662EA8">
      <w:pPr>
        <w:pStyle w:val="Normaltindrag"/>
      </w:pPr>
      <w:r>
        <w:t>Kustbevakningen har till uppgift att utföra effektiv övervakning av svenskt sjöterritorium samt har det nationella ansvaret för miljöräddningstjänst till sjöss vilket  bl.a. innefattar ansvaret för åtgärder vid olje- och kemikalie</w:t>
      </w:r>
      <w:r>
        <w:t>o</w:t>
      </w:r>
      <w:r>
        <w:t>lyckor. Kustbevakningen har utbildat räddningsdykare samt utrustat sina miljöskyddsfa</w:t>
      </w:r>
      <w:r>
        <w:t>r</w:t>
      </w:r>
      <w:r>
        <w:t xml:space="preserve">tyg för brandbekämpningsinsatser. </w:t>
      </w:r>
    </w:p>
    <w:p w:rsidR="00662EA8" w:rsidRDefault="00662EA8">
      <w:pPr>
        <w:pStyle w:val="Normaltindrag"/>
      </w:pPr>
      <w:r>
        <w:t>Brandsläckning är ett sätt att förhindra miljöfarliga utsläpp. Hos Kustb</w:t>
      </w:r>
      <w:r>
        <w:t>e</w:t>
      </w:r>
      <w:r>
        <w:t>vakningen finns således en bas, så väl vad beträffar snabbhet som uthållighet, som erfordras för att bistå befälhavaren på ett brinnande fartyg och för insa</w:t>
      </w:r>
      <w:r>
        <w:t>t</w:t>
      </w:r>
      <w:r>
        <w:t xml:space="preserve">ser på ett redan övergivet fartyg. Det är därför rimligt, som yrkas i motion Fö3 (kd), att Kustbevakningen också tilldelas ansvaret för att bygga upp den organisation som krävs för att planera för insatser och bistå vid brandolyckor till sjöss. </w:t>
      </w:r>
      <w:r>
        <w:rPr>
          <w:i/>
        </w:rPr>
        <w:t xml:space="preserve">Motion Fö3 (kd) yrkande 1 </w:t>
      </w:r>
      <w:r>
        <w:t>bör därför bifallas av riksdagen.</w:t>
      </w:r>
    </w:p>
    <w:p w:rsidR="00662EA8" w:rsidRDefault="00662EA8">
      <w:r>
        <w:rPr>
          <w:i/>
        </w:rPr>
        <w:t xml:space="preserve">dels </w:t>
      </w:r>
      <w:r>
        <w:t xml:space="preserve"> att utskottets hemställan under 2 bort ha följande lydelse:</w:t>
      </w:r>
    </w:p>
    <w:p w:rsidR="00662EA8" w:rsidRDefault="00662EA8">
      <w:pPr>
        <w:pStyle w:val="hembetr"/>
        <w:rPr>
          <w:i/>
        </w:rPr>
      </w:pPr>
      <w:r>
        <w:t xml:space="preserve">2. beträffande </w:t>
      </w:r>
      <w:r>
        <w:rPr>
          <w:i/>
        </w:rPr>
        <w:t xml:space="preserve">ny lag vid kemikalieolyckor </w:t>
      </w:r>
    </w:p>
    <w:p w:rsidR="00662EA8" w:rsidRDefault="00662EA8">
      <w:pPr>
        <w:pStyle w:val="hemtext"/>
      </w:pPr>
      <w:r>
        <w:t>att riksdagen med bifall till motion 1998/99:Fö3 yrkande 1 och med avslag på motionerna 1998/99:Fö3 yrkande 2 och 1998/99:Fö4 antar lag om åtgärder för att förebygga och begränsa följderna av allvarliga kemikalieolyckor samt som sin mening ger regeringen till känna vad u</w:t>
      </w:r>
      <w:r>
        <w:t>t</w:t>
      </w:r>
      <w:r>
        <w:t xml:space="preserve">skottet anfört. </w:t>
      </w:r>
    </w:p>
    <w:p w:rsidR="00662EA8" w:rsidRDefault="00662EA8">
      <w:pPr>
        <w:pStyle w:val="hemtext"/>
      </w:pPr>
    </w:p>
    <w:p w:rsidR="00662EA8" w:rsidRDefault="00662EA8">
      <w:pPr>
        <w:pStyle w:val="hemtext"/>
      </w:pPr>
    </w:p>
    <w:p w:rsidR="00662EA8" w:rsidRDefault="00662EA8">
      <w:pPr>
        <w:pStyle w:val="Normaltindrag"/>
      </w:pPr>
    </w:p>
    <w:p w:rsidR="00662EA8" w:rsidRDefault="00662EA8">
      <w:pPr>
        <w:sectPr w:rsidR="00000000">
          <w:headerReference w:type="default" r:id="rId9"/>
          <w:footerReference w:type="default" r:id="rId10"/>
          <w:pgSz w:w="11906" w:h="16838" w:code="9"/>
          <w:pgMar w:top="567" w:right="4876" w:bottom="4508" w:left="1134" w:header="227" w:footer="227" w:gutter="0"/>
          <w:cols w:space="720"/>
        </w:sectPr>
      </w:pPr>
      <w:bookmarkStart w:id="55" w:name="Nästa_Reservation"/>
      <w:bookmarkEnd w:id="55"/>
    </w:p>
    <w:p w:rsidR="00662EA8" w:rsidRDefault="00662EA8">
      <w:pPr>
        <w:pStyle w:val="Rubrik2"/>
        <w:spacing w:before="0"/>
      </w:pPr>
      <w:bookmarkStart w:id="56" w:name="_Toc450629714"/>
      <w:r>
        <w:t xml:space="preserve">Förslag till lag om åtgärder för att förebygga och begränsa </w:t>
      </w:r>
    </w:p>
    <w:p w:rsidR="00662EA8" w:rsidRDefault="00662EA8">
      <w:pPr>
        <w:pStyle w:val="Rubrik2"/>
        <w:spacing w:before="0"/>
      </w:pPr>
      <w:r>
        <w:t>följderna av allvarliga kemikalieolyckor</w:t>
      </w:r>
      <w:bookmarkEnd w:id="56"/>
    </w:p>
    <w:p w:rsidR="00662EA8" w:rsidRDefault="00662EA8"/>
    <w:p w:rsidR="00662EA8" w:rsidRDefault="00662EA8">
      <w:r>
        <w:br w:type="page"/>
      </w:r>
    </w:p>
    <w:p w:rsidR="00662EA8" w:rsidRDefault="00662EA8"/>
    <w:p w:rsidR="00662EA8" w:rsidRDefault="00662EA8">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p>
    <w:p w:rsidR="00662EA8" w:rsidRDefault="00662EA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662EA8" w:rsidRDefault="00662EA8">
      <w:pPr>
        <w:pStyle w:val="Rubrik2"/>
        <w:spacing w:before="0"/>
      </w:pPr>
      <w:bookmarkStart w:id="57" w:name="_Toc450629715"/>
      <w:r>
        <w:t>Förslag till lag om ändring i miljöbalken</w:t>
      </w:r>
      <w:bookmarkEnd w:id="57"/>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pPr>
      <w:r>
        <w:br w:type="page"/>
      </w:r>
    </w:p>
    <w:p w:rsidR="00662EA8" w:rsidRDefault="00662EA8">
      <w:pPr>
        <w:pStyle w:val="Normaltindrag"/>
      </w:pPr>
    </w:p>
    <w:p w:rsidR="00662EA8" w:rsidRDefault="00662EA8">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662EA8" w:rsidRDefault="00662EA8">
      <w:pPr>
        <w:pStyle w:val="Rubrik2"/>
        <w:spacing w:before="0"/>
      </w:pPr>
      <w:bookmarkStart w:id="58" w:name="_Toc450629716"/>
      <w:r>
        <w:t>Förslag till lag om ändring i lagen (1976:661) om immunitet och privilegier i vissa fall</w:t>
      </w:r>
      <w:bookmarkEnd w:id="58"/>
    </w:p>
    <w:p w:rsidR="00662EA8" w:rsidRDefault="00662EA8"/>
    <w:p w:rsidR="00662EA8" w:rsidRDefault="00662EA8">
      <w:pPr>
        <w:pStyle w:val="Normaltindrag"/>
      </w:pPr>
    </w:p>
    <w:p w:rsidR="00662EA8" w:rsidRDefault="00662EA8">
      <w:pPr>
        <w:pStyle w:val="Normaltindrag"/>
        <w:sectPr w:rsidR="00000000">
          <w:headerReference w:type="default" r:id="rId15"/>
          <w:footerReference w:type="default" r:id="rId16"/>
          <w:pgSz w:w="11906" w:h="16838" w:code="9"/>
          <w:pgMar w:top="567" w:right="4876" w:bottom="4508" w:left="1134" w:header="227" w:footer="227" w:gutter="0"/>
          <w:cols w:space="720"/>
        </w:sectPr>
      </w:pPr>
    </w:p>
    <w:p w:rsidR="00662EA8" w:rsidRDefault="00662EA8">
      <w:pPr>
        <w:pStyle w:val="Rubrik2"/>
        <w:spacing w:before="0"/>
      </w:pPr>
      <w:bookmarkStart w:id="59" w:name="_Toc450629717"/>
      <w:r>
        <w:t>Förslag till lag om ändring i sekretesslagen (1980:100)</w:t>
      </w:r>
      <w:bookmarkEnd w:id="59"/>
    </w:p>
    <w:p w:rsidR="00662EA8" w:rsidRDefault="00662EA8"/>
    <w:p w:rsidR="00662EA8" w:rsidRDefault="00662EA8">
      <w:pPr>
        <w:pStyle w:val="Normaltindrag"/>
      </w:pPr>
    </w:p>
    <w:p w:rsidR="00662EA8" w:rsidRDefault="00662EA8">
      <w:pPr>
        <w:pStyle w:val="Normaltindrag"/>
        <w:sectPr w:rsidR="00000000">
          <w:headerReference w:type="default" r:id="rId17"/>
          <w:footerReference w:type="default" r:id="rId18"/>
          <w:pgSz w:w="11906" w:h="16838" w:code="9"/>
          <w:pgMar w:top="567" w:right="4876" w:bottom="4508" w:left="1134" w:header="227" w:footer="227" w:gutter="0"/>
          <w:cols w:space="720"/>
        </w:sectPr>
      </w:pPr>
    </w:p>
    <w:p w:rsidR="00662EA8" w:rsidRDefault="00662EA8">
      <w:pPr>
        <w:pStyle w:val="Rubrik2"/>
        <w:spacing w:before="0"/>
      </w:pPr>
      <w:bookmarkStart w:id="60" w:name="_Toc450629718"/>
      <w:r>
        <w:t>Förslag till lag om ändring i räddningstjänstlagen (1986:1102)</w:t>
      </w:r>
      <w:bookmarkEnd w:id="60"/>
    </w:p>
    <w:p w:rsidR="00662EA8" w:rsidRDefault="00662EA8"/>
    <w:p w:rsidR="00662EA8" w:rsidRDefault="00662EA8">
      <w:pPr>
        <w:pStyle w:val="Normaltindrag"/>
      </w:pPr>
    </w:p>
    <w:p w:rsidR="00662EA8" w:rsidRDefault="00662EA8">
      <w:pPr>
        <w:pStyle w:val="Normaltindrag"/>
        <w:sectPr w:rsidR="00000000">
          <w:headerReference w:type="default" r:id="rId19"/>
          <w:footerReference w:type="default" r:id="rId20"/>
          <w:pgSz w:w="11906" w:h="16838" w:code="9"/>
          <w:pgMar w:top="567" w:right="4876" w:bottom="4508" w:left="1134" w:header="227" w:footer="227" w:gutter="0"/>
          <w:cols w:space="720"/>
        </w:sectPr>
      </w:pPr>
    </w:p>
    <w:p w:rsidR="00662EA8" w:rsidRDefault="00662EA8">
      <w:pPr>
        <w:pStyle w:val="Innehll"/>
      </w:pPr>
      <w:r>
        <w:t>Innehållsförteckning</w:t>
      </w:r>
    </w:p>
    <w:p w:rsidR="00662EA8" w:rsidRDefault="00662EA8">
      <w:pPr>
        <w:pStyle w:val="Innehll1"/>
        <w:rPr>
          <w:noProof/>
        </w:rPr>
      </w:pPr>
      <w:r>
        <w:rPr>
          <w:noProof/>
        </w:rPr>
        <w:t>Sammanfattning</w:t>
      </w:r>
      <w:r>
        <w:rPr>
          <w:noProof/>
        </w:rPr>
        <w:tab/>
        <w:t>1</w:t>
      </w:r>
    </w:p>
    <w:p w:rsidR="00662EA8" w:rsidRDefault="00662EA8">
      <w:pPr>
        <w:pStyle w:val="Innehll1"/>
        <w:rPr>
          <w:noProof/>
        </w:rPr>
      </w:pPr>
      <w:r>
        <w:rPr>
          <w:noProof/>
        </w:rPr>
        <w:t>Propositionen</w:t>
      </w:r>
      <w:r>
        <w:rPr>
          <w:noProof/>
        </w:rPr>
        <w:tab/>
        <w:t>1</w:t>
      </w:r>
    </w:p>
    <w:p w:rsidR="00662EA8" w:rsidRDefault="00662EA8">
      <w:pPr>
        <w:pStyle w:val="Innehll2"/>
        <w:rPr>
          <w:noProof/>
        </w:rPr>
      </w:pPr>
      <w:r>
        <w:rPr>
          <w:noProof/>
        </w:rPr>
        <w:t>Regeringens förslag till riksdagsbeslut</w:t>
      </w:r>
      <w:r>
        <w:rPr>
          <w:noProof/>
        </w:rPr>
        <w:tab/>
        <w:t>1</w:t>
      </w:r>
    </w:p>
    <w:p w:rsidR="00662EA8" w:rsidRDefault="00662EA8">
      <w:pPr>
        <w:pStyle w:val="Innehll1"/>
        <w:rPr>
          <w:noProof/>
        </w:rPr>
      </w:pPr>
      <w:r>
        <w:rPr>
          <w:noProof/>
        </w:rPr>
        <w:t>Motionerna</w:t>
      </w:r>
      <w:r>
        <w:rPr>
          <w:noProof/>
        </w:rPr>
        <w:tab/>
        <w:t>2</w:t>
      </w:r>
    </w:p>
    <w:p w:rsidR="00662EA8" w:rsidRDefault="00662EA8">
      <w:pPr>
        <w:pStyle w:val="Innehll1"/>
        <w:rPr>
          <w:noProof/>
        </w:rPr>
      </w:pPr>
      <w:r>
        <w:rPr>
          <w:noProof/>
        </w:rPr>
        <w:t>Utskottet</w:t>
      </w:r>
      <w:r>
        <w:rPr>
          <w:noProof/>
        </w:rPr>
        <w:tab/>
        <w:t>2</w:t>
      </w:r>
    </w:p>
    <w:p w:rsidR="00662EA8" w:rsidRDefault="00662EA8">
      <w:pPr>
        <w:pStyle w:val="Innehll2"/>
        <w:rPr>
          <w:noProof/>
        </w:rPr>
      </w:pPr>
      <w:r>
        <w:rPr>
          <w:noProof/>
        </w:rPr>
        <w:t>Bakgrund och utgångspunkter</w:t>
      </w:r>
      <w:r>
        <w:rPr>
          <w:noProof/>
        </w:rPr>
        <w:tab/>
        <w:t>2</w:t>
      </w:r>
    </w:p>
    <w:p w:rsidR="00662EA8" w:rsidRDefault="00662EA8">
      <w:pPr>
        <w:pStyle w:val="Innehll3"/>
        <w:rPr>
          <w:noProof/>
        </w:rPr>
      </w:pPr>
      <w:r>
        <w:rPr>
          <w:noProof/>
        </w:rPr>
        <w:t>Kemikalieolyckor inom industrin</w:t>
      </w:r>
      <w:r>
        <w:rPr>
          <w:noProof/>
        </w:rPr>
        <w:tab/>
        <w:t>2</w:t>
      </w:r>
    </w:p>
    <w:p w:rsidR="00662EA8" w:rsidRDefault="00662EA8">
      <w:pPr>
        <w:pStyle w:val="Innehll3"/>
        <w:rPr>
          <w:noProof/>
        </w:rPr>
      </w:pPr>
      <w:r>
        <w:rPr>
          <w:noProof/>
        </w:rPr>
        <w:t>Genomförandet av Seveso I-direktivet</w:t>
      </w:r>
      <w:r>
        <w:rPr>
          <w:noProof/>
        </w:rPr>
        <w:tab/>
        <w:t>2</w:t>
      </w:r>
    </w:p>
    <w:p w:rsidR="00662EA8" w:rsidRDefault="00662EA8">
      <w:pPr>
        <w:pStyle w:val="Innehll3"/>
        <w:rPr>
          <w:noProof/>
        </w:rPr>
      </w:pPr>
      <w:r>
        <w:rPr>
          <w:noProof/>
        </w:rPr>
        <w:t>Seveso II-direktivet</w:t>
      </w:r>
      <w:r>
        <w:rPr>
          <w:noProof/>
        </w:rPr>
        <w:tab/>
        <w:t>2</w:t>
      </w:r>
    </w:p>
    <w:p w:rsidR="00662EA8" w:rsidRDefault="00662EA8">
      <w:pPr>
        <w:pStyle w:val="Innehll3"/>
        <w:rPr>
          <w:noProof/>
        </w:rPr>
      </w:pPr>
      <w:r>
        <w:rPr>
          <w:noProof/>
        </w:rPr>
        <w:t>Konventionen om gränsöverskridande effekter av industriolyckor</w:t>
      </w:r>
      <w:r>
        <w:rPr>
          <w:noProof/>
        </w:rPr>
        <w:tab/>
        <w:t>3</w:t>
      </w:r>
    </w:p>
    <w:p w:rsidR="00662EA8" w:rsidRDefault="00662EA8">
      <w:pPr>
        <w:pStyle w:val="Innehll3"/>
        <w:rPr>
          <w:noProof/>
        </w:rPr>
      </w:pPr>
      <w:r>
        <w:rPr>
          <w:noProof/>
        </w:rPr>
        <w:t>Sambandet mellan Seveso II-direktivet och Industriolyckskonventionen</w:t>
      </w:r>
      <w:r>
        <w:rPr>
          <w:noProof/>
        </w:rPr>
        <w:tab/>
        <w:t>3</w:t>
      </w:r>
    </w:p>
    <w:p w:rsidR="00662EA8" w:rsidRDefault="00662EA8">
      <w:pPr>
        <w:pStyle w:val="Innehll2"/>
        <w:rPr>
          <w:noProof/>
        </w:rPr>
      </w:pPr>
      <w:r>
        <w:rPr>
          <w:noProof/>
        </w:rPr>
        <w:t>Godkännande av konventionen om gränsöverskridande effekter av industriolyckor</w:t>
      </w:r>
      <w:r>
        <w:rPr>
          <w:noProof/>
        </w:rPr>
        <w:tab/>
        <w:t>4</w:t>
      </w:r>
    </w:p>
    <w:p w:rsidR="00662EA8" w:rsidRDefault="00662EA8">
      <w:pPr>
        <w:pStyle w:val="Innehll2"/>
        <w:rPr>
          <w:noProof/>
        </w:rPr>
      </w:pPr>
      <w:r>
        <w:rPr>
          <w:noProof/>
        </w:rPr>
        <w:t>Genomförandet av Seveso II-direktivet och Industriolyckskonventionen</w:t>
      </w:r>
      <w:r>
        <w:rPr>
          <w:noProof/>
        </w:rPr>
        <w:tab/>
        <w:t>4</w:t>
      </w:r>
    </w:p>
    <w:p w:rsidR="00662EA8" w:rsidRDefault="00662EA8">
      <w:pPr>
        <w:pStyle w:val="Innehll3"/>
        <w:rPr>
          <w:noProof/>
        </w:rPr>
      </w:pPr>
      <w:r>
        <w:rPr>
          <w:noProof/>
        </w:rPr>
        <w:t>Samordning med miljöprövningen</w:t>
      </w:r>
      <w:r>
        <w:rPr>
          <w:noProof/>
        </w:rPr>
        <w:tab/>
        <w:t>4</w:t>
      </w:r>
    </w:p>
    <w:p w:rsidR="00662EA8" w:rsidRDefault="00662EA8">
      <w:pPr>
        <w:pStyle w:val="Innehll3"/>
        <w:rPr>
          <w:noProof/>
        </w:rPr>
      </w:pPr>
      <w:r>
        <w:rPr>
          <w:noProof/>
        </w:rPr>
        <w:t>Lagteknisk lösning</w:t>
      </w:r>
      <w:r>
        <w:rPr>
          <w:noProof/>
        </w:rPr>
        <w:tab/>
        <w:t>6</w:t>
      </w:r>
    </w:p>
    <w:p w:rsidR="00662EA8" w:rsidRDefault="00662EA8">
      <w:pPr>
        <w:pStyle w:val="Innehll3"/>
        <w:rPr>
          <w:noProof/>
        </w:rPr>
      </w:pPr>
      <w:r>
        <w:rPr>
          <w:noProof/>
        </w:rPr>
        <w:t>Tillsynsansvaret</w:t>
      </w:r>
      <w:r>
        <w:rPr>
          <w:noProof/>
        </w:rPr>
        <w:tab/>
        <w:t>7</w:t>
      </w:r>
    </w:p>
    <w:p w:rsidR="00662EA8" w:rsidRDefault="00662EA8">
      <w:pPr>
        <w:pStyle w:val="Innehll2"/>
        <w:rPr>
          <w:noProof/>
        </w:rPr>
      </w:pPr>
      <w:r>
        <w:rPr>
          <w:noProof/>
        </w:rPr>
        <w:t>Den materiella regleringen</w:t>
      </w:r>
      <w:r>
        <w:rPr>
          <w:noProof/>
        </w:rPr>
        <w:tab/>
        <w:t>9</w:t>
      </w:r>
    </w:p>
    <w:p w:rsidR="00662EA8" w:rsidRDefault="00662EA8">
      <w:pPr>
        <w:pStyle w:val="Innehll3"/>
        <w:rPr>
          <w:noProof/>
        </w:rPr>
      </w:pPr>
      <w:r>
        <w:rPr>
          <w:noProof/>
        </w:rPr>
        <w:t>Tillämpningsområde</w:t>
      </w:r>
      <w:r>
        <w:rPr>
          <w:noProof/>
        </w:rPr>
        <w:tab/>
        <w:t>9</w:t>
      </w:r>
    </w:p>
    <w:p w:rsidR="00662EA8" w:rsidRDefault="00662EA8">
      <w:pPr>
        <w:pStyle w:val="Innehll3"/>
        <w:rPr>
          <w:noProof/>
        </w:rPr>
      </w:pPr>
      <w:r>
        <w:rPr>
          <w:noProof/>
        </w:rPr>
        <w:t>Definitioner</w:t>
      </w:r>
      <w:r>
        <w:rPr>
          <w:noProof/>
        </w:rPr>
        <w:tab/>
        <w:t>9</w:t>
      </w:r>
    </w:p>
    <w:p w:rsidR="00662EA8" w:rsidRDefault="00662EA8">
      <w:pPr>
        <w:pStyle w:val="Innehll3"/>
        <w:rPr>
          <w:noProof/>
        </w:rPr>
      </w:pPr>
      <w:r>
        <w:rPr>
          <w:noProof/>
        </w:rPr>
        <w:t>Verksamhetsutövarnas skyldigheter</w:t>
      </w:r>
      <w:r>
        <w:rPr>
          <w:noProof/>
        </w:rPr>
        <w:tab/>
        <w:t>10</w:t>
      </w:r>
    </w:p>
    <w:p w:rsidR="00662EA8" w:rsidRDefault="00662EA8">
      <w:pPr>
        <w:pStyle w:val="Innehll3"/>
        <w:rPr>
          <w:noProof/>
        </w:rPr>
      </w:pPr>
      <w:r>
        <w:rPr>
          <w:noProof/>
        </w:rPr>
        <w:t>Planering för räddningsinsatser</w:t>
      </w:r>
      <w:r>
        <w:rPr>
          <w:noProof/>
        </w:rPr>
        <w:tab/>
        <w:t>10</w:t>
      </w:r>
    </w:p>
    <w:p w:rsidR="00662EA8" w:rsidRDefault="00662EA8">
      <w:pPr>
        <w:pStyle w:val="Innehll3"/>
        <w:rPr>
          <w:noProof/>
        </w:rPr>
      </w:pPr>
      <w:r>
        <w:rPr>
          <w:noProof/>
        </w:rPr>
        <w:t>Den fysiska planeringen</w:t>
      </w:r>
      <w:r>
        <w:rPr>
          <w:noProof/>
        </w:rPr>
        <w:tab/>
        <w:t>12</w:t>
      </w:r>
    </w:p>
    <w:p w:rsidR="00662EA8" w:rsidRDefault="00662EA8">
      <w:pPr>
        <w:pStyle w:val="Innehll3"/>
        <w:rPr>
          <w:noProof/>
        </w:rPr>
      </w:pPr>
      <w:r>
        <w:rPr>
          <w:noProof/>
        </w:rPr>
        <w:t>Påverkan på omgivningen</w:t>
      </w:r>
      <w:r>
        <w:rPr>
          <w:noProof/>
        </w:rPr>
        <w:tab/>
        <w:t>14</w:t>
      </w:r>
    </w:p>
    <w:p w:rsidR="00662EA8" w:rsidRDefault="00662EA8">
      <w:pPr>
        <w:pStyle w:val="Innehll3"/>
        <w:rPr>
          <w:noProof/>
        </w:rPr>
      </w:pPr>
      <w:r>
        <w:rPr>
          <w:noProof/>
        </w:rPr>
        <w:t>Informationsskyldighet</w:t>
      </w:r>
      <w:r>
        <w:rPr>
          <w:noProof/>
        </w:rPr>
        <w:tab/>
        <w:t>14</w:t>
      </w:r>
    </w:p>
    <w:p w:rsidR="00662EA8" w:rsidRDefault="00662EA8">
      <w:pPr>
        <w:pStyle w:val="Innehll3"/>
        <w:rPr>
          <w:noProof/>
        </w:rPr>
      </w:pPr>
      <w:r>
        <w:rPr>
          <w:noProof/>
        </w:rPr>
        <w:t>Tillsyn</w:t>
      </w:r>
      <w:r>
        <w:rPr>
          <w:noProof/>
        </w:rPr>
        <w:tab/>
        <w:t>15</w:t>
      </w:r>
    </w:p>
    <w:p w:rsidR="00662EA8" w:rsidRDefault="00662EA8">
      <w:pPr>
        <w:pStyle w:val="Innehll3"/>
        <w:rPr>
          <w:noProof/>
        </w:rPr>
      </w:pPr>
      <w:r>
        <w:rPr>
          <w:noProof/>
        </w:rPr>
        <w:t>Driftförbud m.m.</w:t>
      </w:r>
      <w:r>
        <w:rPr>
          <w:noProof/>
        </w:rPr>
        <w:tab/>
        <w:t>15</w:t>
      </w:r>
    </w:p>
    <w:p w:rsidR="00662EA8" w:rsidRDefault="00662EA8">
      <w:pPr>
        <w:pStyle w:val="Innehll3"/>
        <w:rPr>
          <w:noProof/>
        </w:rPr>
      </w:pPr>
      <w:r>
        <w:rPr>
          <w:noProof/>
        </w:rPr>
        <w:t>Den gemensamma miljö- och säkerhetsprövningen</w:t>
      </w:r>
      <w:r>
        <w:rPr>
          <w:noProof/>
        </w:rPr>
        <w:tab/>
        <w:t>15</w:t>
      </w:r>
    </w:p>
    <w:p w:rsidR="00662EA8" w:rsidRDefault="00662EA8">
      <w:pPr>
        <w:pStyle w:val="Innehll3"/>
        <w:rPr>
          <w:noProof/>
        </w:rPr>
      </w:pPr>
      <w:r>
        <w:rPr>
          <w:noProof/>
        </w:rPr>
        <w:t>Överklagande</w:t>
      </w:r>
      <w:r>
        <w:rPr>
          <w:noProof/>
        </w:rPr>
        <w:tab/>
        <w:t>16</w:t>
      </w:r>
    </w:p>
    <w:p w:rsidR="00662EA8" w:rsidRDefault="00662EA8">
      <w:pPr>
        <w:pStyle w:val="Innehll3"/>
        <w:rPr>
          <w:noProof/>
        </w:rPr>
      </w:pPr>
      <w:r>
        <w:rPr>
          <w:noProof/>
        </w:rPr>
        <w:t>Behov av lagstiftningsåtgärder i övrigt</w:t>
      </w:r>
      <w:r>
        <w:rPr>
          <w:noProof/>
        </w:rPr>
        <w:tab/>
        <w:t>16</w:t>
      </w:r>
    </w:p>
    <w:p w:rsidR="00662EA8" w:rsidRDefault="00662EA8">
      <w:pPr>
        <w:pStyle w:val="Innehll2"/>
        <w:rPr>
          <w:noProof/>
        </w:rPr>
      </w:pPr>
      <w:r>
        <w:rPr>
          <w:noProof/>
        </w:rPr>
        <w:t>Ikraftträdande- och övergångsbestämmelser</w:t>
      </w:r>
      <w:r>
        <w:rPr>
          <w:noProof/>
        </w:rPr>
        <w:tab/>
        <w:t>17</w:t>
      </w:r>
    </w:p>
    <w:p w:rsidR="00662EA8" w:rsidRDefault="00662EA8">
      <w:pPr>
        <w:pStyle w:val="Innehll2"/>
        <w:rPr>
          <w:noProof/>
        </w:rPr>
      </w:pPr>
      <w:r>
        <w:rPr>
          <w:noProof/>
        </w:rPr>
        <w:t>Ekonomiska konsekvenser av förslaget</w:t>
      </w:r>
      <w:r>
        <w:rPr>
          <w:noProof/>
        </w:rPr>
        <w:tab/>
        <w:t>17</w:t>
      </w:r>
    </w:p>
    <w:p w:rsidR="00662EA8" w:rsidRDefault="00662EA8">
      <w:pPr>
        <w:pStyle w:val="Innehll2"/>
        <w:rPr>
          <w:noProof/>
        </w:rPr>
      </w:pPr>
      <w:r>
        <w:rPr>
          <w:noProof/>
        </w:rPr>
        <w:t>Hemställan</w:t>
      </w:r>
      <w:r>
        <w:rPr>
          <w:noProof/>
        </w:rPr>
        <w:tab/>
        <w:t>17</w:t>
      </w:r>
    </w:p>
    <w:p w:rsidR="00662EA8" w:rsidRDefault="00662EA8">
      <w:pPr>
        <w:pStyle w:val="Innehll1"/>
        <w:rPr>
          <w:noProof/>
        </w:rPr>
      </w:pPr>
      <w:r>
        <w:rPr>
          <w:noProof/>
        </w:rPr>
        <w:t>Reservation</w:t>
      </w:r>
      <w:r>
        <w:rPr>
          <w:noProof/>
        </w:rPr>
        <w:tab/>
        <w:t>18</w:t>
      </w:r>
    </w:p>
    <w:p w:rsidR="00662EA8" w:rsidRDefault="00662EA8">
      <w:pPr>
        <w:pStyle w:val="Innehll2"/>
        <w:rPr>
          <w:noProof/>
        </w:rPr>
      </w:pPr>
      <w:r>
        <w:rPr>
          <w:noProof/>
        </w:rPr>
        <w:t>Ny lag vid kemikalieolyckor (mom. 2)</w:t>
      </w:r>
      <w:r>
        <w:rPr>
          <w:noProof/>
        </w:rPr>
        <w:tab/>
        <w:t>18</w:t>
      </w:r>
    </w:p>
    <w:p w:rsidR="00662EA8" w:rsidRDefault="00662EA8">
      <w:pPr>
        <w:spacing w:before="0"/>
      </w:pPr>
      <w:r>
        <w:t xml:space="preserve">Bilaga 1 </w:t>
      </w:r>
    </w:p>
    <w:p w:rsidR="00662EA8" w:rsidRDefault="00662EA8">
      <w:pPr>
        <w:pStyle w:val="Innehll2"/>
        <w:rPr>
          <w:noProof/>
        </w:rPr>
      </w:pPr>
      <w:r>
        <w:rPr>
          <w:noProof/>
        </w:rPr>
        <w:t xml:space="preserve"> Förslag till lag om åtgärder för att förebygga och begränsa  följderna av allvarliga kemikalieolyckor</w:t>
      </w:r>
      <w:r>
        <w:rPr>
          <w:noProof/>
        </w:rPr>
        <w:tab/>
        <w:t>20</w:t>
      </w:r>
    </w:p>
    <w:p w:rsidR="00662EA8" w:rsidRDefault="00662EA8">
      <w:pPr>
        <w:spacing w:before="0"/>
      </w:pPr>
      <w:r>
        <w:t>Bilaga 2</w:t>
      </w:r>
    </w:p>
    <w:p w:rsidR="00662EA8" w:rsidRDefault="00662EA8">
      <w:pPr>
        <w:pStyle w:val="Innehll2"/>
        <w:rPr>
          <w:noProof/>
        </w:rPr>
      </w:pPr>
      <w:r>
        <w:rPr>
          <w:noProof/>
        </w:rPr>
        <w:t>Förslag till lag om ändring i miljöbalken</w:t>
      </w:r>
      <w:r>
        <w:rPr>
          <w:noProof/>
        </w:rPr>
        <w:tab/>
        <w:t>26</w:t>
      </w:r>
    </w:p>
    <w:p w:rsidR="00662EA8" w:rsidRDefault="00662EA8">
      <w:pPr>
        <w:spacing w:before="0"/>
      </w:pPr>
      <w:r>
        <w:br w:type="page"/>
        <w:t>Bilaga 3</w:t>
      </w:r>
    </w:p>
    <w:p w:rsidR="00662EA8" w:rsidRDefault="00662EA8">
      <w:pPr>
        <w:pStyle w:val="Innehll2"/>
        <w:rPr>
          <w:noProof/>
        </w:rPr>
      </w:pPr>
      <w:r>
        <w:rPr>
          <w:noProof/>
        </w:rPr>
        <w:t>Förslag till lag om ändring i lagen (1976:661) om immunitet och privilegier i vissa fall</w:t>
      </w:r>
      <w:r>
        <w:rPr>
          <w:noProof/>
        </w:rPr>
        <w:tab/>
        <w:t>31</w:t>
      </w:r>
    </w:p>
    <w:p w:rsidR="00662EA8" w:rsidRDefault="00662EA8">
      <w:pPr>
        <w:spacing w:before="0"/>
      </w:pPr>
      <w:r>
        <w:t>Bilaga 4</w:t>
      </w:r>
    </w:p>
    <w:p w:rsidR="00662EA8" w:rsidRDefault="00662EA8">
      <w:pPr>
        <w:pStyle w:val="Innehll2"/>
        <w:rPr>
          <w:noProof/>
        </w:rPr>
      </w:pPr>
      <w:r>
        <w:rPr>
          <w:noProof/>
        </w:rPr>
        <w:t>Förslag till lag om ändring i sekretesslagen (1980:100)</w:t>
      </w:r>
      <w:r>
        <w:rPr>
          <w:noProof/>
        </w:rPr>
        <w:tab/>
        <w:t>32</w:t>
      </w:r>
    </w:p>
    <w:p w:rsidR="00662EA8" w:rsidRDefault="00662EA8">
      <w:pPr>
        <w:spacing w:before="0"/>
      </w:pPr>
      <w:r>
        <w:t>Bilaga 5</w:t>
      </w:r>
    </w:p>
    <w:p w:rsidR="00662EA8" w:rsidRDefault="00662EA8">
      <w:pPr>
        <w:pStyle w:val="Innehll2"/>
        <w:rPr>
          <w:noProof/>
        </w:rPr>
      </w:pPr>
      <w:r>
        <w:rPr>
          <w:noProof/>
        </w:rPr>
        <w:t>Förslag till lag om ändring i räddningstjänstlagen (1986:1102)</w:t>
      </w:r>
      <w:r>
        <w:rPr>
          <w:noProof/>
        </w:rPr>
        <w:tab/>
        <w:t>33</w:t>
      </w:r>
    </w:p>
    <w:p w:rsidR="00662EA8" w:rsidRDefault="00662EA8"/>
    <w:p w:rsidR="00662EA8" w:rsidRDefault="00662EA8">
      <w:pPr>
        <w:pStyle w:val="Tryckort"/>
        <w:framePr w:wrap="around"/>
      </w:pPr>
      <w:r>
        <w:t>Elanders Gotab, Stockholm  1999</w:t>
      </w:r>
    </w:p>
    <w:p w:rsidR="00662EA8" w:rsidRDefault="00662EA8">
      <w:pPr>
        <w:pStyle w:val="Normaltindrag"/>
      </w:pPr>
    </w:p>
    <w:sectPr w:rsidR="00662EA8">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EA8" w:rsidRDefault="00662EA8">
      <w:pPr>
        <w:spacing w:before="0" w:line="240" w:lineRule="auto"/>
      </w:pPr>
      <w:r>
        <w:separator/>
      </w:r>
    </w:p>
  </w:endnote>
  <w:endnote w:type="continuationSeparator" w:id="0">
    <w:p w:rsidR="00662EA8" w:rsidRDefault="00662EA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62EA8" w:rsidRDefault="00662E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662EA8" w:rsidRDefault="00662E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30</w:t>
    </w:r>
    <w:r>
      <w:fldChar w:fldCharType="end"/>
    </w:r>
  </w:p>
  <w:p w:rsidR="00662EA8" w:rsidRDefault="00662EA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31</w:t>
    </w:r>
    <w:r>
      <w:fldChar w:fldCharType="end"/>
    </w:r>
  </w:p>
  <w:p w:rsidR="00662EA8" w:rsidRDefault="00662EA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32</w:t>
    </w:r>
    <w:r>
      <w:fldChar w:fldCharType="end"/>
    </w:r>
  </w:p>
  <w:p w:rsidR="00662EA8" w:rsidRDefault="00662EA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w:instrText>
    </w:r>
    <w:r>
      <w:instrText>A</w:instrText>
    </w:r>
    <w:r>
      <w:instrText xml:space="preserve">GE </w:instrText>
    </w:r>
    <w:r>
      <w:fldChar w:fldCharType="separate"/>
    </w:r>
    <w:r>
      <w:rPr>
        <w:noProof/>
      </w:rPr>
      <w:t>33</w:t>
    </w:r>
    <w:r>
      <w:fldChar w:fldCharType="end"/>
    </w:r>
  </w:p>
  <w:p w:rsidR="00662EA8" w:rsidRDefault="00662EA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fotH"/>
      <w:framePr w:wrap="around"/>
    </w:pPr>
    <w:r>
      <w:fldChar w:fldCharType="begin" w:fldLock="1"/>
    </w:r>
    <w:r>
      <w:instrText xml:space="preserve"> PAGE </w:instrText>
    </w:r>
    <w:r>
      <w:fldChar w:fldCharType="separate"/>
    </w:r>
    <w:r>
      <w:rPr>
        <w:noProof/>
      </w:rPr>
      <w:t>34</w:t>
    </w:r>
    <w:r>
      <w:fldChar w:fldCharType="end"/>
    </w:r>
  </w:p>
  <w:p w:rsidR="00662EA8" w:rsidRDefault="00662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EA8" w:rsidRDefault="00662EA8">
      <w:pPr>
        <w:spacing w:before="0" w:line="240" w:lineRule="auto"/>
      </w:pPr>
      <w:r>
        <w:separator/>
      </w:r>
    </w:p>
  </w:footnote>
  <w:footnote w:type="continuationSeparator" w:id="0">
    <w:p w:rsidR="00662EA8" w:rsidRDefault="00662EA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r>
      <w:rPr>
        <w:noProof/>
      </w:rPr>
      <w:t>Bilaga 1</w:t>
    </w: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r>
      <w:rPr>
        <w:noProof/>
      </w:rPr>
      <w:t>Bilaga 2</w:t>
    </w: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r>
      <w:rPr>
        <w:noProof/>
      </w:rPr>
      <w:t>Bilaga 3</w:t>
    </w: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r>
      <w:rPr>
        <w:noProof/>
      </w:rPr>
      <w:t>Bilaga 4</w:t>
    </w: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r>
      <w:rPr>
        <w:noProof/>
      </w:rPr>
      <w:t>Bilaga 5</w:t>
    </w: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A8" w:rsidRDefault="00662EA8">
    <w:pPr>
      <w:pStyle w:val="SidhuvudKant"/>
      <w:framePr w:w="1985" w:h="2743" w:hRule="exact" w:wrap="around" w:vAnchor="page" w:hAnchor="page" w:x="7372" w:y="568" w:anchorLock="0"/>
      <w:rPr>
        <w:noProof/>
      </w:rPr>
    </w:pPr>
    <w:r>
      <w:rPr>
        <w:noProof/>
      </w:rPr>
      <w:t>1998/99:FöU6</w:t>
    </w:r>
  </w:p>
  <w:p w:rsidR="00662EA8" w:rsidRDefault="00662EA8">
    <w:pPr>
      <w:pStyle w:val="SidhuvudKantBilaga"/>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rPr>
        <w:noProof/>
      </w:rPr>
    </w:pPr>
  </w:p>
  <w:p w:rsidR="00662EA8" w:rsidRDefault="00662EA8">
    <w:pPr>
      <w:pStyle w:val="SidhuvudKant"/>
      <w:framePr w:w="1985" w:h="2743" w:hRule="exact" w:wrap="around" w:vAnchor="page" w:hAnchor="page" w:x="7372" w:y="568" w:anchorLock="0"/>
    </w:pPr>
  </w:p>
  <w:p w:rsidR="00662EA8" w:rsidRDefault="00662EA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D32813"/>
    <w:rsid w:val="005A1630"/>
    <w:rsid w:val="00662EA8"/>
    <w:rsid w:val="00D328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C4E0AF-04C0-4CCE-9DA3-7D76A505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Proputanindrag">
    <w:name w:val="Prop. utan indrag"/>
    <w:basedOn w:val="Normal"/>
    <w:next w:val="Propmedindrag"/>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6330</Words>
  <Characters>41592</Characters>
  <Application>Microsoft Office Word</Application>
  <DocSecurity>4</DocSecurity>
  <Lines>884</Lines>
  <Paragraphs>319</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Försvarsutskottets betänkande</vt:lpstr>
      <vt:lpstr>Sammanfattning</vt:lpstr>
      <vt:lpstr>Propositionen</vt:lpstr>
      <vt:lpstr>    Regeringens förslag till riksdagsbeslut</vt:lpstr>
      <vt:lpstr>Motionerna</vt:lpstr>
      <vt:lpstr>Utskottet</vt:lpstr>
      <vt:lpstr>    Bakgrund och utgångspunkter</vt:lpstr>
      <vt:lpstr>        Kemikalieolyckor inom industrin</vt:lpstr>
      <vt:lpstr>        Genomförandet av Seveso I-direktivet</vt:lpstr>
      <vt:lpstr>        Seveso II-direktivet</vt:lpstr>
      <vt:lpstr>        Konventionen om gränsöverskridande effekter av industriolyckor</vt:lpstr>
      <vt:lpstr>        Sambandet mellan Seveso II-direktivet och Industriolyckskonventionen</vt:lpstr>
      <vt:lpstr>    Godkännande av konventionen om gränsöverskridande effekter av industriolyckor</vt:lpstr>
      <vt:lpstr>    Genomförandet av Seveso II-direktivet och Industriolyckskonventionen</vt:lpstr>
      <vt:lpstr>        Samordning med miljöprövningen</vt:lpstr>
      <vt:lpstr>        Lagteknisk lösning</vt:lpstr>
      <vt:lpstr>        Tillsynsansvaret</vt:lpstr>
      <vt:lpstr>    Den materiella regleringen </vt:lpstr>
      <vt:lpstr>        Tillämpningsområde</vt:lpstr>
      <vt:lpstr>        Definitioner</vt:lpstr>
      <vt:lpstr>        Verksamhetsutövarnas skyldigheter</vt:lpstr>
      <vt:lpstr>        Planering för räddningsinsatser</vt:lpstr>
      <vt:lpstr>        Den fysiska planeringen</vt:lpstr>
      <vt:lpstr>        Påverkan på omgivningen</vt:lpstr>
      <vt:lpstr>        Informationsskyldighet</vt:lpstr>
      <vt:lpstr>        Tillsyn</vt:lpstr>
      <vt:lpstr>        Driftförbud m.m.</vt:lpstr>
      <vt:lpstr>        Den gemensamma miljö- och säkerhetsprövningen</vt:lpstr>
      <vt:lpstr>        Överklagande</vt:lpstr>
      <vt:lpstr>        Behov av lagstiftningsåtgärder i övrigt</vt:lpstr>
      <vt:lpstr>    Ikraftträdande- och övergångsbestämmelser</vt:lpstr>
      <vt:lpstr>    Ekonomiska konsekvenser av förslaget</vt:lpstr>
      <vt:lpstr>    Hemställan</vt:lpstr>
      <vt:lpstr>Reservation</vt:lpstr>
      <vt:lpstr>    Ny lag vid kemikalieolyckor (mom. 2)</vt:lpstr>
      <vt:lpstr>    Förslag till lag om åtgärder för att förebygga och begränsa </vt:lpstr>
      <vt:lpstr>    följderna av allvarliga kemikalieolyckor</vt:lpstr>
      <vt:lpstr>    Förslag till lag om ändring i miljöbalken</vt:lpstr>
      <vt:lpstr>    Förslag till lag om ändring i lagen (1976:661) om immunitet och privilegier i vi</vt:lpstr>
      <vt:lpstr>    Förslag till lag om ändring i sekretesslagen (1980:100)</vt:lpstr>
      <vt:lpstr>    Förslag till lag om ändring i räddningstjänstlagen (1986:1102)</vt:lpstr>
    </vt:vector>
  </TitlesOfParts>
  <Company>Riksdagen</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1999-05-06T14:39:00Z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