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0D45F5">
              <w:rPr>
                <w:sz w:val="20"/>
              </w:rPr>
              <w:t>1</w:t>
            </w:r>
            <w:r w:rsidR="00680038" w:rsidRPr="006F58FB">
              <w:rPr>
                <w:sz w:val="20"/>
              </w:rPr>
              <w:t>–</w:t>
            </w:r>
            <w:r w:rsidR="000D45F5">
              <w:rPr>
                <w:sz w:val="20"/>
              </w:rPr>
              <w:t>0</w:t>
            </w:r>
            <w:r w:rsidR="00C742DA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C742DA" w:rsidP="006D5D1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F7375">
              <w:rPr>
                <w:sz w:val="20"/>
              </w:rPr>
              <w:t>11:42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90845" w:rsidRDefault="00C742D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Avtal om politisk dialog och samarbete mellan Europeiska unionen och dess medlemsstater, å ena sidan, och Republiken Kuba, å andra sidan (UU3)</w:t>
            </w:r>
          </w:p>
          <w:p w:rsidR="00A5406D" w:rsidRDefault="00A5406D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 w:rsidR="00920788"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 w:rsidR="00920788">
              <w:rPr>
                <w:bCs/>
                <w:color w:val="000000"/>
                <w:szCs w:val="24"/>
              </w:rPr>
              <w:t xml:space="preserve">ingen av 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2018/19</w:t>
            </w:r>
            <w:r w:rsidR="00F57484" w:rsidRPr="00F57484">
              <w:rPr>
                <w:bCs/>
                <w:color w:val="000000"/>
                <w:szCs w:val="24"/>
              </w:rPr>
              <w:t>:156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5406D" w:rsidRPr="00A5406D" w:rsidRDefault="00A5406D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D07B5B" w:rsidRPr="00D07B5B" w:rsidRDefault="00D07B5B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C62D25" w:rsidRPr="00ED752A" w:rsidTr="00610C5F">
        <w:trPr>
          <w:trHeight w:val="1418"/>
        </w:trPr>
        <w:tc>
          <w:tcPr>
            <w:tcW w:w="567" w:type="dxa"/>
          </w:tcPr>
          <w:p w:rsidR="00C62D2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62D25" w:rsidRDefault="006B770D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5 Internationell samverkan (UU1)</w:t>
            </w:r>
          </w:p>
          <w:p w:rsidR="006B770D" w:rsidRPr="00886585" w:rsidRDefault="006B770D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behandlade </w:t>
            </w:r>
            <w:r>
              <w:rPr>
                <w:bCs/>
                <w:color w:val="000000"/>
                <w:szCs w:val="24"/>
              </w:rPr>
              <w:t>budget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2019/20</w:t>
            </w:r>
            <w:r w:rsidR="00F57484" w:rsidRPr="00F57484">
              <w:rPr>
                <w:bCs/>
                <w:color w:val="000000"/>
                <w:szCs w:val="24"/>
              </w:rPr>
              <w:t>:1</w:t>
            </w:r>
            <w:r w:rsidR="006B770D">
              <w:rPr>
                <w:bCs/>
                <w:color w:val="000000"/>
                <w:szCs w:val="24"/>
              </w:rPr>
              <w:t>,</w:t>
            </w:r>
            <w:r w:rsidR="006B770D">
              <w:rPr>
                <w:color w:val="000000"/>
                <w:szCs w:val="24"/>
              </w:rPr>
              <w:t xml:space="preserve"> utgiftsområde 5 och </w:t>
            </w:r>
            <w:r w:rsidR="00F57484" w:rsidRPr="00F57484">
              <w:rPr>
                <w:bCs/>
                <w:color w:val="000000"/>
                <w:szCs w:val="24"/>
              </w:rPr>
              <w:t>motioner</w:t>
            </w:r>
            <w:r w:rsidRPr="00F57484">
              <w:rPr>
                <w:bCs/>
                <w:color w:val="000000"/>
                <w:szCs w:val="24"/>
              </w:rPr>
              <w:t>.</w:t>
            </w:r>
          </w:p>
          <w:p w:rsidR="00A5406D" w:rsidRDefault="00A5406D" w:rsidP="00A5406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62D25" w:rsidRPr="00886585" w:rsidRDefault="00A5406D" w:rsidP="00A540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  <w:r w:rsidR="00957886">
              <w:br/>
            </w: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Pr="00886585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036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B4629" w:rsidRDefault="00452B0C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Justering av </w:t>
            </w:r>
            <w:r w:rsidR="00DB4629" w:rsidRPr="00DB4629">
              <w:rPr>
                <w:bCs/>
                <w:color w:val="000000"/>
              </w:rPr>
              <w:t>protokoll</w:t>
            </w:r>
            <w:r>
              <w:rPr>
                <w:bCs/>
                <w:color w:val="000000"/>
              </w:rPr>
              <w:t xml:space="preserve"> </w:t>
            </w:r>
            <w:r w:rsidR="00DB4629" w:rsidRPr="00DB4629">
              <w:rPr>
                <w:bCs/>
                <w:color w:val="000000"/>
              </w:rPr>
              <w:t>2019/20:</w:t>
            </w:r>
            <w:r w:rsidR="00EF37DB">
              <w:rPr>
                <w:bCs/>
                <w:color w:val="000000"/>
              </w:rPr>
              <w:t>10</w:t>
            </w:r>
            <w:r w:rsidR="00EB1C3E">
              <w:rPr>
                <w:bCs/>
                <w:color w:val="000000"/>
              </w:rPr>
              <w:t>,</w:t>
            </w:r>
            <w:r w:rsidR="00EF37DB">
              <w:rPr>
                <w:bCs/>
                <w:color w:val="000000"/>
              </w:rPr>
              <w:t xml:space="preserve"> besöksprotokoll 2019/10:1 och</w:t>
            </w:r>
            <w:r w:rsidR="00DB4629" w:rsidRPr="00DB4629">
              <w:rPr>
                <w:bCs/>
                <w:color w:val="000000"/>
              </w:rPr>
              <w:t xml:space="preserve"> 2019/20:</w:t>
            </w:r>
            <w:r w:rsidR="00EF37DB">
              <w:rPr>
                <w:bCs/>
                <w:color w:val="000000"/>
              </w:rPr>
              <w:t>2.</w:t>
            </w:r>
          </w:p>
          <w:p w:rsidR="0023385E" w:rsidRPr="00DB4629" w:rsidRDefault="0023385E" w:rsidP="0028244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EF37DB" w:rsidRPr="00ED752A" w:rsidTr="003E0B30">
        <w:trPr>
          <w:trHeight w:val="1157"/>
        </w:trPr>
        <w:tc>
          <w:tcPr>
            <w:tcW w:w="567" w:type="dxa"/>
          </w:tcPr>
          <w:p w:rsidR="00EF37DB" w:rsidRDefault="00EF37DB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C6C78" w:rsidRDefault="00EF37DB" w:rsidP="00DC6C78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</w:t>
            </w:r>
            <w:r w:rsidR="00DC6C78">
              <w:rPr>
                <w:b/>
                <w:bCs/>
                <w:color w:val="000000"/>
              </w:rPr>
              <w:t>en</w:t>
            </w:r>
          </w:p>
          <w:p w:rsidR="00DC6C78" w:rsidRDefault="00DC6C78" w:rsidP="00DC6C78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C6C78" w:rsidRDefault="00DC6C78" w:rsidP="00DC6C78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Utskottet informerades om att:</w:t>
            </w:r>
          </w:p>
          <w:p w:rsidR="00D81613" w:rsidRDefault="00DC6C78" w:rsidP="00DC6C78">
            <w:pPr>
              <w:pStyle w:val="Normalwebb"/>
              <w:spacing w:before="0" w:beforeAutospacing="0" w:after="0" w:afterAutospacing="0"/>
            </w:pPr>
            <w:r>
              <w:t xml:space="preserve">– </w:t>
            </w:r>
            <w:r w:rsidR="00084EB4">
              <w:t>föredragningen kring</w:t>
            </w:r>
            <w:r>
              <w:t xml:space="preserve"> gemensamt åtagande idag</w:t>
            </w:r>
            <w:r w:rsidR="000F7375">
              <w:t xml:space="preserve"> som tidigare anmälts i tidplanen</w:t>
            </w:r>
            <w:r w:rsidR="00084EB4">
              <w:t xml:space="preserve"> flyttas till nytt tillfälle 2020.</w:t>
            </w:r>
          </w:p>
          <w:p w:rsidR="00D81613" w:rsidRDefault="00D81613" w:rsidP="00D81613">
            <w:pPr>
              <w:pStyle w:val="Punktlistabomb"/>
              <w:numPr>
                <w:ilvl w:val="0"/>
                <w:numId w:val="0"/>
              </w:numPr>
            </w:pPr>
            <w:r w:rsidRPr="00D81613">
              <w:rPr>
                <w:sz w:val="24"/>
              </w:rPr>
              <w:t>– Sida, genom GD Carin Jämtin, återkopplat efter sammanträdet den 24 oktober att GD fått uppdaterad information om att uppstarten av Open Aid blir försenad </w:t>
            </w:r>
            <w:hyperlink r:id="rId8" w:history="1">
              <w:r w:rsidRPr="00D81613">
                <w:rPr>
                  <w:rStyle w:val="Hyperlnk"/>
                  <w:color w:val="auto"/>
                  <w:sz w:val="24"/>
                  <w:u w:val="none"/>
                </w:rPr>
                <w:t>till 29/11</w:t>
              </w:r>
            </w:hyperlink>
            <w:r w:rsidRPr="00D8161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084EB4" w:rsidRDefault="00DC6C78" w:rsidP="00930D4A">
            <w:pPr>
              <w:pStyle w:val="Normalwebb"/>
              <w:spacing w:before="0" w:beforeAutospacing="0" w:after="0" w:afterAutospacing="0"/>
            </w:pPr>
            <w:r>
              <w:t>– Inbjudningar till Folk och Försvars Rikskonferens i Sälen 12-14 (hemresa 15) januari 2020 har skickats ut till JuU</w:t>
            </w:r>
            <w:r w:rsidR="00BB0A48">
              <w:t>:s</w:t>
            </w:r>
            <w:r>
              <w:t>, FöU</w:t>
            </w:r>
            <w:r w:rsidR="00BB0A48">
              <w:t>:s</w:t>
            </w:r>
            <w:r>
              <w:t xml:space="preserve"> och UU:s ledamöter i förra veckan. Från kansliet har ordinarie ledamöter fått mail med information om anmälningsförfarandet.</w:t>
            </w:r>
          </w:p>
          <w:p w:rsidR="00930D4A" w:rsidRDefault="00DC6C78" w:rsidP="00DC6C78">
            <w:pPr>
              <w:tabs>
                <w:tab w:val="left" w:pos="284"/>
              </w:tabs>
              <w:contextualSpacing/>
            </w:pPr>
            <w:r>
              <w:t xml:space="preserve"> </w:t>
            </w:r>
          </w:p>
          <w:p w:rsidR="000F7375" w:rsidRDefault="000F7375" w:rsidP="00DC6C78">
            <w:pPr>
              <w:tabs>
                <w:tab w:val="left" w:pos="284"/>
              </w:tabs>
              <w:contextualSpacing/>
            </w:pPr>
            <w:r>
              <w:t>Utskottet påmindes om:</w:t>
            </w:r>
          </w:p>
          <w:p w:rsidR="00084EB4" w:rsidRDefault="000F7375" w:rsidP="000F7375">
            <w:pPr>
              <w:tabs>
                <w:tab w:val="left" w:pos="284"/>
              </w:tabs>
              <w:contextualSpacing/>
              <w:rPr>
                <w:szCs w:val="24"/>
              </w:rPr>
            </w:pPr>
            <w:r>
              <w:t xml:space="preserve">– </w:t>
            </w:r>
            <w:r w:rsidRPr="000F7375">
              <w:rPr>
                <w:szCs w:val="24"/>
              </w:rPr>
              <w:t>Sammansättningen av delegationerna för utskottsresorna vecka 9 och 15, vilken delats på sammanträdesbordet.</w:t>
            </w:r>
          </w:p>
          <w:p w:rsidR="00CD0C7A" w:rsidRDefault="00CD0C7A" w:rsidP="000F7375">
            <w:pPr>
              <w:tabs>
                <w:tab w:val="left" w:pos="284"/>
              </w:tabs>
              <w:contextualSpacing/>
              <w:rPr>
                <w:szCs w:val="24"/>
              </w:rPr>
            </w:pPr>
          </w:p>
          <w:p w:rsidR="0068416B" w:rsidRDefault="0068416B" w:rsidP="000F7375">
            <w:pPr>
              <w:tabs>
                <w:tab w:val="left" w:pos="284"/>
              </w:tabs>
              <w:contextualSpacing/>
              <w:rPr>
                <w:szCs w:val="24"/>
              </w:rPr>
            </w:pPr>
          </w:p>
          <w:p w:rsidR="0068416B" w:rsidRDefault="0068416B" w:rsidP="000F7375">
            <w:pPr>
              <w:tabs>
                <w:tab w:val="left" w:pos="284"/>
              </w:tabs>
              <w:contextualSpacing/>
              <w:rPr>
                <w:szCs w:val="24"/>
              </w:rPr>
            </w:pPr>
          </w:p>
          <w:p w:rsidR="00EF37DB" w:rsidRDefault="000F7375" w:rsidP="000F7375">
            <w:pPr>
              <w:tabs>
                <w:tab w:val="left" w:pos="284"/>
              </w:tabs>
              <w:contextualSpacing/>
              <w:rPr>
                <w:b/>
                <w:bCs/>
                <w:color w:val="000000"/>
              </w:rPr>
            </w:pPr>
            <w:r w:rsidRPr="000F7375">
              <w:rPr>
                <w:szCs w:val="24"/>
              </w:rPr>
              <w:t xml:space="preserve"> </w:t>
            </w: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B4629" w:rsidRPr="008A0EBD" w:rsidRDefault="00DB4629" w:rsidP="00DB46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DB4629" w:rsidRDefault="00DB4629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DB4629" w:rsidRPr="00ED752A" w:rsidTr="003E0B30">
        <w:trPr>
          <w:trHeight w:val="1157"/>
        </w:trPr>
        <w:tc>
          <w:tcPr>
            <w:tcW w:w="567" w:type="dxa"/>
          </w:tcPr>
          <w:p w:rsidR="00DB4629" w:rsidRDefault="00DB4629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6 </w:t>
            </w:r>
          </w:p>
        </w:tc>
        <w:tc>
          <w:tcPr>
            <w:tcW w:w="6947" w:type="dxa"/>
          </w:tcPr>
          <w:p w:rsidR="00BC6500" w:rsidRDefault="00DB4629" w:rsidP="00BC650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Övriga frågor</w:t>
            </w:r>
          </w:p>
          <w:p w:rsidR="00BC6500" w:rsidRDefault="00BC6500" w:rsidP="00084EB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Pr="00BC6500">
              <w:rPr>
                <w:bCs/>
                <w:color w:val="000000"/>
              </w:rPr>
              <w:t xml:space="preserve">Björn Söder (SD) önskade att utskottet kallar regeringen för att få information kring </w:t>
            </w:r>
            <w:r w:rsidR="00084EB4">
              <w:rPr>
                <w:bCs/>
                <w:color w:val="000000"/>
              </w:rPr>
              <w:t>avhjälpande av verkställighetshinder ifråga om utvisning av sex utlänningar enligt Lagen om särskild utlänningskontroll.</w:t>
            </w:r>
            <w:r w:rsidRPr="00BC6500">
              <w:rPr>
                <w:bCs/>
                <w:color w:val="000000"/>
              </w:rPr>
              <w:t xml:space="preserve"> Kanslichefen informera</w:t>
            </w:r>
            <w:r>
              <w:rPr>
                <w:bCs/>
                <w:color w:val="000000"/>
              </w:rPr>
              <w:t>de</w:t>
            </w:r>
            <w:r w:rsidRPr="00BC6500">
              <w:rPr>
                <w:bCs/>
                <w:color w:val="000000"/>
              </w:rPr>
              <w:t xml:space="preserve"> om </w:t>
            </w:r>
            <w:r>
              <w:rPr>
                <w:bCs/>
                <w:color w:val="000000"/>
              </w:rPr>
              <w:t xml:space="preserve">att Lagen om </w:t>
            </w:r>
            <w:r w:rsidR="00084EB4">
              <w:rPr>
                <w:bCs/>
                <w:color w:val="000000"/>
              </w:rPr>
              <w:t xml:space="preserve">särskild </w:t>
            </w:r>
            <w:r>
              <w:rPr>
                <w:bCs/>
                <w:color w:val="000000"/>
              </w:rPr>
              <w:t>utlä</w:t>
            </w:r>
            <w:r w:rsidR="00084EB4">
              <w:rPr>
                <w:bCs/>
                <w:color w:val="000000"/>
              </w:rPr>
              <w:t xml:space="preserve">nningskontroll ligger inom </w:t>
            </w:r>
            <w:r w:rsidRPr="00BC6500">
              <w:rPr>
                <w:bCs/>
                <w:color w:val="000000"/>
              </w:rPr>
              <w:t>justitieutskottet</w:t>
            </w:r>
            <w:r w:rsidR="00084EB4">
              <w:rPr>
                <w:bCs/>
                <w:color w:val="000000"/>
              </w:rPr>
              <w:t>s beredningsområde</w:t>
            </w:r>
            <w:r>
              <w:rPr>
                <w:bCs/>
                <w:color w:val="000000"/>
              </w:rPr>
              <w:t xml:space="preserve"> och därmed </w:t>
            </w:r>
            <w:r w:rsidRPr="00BC6500">
              <w:rPr>
                <w:bCs/>
                <w:color w:val="000000"/>
              </w:rPr>
              <w:t xml:space="preserve">bör </w:t>
            </w:r>
            <w:r>
              <w:rPr>
                <w:bCs/>
                <w:color w:val="000000"/>
              </w:rPr>
              <w:t xml:space="preserve">frågan tas upp med </w:t>
            </w:r>
            <w:r w:rsidRPr="00BC6500">
              <w:rPr>
                <w:bCs/>
                <w:color w:val="000000"/>
              </w:rPr>
              <w:t>justitieutskottet</w:t>
            </w:r>
            <w:r>
              <w:rPr>
                <w:bCs/>
                <w:color w:val="000000"/>
              </w:rPr>
              <w:t xml:space="preserve">. </w:t>
            </w:r>
            <w:r w:rsidRPr="00BC6500">
              <w:rPr>
                <w:bCs/>
                <w:color w:val="000000"/>
              </w:rPr>
              <w:t xml:space="preserve"> </w:t>
            </w:r>
          </w:p>
          <w:p w:rsidR="00084EB4" w:rsidRDefault="00084EB4" w:rsidP="00084EB4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C62D25" w:rsidRPr="00ED752A" w:rsidTr="00D85660">
        <w:trPr>
          <w:trHeight w:val="1299"/>
        </w:trPr>
        <w:tc>
          <w:tcPr>
            <w:tcW w:w="567" w:type="dxa"/>
          </w:tcPr>
          <w:p w:rsidR="00C62D25" w:rsidRPr="001F48B7" w:rsidRDefault="0023385E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7 </w:t>
            </w:r>
          </w:p>
        </w:tc>
        <w:tc>
          <w:tcPr>
            <w:tcW w:w="6947" w:type="dxa"/>
          </w:tcPr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EF37DB" w:rsidRDefault="003E0B30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 w:rsidR="00EF37DB">
              <w:rPr>
                <w:bCs/>
                <w:color w:val="000000"/>
                <w:lang w:eastAsia="en-US"/>
              </w:rPr>
              <w:t>orsdagen d</w:t>
            </w:r>
            <w:r>
              <w:rPr>
                <w:bCs/>
                <w:color w:val="000000"/>
                <w:lang w:eastAsia="en-US"/>
              </w:rPr>
              <w:t>en</w:t>
            </w:r>
          </w:p>
          <w:p w:rsidR="003E0B30" w:rsidRDefault="00EF37DB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 november</w:t>
            </w:r>
            <w:r w:rsidR="0023385E">
              <w:rPr>
                <w:bCs/>
                <w:color w:val="000000"/>
                <w:lang w:eastAsia="en-US"/>
              </w:rPr>
              <w:t xml:space="preserve"> 2</w:t>
            </w:r>
            <w:r w:rsidR="003E0B30" w:rsidRPr="001F48B7">
              <w:rPr>
                <w:bCs/>
                <w:color w:val="000000"/>
                <w:lang w:eastAsia="en-US"/>
              </w:rPr>
              <w:t xml:space="preserve">019 kl. </w:t>
            </w:r>
            <w:r>
              <w:rPr>
                <w:bCs/>
                <w:color w:val="000000"/>
                <w:lang w:eastAsia="en-US"/>
              </w:rPr>
              <w:t>09</w:t>
            </w:r>
            <w:r w:rsidR="003E0B30"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3</w:t>
            </w:r>
            <w:r w:rsidR="003E0B30"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C62D25" w:rsidRPr="0006665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23385E" w:rsidRPr="00ED752A" w:rsidTr="00D85660">
        <w:trPr>
          <w:trHeight w:val="1299"/>
        </w:trPr>
        <w:tc>
          <w:tcPr>
            <w:tcW w:w="567" w:type="dxa"/>
          </w:tcPr>
          <w:p w:rsidR="0023385E" w:rsidRDefault="0023385E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23385E" w:rsidRDefault="0023385E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3385E" w:rsidRDefault="0023385E" w:rsidP="0023385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23385E" w:rsidRPr="001F48B7" w:rsidRDefault="0023385E" w:rsidP="00E01B8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E01B87" w:rsidRPr="00ED752A" w:rsidRDefault="00E01B87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E765AA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E01B87">
              <w:t>7 november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EE4D74" w:rsidRDefault="0023385E" w:rsidP="0023385E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A040A9" w:rsidRDefault="00A040A9" w:rsidP="00A040A9">
      <w:pPr>
        <w:rPr>
          <w:highlight w:val="yellow"/>
        </w:rPr>
      </w:pPr>
    </w:p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11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7053C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7053C">
              <w:rPr>
                <w:sz w:val="18"/>
                <w:szCs w:val="18"/>
              </w:rPr>
              <w:t>§ 1</w:t>
            </w:r>
            <w:r w:rsidR="00A17A9E" w:rsidRPr="00A7053C">
              <w:rPr>
                <w:sz w:val="18"/>
                <w:szCs w:val="18"/>
              </w:rPr>
              <w:t xml:space="preserve"> -</w:t>
            </w:r>
            <w:r w:rsidR="00B954C6" w:rsidRPr="00A7053C">
              <w:rPr>
                <w:sz w:val="18"/>
                <w:szCs w:val="18"/>
              </w:rPr>
              <w:t xml:space="preserve"> </w:t>
            </w:r>
            <w:r w:rsidR="00A7053C" w:rsidRPr="00A7053C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3852AF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A2076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  <w:r w:rsidR="00C0604E" w:rsidRPr="00A7053C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  <w:r w:rsidR="00C0604E" w:rsidRPr="00A7053C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A2076" w:rsidRDefault="00AA2076" w:rsidP="00C0604E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AA2076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  <w:r w:rsidR="00C0604E" w:rsidRPr="00A7053C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A2076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0717B1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A7053C" w:rsidRDefault="000717B1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01B87" w:rsidRDefault="000717B1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6641CD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6641CD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880B42" w:rsidRDefault="000717B1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7B1" w:rsidRPr="00E13B49" w:rsidRDefault="000717B1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0717B1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893E92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A7053C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 w:rsidR="000717B1"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8C1B2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DB3355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7411EB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  <w:r w:rsidR="00C0604E" w:rsidRPr="00A7053C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DB3355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A7053C" w:rsidRDefault="00C0604E" w:rsidP="00C0604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01B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16B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C5C1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365"/>
    <w:rsid w:val="007D0498"/>
    <w:rsid w:val="007D16EF"/>
    <w:rsid w:val="007D51B7"/>
    <w:rsid w:val="007D72D9"/>
    <w:rsid w:val="007E0343"/>
    <w:rsid w:val="007E338F"/>
    <w:rsid w:val="007E388F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70"/>
    <w:rsid w:val="009275F2"/>
    <w:rsid w:val="00930D4A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269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0A48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0C7A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1613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70D8-40A3-4684-BDC7-C455F48B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480</Words>
  <Characters>3654</Characters>
  <Application>Microsoft Office Word</Application>
  <DocSecurity>4</DocSecurity>
  <Lines>1218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2019-09-17T10:24:00Z</cp:lastPrinted>
  <dcterms:created xsi:type="dcterms:W3CDTF">2019-11-12T14:35:00Z</dcterms:created>
  <dcterms:modified xsi:type="dcterms:W3CDTF">2019-11-12T14:35:00Z</dcterms:modified>
</cp:coreProperties>
</file>