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EE3258" w:rsidRDefault="00AF30DD" w14:paraId="5238A55F" w14:textId="77777777">
          <w:pPr>
            <w:pStyle w:val="Rubrik1"/>
            <w:spacing w:after="300"/>
          </w:pPr>
          <w:r w:rsidRPr="009B062B">
            <w:t>Förslag till riksdagsbeslut</w:t>
          </w:r>
        </w:p>
      </w:sdtContent>
    </w:sdt>
    <w:sdt>
      <w:sdtPr>
        <w:alias w:val="Yrkande 1"/>
        <w:tag w:val="d1386812-b356-4c2a-8b40-15de218a3fdd"/>
        <w:id w:val="556211389"/>
        <w:lock w:val="sdtLocked"/>
      </w:sdtPr>
      <w:sdtEndPr/>
      <w:sdtContent>
        <w:p w:rsidR="00262E3D" w:rsidRDefault="0081764A" w14:paraId="5238A560" w14:textId="2C1C9853">
          <w:pPr>
            <w:pStyle w:val="Frslagstext"/>
            <w:numPr>
              <w:ilvl w:val="0"/>
              <w:numId w:val="0"/>
            </w:numPr>
          </w:pPr>
          <w:r>
            <w:t>Riksdagen anvisar anslagen för 2022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1B3C2B" w:rsidR="006D79C9" w:rsidP="00333E95" w:rsidRDefault="006D79C9" w14:paraId="5238A561" w14:textId="77777777">
          <w:pPr>
            <w:pStyle w:val="Rubrik1"/>
          </w:pPr>
          <w:r>
            <w:t>Motivering</w:t>
          </w:r>
        </w:p>
      </w:sdtContent>
    </w:sdt>
    <w:p w:rsidRPr="001B3C2B" w:rsidR="00157714" w:rsidP="007472F7" w:rsidRDefault="00157714" w14:paraId="5238A562" w14:textId="5AD395A2">
      <w:pPr>
        <w:pStyle w:val="Normalutanindragellerluft"/>
        <w:rPr>
          <w:rFonts w:eastAsia="SimSun"/>
        </w:rPr>
      </w:pPr>
      <w:r w:rsidRPr="001B3C2B">
        <w:rPr>
          <w:rFonts w:eastAsia="SimSun"/>
        </w:rPr>
        <w:t xml:space="preserve">Sverige ska vara en aktiv partner på den internationella arenan. Vi ska bidra till fred, </w:t>
      </w:r>
      <w:r w:rsidRPr="00BA7997">
        <w:rPr>
          <w:rFonts w:eastAsia="SimSun"/>
          <w:spacing w:val="-2"/>
        </w:rPr>
        <w:t>säkerhet och utveckling av människors livchanser och rättigheter i världen</w:t>
      </w:r>
      <w:r w:rsidRPr="00BA7997" w:rsidR="003A6337">
        <w:rPr>
          <w:rFonts w:eastAsia="SimSun"/>
          <w:spacing w:val="-2"/>
        </w:rPr>
        <w:t xml:space="preserve"> g</w:t>
      </w:r>
      <w:r w:rsidRPr="00BA7997">
        <w:rPr>
          <w:rFonts w:eastAsia="SimSun"/>
          <w:spacing w:val="-2"/>
        </w:rPr>
        <w:t>enom handel,</w:t>
      </w:r>
      <w:r w:rsidRPr="001B3C2B">
        <w:rPr>
          <w:rFonts w:eastAsia="SimSun"/>
        </w:rPr>
        <w:t xml:space="preserve"> erfarenhetsutbyte, diplomati</w:t>
      </w:r>
      <w:r w:rsidR="003A6337">
        <w:rPr>
          <w:rFonts w:eastAsia="SimSun"/>
        </w:rPr>
        <w:t xml:space="preserve"> och</w:t>
      </w:r>
      <w:r w:rsidRPr="001B3C2B">
        <w:rPr>
          <w:rFonts w:eastAsia="SimSun"/>
        </w:rPr>
        <w:t xml:space="preserve"> bistånd men även med militära insatser. Säkerhet bygger vi tillsammans med andra. Insikten om att det som händer långt borta påverkar oss är uppenbar. Vi ska vara långsiktiga och strategiska i vårt arbete. </w:t>
      </w:r>
    </w:p>
    <w:p w:rsidRPr="001B3C2B" w:rsidR="00157714" w:rsidP="007472F7" w:rsidRDefault="00157714" w14:paraId="5238A563" w14:textId="02205148">
      <w:pPr>
        <w:rPr>
          <w:rFonts w:eastAsia="SimSun"/>
        </w:rPr>
      </w:pPr>
      <w:r w:rsidRPr="001B3C2B">
        <w:rPr>
          <w:rFonts w:eastAsia="SimSun"/>
        </w:rPr>
        <w:t>Den liberala världsordningen är inte utan sina brister men har likväl skapat välstånd, stabilitet och möjligheter för världens stater att lösa gemensamma problem tillsammans. Därför är den värd att kämpa för. Den liberala demokratin är kärnan i Centerpartiets utrikespolitik. Svensk utrikespolitik ska försvara och främja den liberala demokratin. Vi förespråkar en utrikespolitik som försvarar och främjar demokrati och mänskliga rättig</w:t>
      </w:r>
      <w:r w:rsidR="00BA7997">
        <w:rPr>
          <w:rFonts w:eastAsia="SimSun"/>
        </w:rPr>
        <w:softHyphen/>
      </w:r>
      <w:r w:rsidRPr="001B3C2B">
        <w:rPr>
          <w:rFonts w:eastAsia="SimSun"/>
        </w:rPr>
        <w:t>heter, som stöttar rättstatsuppbyggnad, som motverkar korruption, som stärker kvinnors rättigheter och möjligheter och som stärker vårt samarbete med andra demokratier.</w:t>
      </w:r>
    </w:p>
    <w:p w:rsidRPr="001B3C2B" w:rsidR="00157714" w:rsidP="007472F7" w:rsidRDefault="00157714" w14:paraId="5238A564" w14:textId="77777777">
      <w:pPr>
        <w:rPr>
          <w:rFonts w:eastAsia="SimSun"/>
        </w:rPr>
      </w:pPr>
      <w:r w:rsidRPr="001B3C2B">
        <w:rPr>
          <w:rFonts w:eastAsia="SimSun"/>
        </w:rPr>
        <w:t xml:space="preserve">Den multilaterala ordningen som den har utvecklats är inte perfekt fungerande och har utmanats väsentligt de senaste åren men måste försvaras och utvecklas. Den får inte försvagas ytterligare. Vår säkerhet främjas av en förutsägbar internationell ordning. Just nu präglas dock det internationella samarbetet av stor osäkerhet. Diplomatin är alltjämt den första försvarslinjen. </w:t>
      </w:r>
    </w:p>
    <w:p w:rsidRPr="001B3C2B" w:rsidR="00157714" w:rsidP="007472F7" w:rsidRDefault="00157714" w14:paraId="5238A565" w14:textId="2CDAF114">
      <w:pPr>
        <w:rPr>
          <w:rFonts w:eastAsia="SimSun"/>
        </w:rPr>
      </w:pPr>
      <w:r w:rsidRPr="001B3C2B">
        <w:rPr>
          <w:rFonts w:eastAsia="SimSun"/>
        </w:rPr>
        <w:t>Globalt står världen inför nya utmaningar. Det handlar bland annat om nya motsätt</w:t>
      </w:r>
      <w:r w:rsidR="00BA7997">
        <w:rPr>
          <w:rFonts w:eastAsia="SimSun"/>
        </w:rPr>
        <w:softHyphen/>
      </w:r>
      <w:r w:rsidRPr="001B3C2B">
        <w:rPr>
          <w:rFonts w:eastAsia="SimSun"/>
        </w:rPr>
        <w:t xml:space="preserve">ningar mellan stormakter, kärnvapenrustning och effekterna av klimatförändringar samt pandemier som hotar människors trygghet, välstånd och frihet. Korruption sliter sönder samhällen och hämmar positiv utveckling. För att möta detta behöver vi utveckla vårt internationella system och stärka den internationella ordningen. Nationalism, populism, </w:t>
      </w:r>
      <w:r w:rsidRPr="001B3C2B">
        <w:rPr>
          <w:rFonts w:eastAsia="SimSun"/>
        </w:rPr>
        <w:lastRenderedPageBreak/>
        <w:t>terrorism, kamp om resurser och teknik skapar också nya spänningar inom och mellan länder och regioner. Sverige ska inte tystna under auktoritära ledares maktspråk.</w:t>
      </w:r>
    </w:p>
    <w:p w:rsidRPr="001B3C2B" w:rsidR="00157714" w:rsidP="007472F7" w:rsidRDefault="00157714" w14:paraId="5238A566" w14:textId="717609AB">
      <w:pPr>
        <w:rPr>
          <w:rFonts w:eastAsia="SimSun"/>
        </w:rPr>
      </w:pPr>
      <w:r w:rsidRPr="001B3C2B">
        <w:rPr>
          <w:rFonts w:eastAsia="SimSun"/>
        </w:rPr>
        <w:t>Det är Centerpartiets uppfattning att svenska skattepengar inte ska riskera att finan</w:t>
      </w:r>
      <w:r w:rsidR="00BA7997">
        <w:rPr>
          <w:rFonts w:eastAsia="SimSun"/>
        </w:rPr>
        <w:softHyphen/>
      </w:r>
      <w:r w:rsidRPr="001B3C2B">
        <w:rPr>
          <w:rFonts w:eastAsia="SimSun"/>
        </w:rPr>
        <w:t>siera andra länders globala maktambitioner genom exempelvis samarbeten och trans</w:t>
      </w:r>
      <w:r w:rsidR="00BA7997">
        <w:rPr>
          <w:rFonts w:eastAsia="SimSun"/>
        </w:rPr>
        <w:softHyphen/>
      </w:r>
      <w:r w:rsidRPr="001B3C2B">
        <w:rPr>
          <w:rFonts w:eastAsia="SimSun"/>
        </w:rPr>
        <w:t xml:space="preserve">aktioner till olika investeringsbanker, exempelvis Asiatiska utvecklingsbanken (AsDB). I det fall Sverige samarbetar med exempelvis AsDB ska krav alltid ställas på demokrati och mänskliga rättigheter i olika projekt som finansieras, såsom det så kallade </w:t>
      </w:r>
      <w:r w:rsidRPr="001B3C2B">
        <w:rPr>
          <w:rFonts w:eastAsia="SimSun"/>
          <w:i/>
        </w:rPr>
        <w:t>Belt and Road Initiative</w:t>
      </w:r>
      <w:r w:rsidRPr="001B3C2B">
        <w:rPr>
          <w:rFonts w:eastAsia="SimSun"/>
        </w:rPr>
        <w:t xml:space="preserve">, och att inga investeringar görs i till exempel Xinjangs tvångsläger eller i militärdiktaturens Myanmar eller Kambodja. </w:t>
      </w:r>
    </w:p>
    <w:p w:rsidRPr="001B3C2B" w:rsidR="00130EDD" w:rsidP="007472F7" w:rsidRDefault="00157714" w14:paraId="5238A567" w14:textId="212E6133">
      <w:pPr>
        <w:rPr>
          <w:rFonts w:eastAsia="SimSun"/>
        </w:rPr>
      </w:pPr>
      <w:r w:rsidRPr="001B3C2B">
        <w:rPr>
          <w:rFonts w:eastAsia="SimSun"/>
        </w:rPr>
        <w:t>EU och Nato ger ytterst vår gemensamma säkerhet. Den transatlantiska länken är alltjämt viktig. FN och internationell rätt är en hörnpelare för svensk utrikes- och säker</w:t>
      </w:r>
      <w:r w:rsidR="00BA7997">
        <w:rPr>
          <w:rFonts w:eastAsia="SimSun"/>
        </w:rPr>
        <w:softHyphen/>
      </w:r>
      <w:r w:rsidRPr="001B3C2B">
        <w:rPr>
          <w:rFonts w:eastAsia="SimSun"/>
        </w:rPr>
        <w:t>hetspolitik. Vi ser det som naturligt att det nordiska samarbetet fortsätter att utvecklas, inom försvars- och säkerhetspolitiken men också i frågor som rör exempelvis gräns</w:t>
      </w:r>
      <w:r w:rsidR="00BA7997">
        <w:rPr>
          <w:rFonts w:eastAsia="SimSun"/>
        </w:rPr>
        <w:softHyphen/>
      </w:r>
      <w:r w:rsidRPr="001B3C2B">
        <w:rPr>
          <w:rFonts w:eastAsia="SimSun"/>
        </w:rPr>
        <w:t>hinder och de</w:t>
      </w:r>
      <w:r w:rsidR="008418AD">
        <w:rPr>
          <w:rFonts w:eastAsia="SimSun"/>
        </w:rPr>
        <w:t>ra</w:t>
      </w:r>
      <w:r w:rsidRPr="001B3C2B">
        <w:rPr>
          <w:rFonts w:eastAsia="SimSun"/>
        </w:rPr>
        <w:t xml:space="preserve">s konsekvenser för den nordiska arbetsmarknaden. Östliga partnerskapet behöver fortsätta att utvecklas. </w:t>
      </w:r>
    </w:p>
    <w:p w:rsidRPr="007472F7" w:rsidR="0056284C" w:rsidP="007472F7" w:rsidRDefault="0056284C" w14:paraId="5238A568" w14:textId="77777777">
      <w:pPr>
        <w:pStyle w:val="Rubrik2"/>
      </w:pPr>
      <w:r w:rsidRPr="007472F7">
        <w:t>Förslag till anslagsfördelning</w:t>
      </w:r>
    </w:p>
    <w:p w:rsidRPr="007472F7" w:rsidR="006473B2" w:rsidP="007472F7" w:rsidRDefault="006473B2" w14:paraId="5238A569" w14:textId="365CEE05">
      <w:pPr>
        <w:pStyle w:val="Tabellrubrik"/>
        <w:keepNext/>
      </w:pPr>
      <w:bookmarkStart w:name="_Hlk84249409" w:id="1"/>
      <w:r w:rsidRPr="007472F7">
        <w:t>Tabell 1 Centerpartiets förslag till anslag för 20</w:t>
      </w:r>
      <w:r w:rsidRPr="007472F7" w:rsidR="004073F3">
        <w:t>22</w:t>
      </w:r>
      <w:r w:rsidRPr="007472F7">
        <w:t xml:space="preserve"> för utgiftsområde </w:t>
      </w:r>
      <w:r w:rsidRPr="007472F7" w:rsidR="00157714">
        <w:t>5</w:t>
      </w:r>
      <w:r w:rsidRPr="007472F7">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7472F7" w:rsidR="00740690" w:rsidTr="00780DA1" w14:paraId="5238A5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7472F7" w:rsidR="00740690" w:rsidP="00740690" w:rsidRDefault="00740690" w14:paraId="5238A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472F7" w:rsidR="00740690" w:rsidP="00740690" w:rsidRDefault="00740690" w14:paraId="5238A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72F7" w:rsidR="00740690" w:rsidP="00740690" w:rsidRDefault="00740690" w14:paraId="5238A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Avvikelse från regeringen</w:t>
            </w:r>
          </w:p>
        </w:tc>
      </w:tr>
      <w:tr w:rsidRPr="007472F7" w:rsidR="00740690" w:rsidTr="00BA7997" w14:paraId="5238A572"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1 533 554</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77"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181 848</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−144</w:t>
            </w:r>
          </w:p>
        </w:tc>
      </w:tr>
      <w:tr w:rsidRPr="007472F7" w:rsidR="00740690" w:rsidTr="00BA7997" w14:paraId="5238A57C"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13 595</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4 000</w:t>
            </w:r>
          </w:p>
        </w:tc>
      </w:tr>
      <w:tr w:rsidRPr="007472F7" w:rsidR="00740690" w:rsidTr="00BA7997" w14:paraId="5238A581"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86"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52 040</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−65</w:t>
            </w:r>
          </w:p>
        </w:tc>
      </w:tr>
      <w:tr w:rsidRPr="007472F7" w:rsidR="00740690" w:rsidTr="00BA7997" w14:paraId="5238A58B"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Forskning, utredningar och andra insatser rörande säkerhetspolitik, nedrustning och icke-spridning</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79 358</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90"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95"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9A"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131 629</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−181</w:t>
            </w:r>
          </w:p>
        </w:tc>
      </w:tr>
      <w:tr w:rsidRPr="007472F7" w:rsidR="00740690" w:rsidTr="00BA7997" w14:paraId="5238A59F"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A4" w14:textId="77777777">
        <w:trPr>
          <w:trHeight w:val="170"/>
        </w:trPr>
        <w:tc>
          <w:tcPr>
            <w:tcW w:w="340" w:type="dxa"/>
            <w:shd w:val="clear" w:color="auto" w:fill="FFFFFF"/>
            <w:tcMar>
              <w:top w:w="68" w:type="dxa"/>
              <w:left w:w="28" w:type="dxa"/>
              <w:bottom w:w="0" w:type="dxa"/>
              <w:right w:w="28" w:type="dxa"/>
            </w:tcMar>
            <w:hideMark/>
          </w:tcPr>
          <w:p w:rsidRPr="007472F7" w:rsidR="00740690" w:rsidP="00740690" w:rsidRDefault="00740690" w14:paraId="5238A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472F7" w:rsidR="00740690" w:rsidP="00740690" w:rsidRDefault="00740690" w14:paraId="5238A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175 215</w:t>
            </w:r>
          </w:p>
        </w:tc>
        <w:tc>
          <w:tcPr>
            <w:tcW w:w="1418" w:type="dxa"/>
            <w:shd w:val="clear" w:color="auto" w:fill="FFFFFF"/>
            <w:tcMar>
              <w:top w:w="68" w:type="dxa"/>
              <w:left w:w="28" w:type="dxa"/>
              <w:bottom w:w="0" w:type="dxa"/>
              <w:right w:w="28" w:type="dxa"/>
            </w:tcMar>
            <w:vAlign w:val="bottom"/>
            <w:hideMark/>
          </w:tcPr>
          <w:p w:rsidRPr="007472F7" w:rsidR="00740690" w:rsidP="00BA7997" w:rsidRDefault="00740690" w14:paraId="5238A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740690" w:rsidTr="00BA7997" w14:paraId="5238A5A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472F7" w:rsidR="00740690" w:rsidP="00740690" w:rsidRDefault="00740690" w14:paraId="5238A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472F7" w:rsidR="00740690" w:rsidP="00BA7997" w:rsidRDefault="00740690" w14:paraId="5238A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2 235 117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472F7" w:rsidR="00740690" w:rsidP="00BA7997" w:rsidRDefault="00740690" w14:paraId="5238A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3 610</w:t>
            </w:r>
          </w:p>
        </w:tc>
      </w:tr>
    </w:tbl>
    <w:p w:rsidRPr="007472F7" w:rsidR="000E0B16" w:rsidP="007472F7" w:rsidRDefault="0056284C" w14:paraId="5238A5AA" w14:textId="26240205">
      <w:pPr>
        <w:pStyle w:val="Tabellrubrik"/>
        <w:keepNext/>
        <w:spacing w:before="300"/>
      </w:pPr>
      <w:r w:rsidRPr="007472F7">
        <w:t>Tabell 2 Centerpartiets förslag till anslag för 20</w:t>
      </w:r>
      <w:r w:rsidRPr="007472F7" w:rsidR="004073F3">
        <w:t>22</w:t>
      </w:r>
      <w:r w:rsidRPr="007472F7">
        <w:t xml:space="preserve"> till 202</w:t>
      </w:r>
      <w:r w:rsidRPr="007472F7" w:rsidR="004073F3">
        <w:t>4</w:t>
      </w:r>
      <w:r w:rsidRPr="007472F7">
        <w:t xml:space="preserve"> för utgiftsområde </w:t>
      </w:r>
      <w:r w:rsidRPr="007472F7" w:rsidR="00157714">
        <w:t>5</w:t>
      </w:r>
      <w:r w:rsidRPr="007472F7">
        <w:t xml:space="preserve"> uttryckt som differens gentemot regeringens förslag, 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2"/>
        <w:gridCol w:w="4017"/>
        <w:gridCol w:w="1388"/>
        <w:gridCol w:w="1385"/>
        <w:gridCol w:w="1383"/>
      </w:tblGrid>
      <w:tr w:rsidRPr="001B3C2B" w:rsidR="00157714" w:rsidTr="00780DA1" w14:paraId="5238A5AE" w14:textId="77777777">
        <w:trPr>
          <w:trHeight w:val="170"/>
        </w:trPr>
        <w:tc>
          <w:tcPr>
            <w:tcW w:w="33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B3C2B" w:rsidR="00157714" w:rsidP="00157714" w:rsidRDefault="00157714" w14:paraId="5238A5A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i/>
                <w:iCs/>
                <w:color w:val="000000"/>
                <w:kern w:val="0"/>
                <w:sz w:val="18"/>
                <w:szCs w:val="18"/>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B3C2B" w:rsidR="00157714" w:rsidP="00157714" w:rsidRDefault="00157714" w14:paraId="5238A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18"/>
                <w:szCs w:val="18"/>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7472F7" w:rsidR="00157714" w:rsidP="007472F7" w:rsidRDefault="00157714" w14:paraId="5238A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Avvikelse från regeringen</w:t>
            </w:r>
          </w:p>
        </w:tc>
      </w:tr>
      <w:tr w:rsidRPr="001B3C2B" w:rsidR="00157714" w:rsidTr="00780DA1" w14:paraId="5238A5B4" w14:textId="77777777">
        <w:trPr>
          <w:trHeight w:val="170"/>
        </w:trPr>
        <w:tc>
          <w:tcPr>
            <w:tcW w:w="338" w:type="dxa"/>
            <w:tcBorders>
              <w:top w:val="nil"/>
              <w:left w:val="nil"/>
              <w:bottom w:val="single" w:color="auto" w:sz="6" w:space="0"/>
              <w:right w:val="nil"/>
            </w:tcBorders>
            <w:shd w:val="clear" w:color="auto" w:fill="FFFFFF"/>
            <w:tcMar>
              <w:top w:w="0" w:type="dxa"/>
              <w:left w:w="0" w:type="dxa"/>
              <w:bottom w:w="28" w:type="dxa"/>
              <w:right w:w="0" w:type="dxa"/>
            </w:tcMar>
            <w:hideMark/>
          </w:tcPr>
          <w:p w:rsidRPr="001B3C2B" w:rsidR="00157714" w:rsidP="00157714" w:rsidRDefault="00157714" w14:paraId="5238A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Baton turbo" w:hAnsi="Baton turbo" w:eastAsia="Times New Roman" w:cs="Times New Roman"/>
                <w:b/>
                <w:bCs/>
                <w:color w:val="000000"/>
                <w:kern w:val="0"/>
                <w:sz w:val="18"/>
                <w:szCs w:val="18"/>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1B3C2B" w:rsidR="00157714" w:rsidP="00157714" w:rsidRDefault="00157714" w14:paraId="5238A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18"/>
                <w:szCs w:val="18"/>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2024</w:t>
            </w:r>
          </w:p>
        </w:tc>
      </w:tr>
      <w:tr w:rsidRPr="001B3C2B" w:rsidR="00157714" w:rsidTr="00780DA1" w14:paraId="5238A5B6" w14:textId="77777777">
        <w:trPr>
          <w:trHeight w:val="170"/>
        </w:trPr>
        <w:tc>
          <w:tcPr>
            <w:tcW w:w="4139" w:type="dxa"/>
            <w:gridSpan w:val="5"/>
            <w:shd w:val="clear" w:color="auto" w:fill="FFFFFF"/>
            <w:tcMar>
              <w:top w:w="68" w:type="dxa"/>
              <w:left w:w="28" w:type="dxa"/>
              <w:bottom w:w="0" w:type="dxa"/>
              <w:right w:w="28" w:type="dxa"/>
            </w:tcMar>
            <w:hideMark/>
          </w:tcPr>
          <w:p w:rsidRPr="001B3C2B" w:rsidR="00157714" w:rsidP="00157714" w:rsidRDefault="00157714" w14:paraId="5238A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7472F7">
              <w:rPr>
                <w:rFonts w:eastAsia="Times New Roman" w:cstheme="minorHAnsi"/>
                <w:b/>
                <w:bCs/>
                <w:color w:val="000000"/>
                <w:kern w:val="0"/>
                <w:sz w:val="20"/>
                <w:szCs w:val="20"/>
                <w:lang w:eastAsia="sv-SE"/>
                <w14:numSpacing w14:val="default"/>
              </w:rPr>
              <w:t>Utgiftsområde 5 Internationell samverkan</w:t>
            </w:r>
          </w:p>
        </w:tc>
      </w:tr>
      <w:tr w:rsidRPr="007472F7" w:rsidR="00157714" w:rsidTr="00780DA1" w14:paraId="5238A5BC" w14:textId="77777777">
        <w:trPr>
          <w:trHeight w:val="170"/>
        </w:trPr>
        <w:tc>
          <w:tcPr>
            <w:tcW w:w="340" w:type="dxa"/>
            <w:shd w:val="clear" w:color="auto" w:fill="FFFFFF"/>
            <w:tcMar>
              <w:top w:w="68" w:type="dxa"/>
              <w:left w:w="28" w:type="dxa"/>
              <w:bottom w:w="0" w:type="dxa"/>
              <w:right w:w="28" w:type="dxa"/>
            </w:tcMar>
            <w:hideMark/>
          </w:tcPr>
          <w:p w:rsidRPr="007472F7" w:rsidR="00157714" w:rsidP="00157714" w:rsidRDefault="00157714" w14:paraId="5238A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7472F7" w:rsidR="00157714" w:rsidP="00157714" w:rsidRDefault="00157714" w14:paraId="5238A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w:t>
            </w:r>
          </w:p>
        </w:tc>
      </w:tr>
      <w:tr w:rsidRPr="007472F7" w:rsidR="00157714" w:rsidTr="00780DA1" w14:paraId="5238A5C2" w14:textId="77777777">
        <w:trPr>
          <w:trHeight w:val="170"/>
        </w:trPr>
        <w:tc>
          <w:tcPr>
            <w:tcW w:w="340" w:type="dxa"/>
            <w:shd w:val="clear" w:color="auto" w:fill="FFFFFF"/>
            <w:tcMar>
              <w:top w:w="68" w:type="dxa"/>
              <w:left w:w="28" w:type="dxa"/>
              <w:bottom w:w="0" w:type="dxa"/>
              <w:right w:w="28" w:type="dxa"/>
            </w:tcMar>
            <w:hideMark/>
          </w:tcPr>
          <w:p w:rsidRPr="007472F7" w:rsidR="00157714" w:rsidP="00157714" w:rsidRDefault="00157714" w14:paraId="5238A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7472F7" w:rsidR="00157714" w:rsidP="00157714" w:rsidRDefault="00157714" w14:paraId="5238A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4</w:t>
            </w:r>
          </w:p>
        </w:tc>
      </w:tr>
      <w:tr w:rsidRPr="007472F7" w:rsidR="00157714" w:rsidTr="00780DA1" w14:paraId="5238A5C8" w14:textId="77777777">
        <w:trPr>
          <w:trHeight w:val="170"/>
        </w:trPr>
        <w:tc>
          <w:tcPr>
            <w:tcW w:w="340" w:type="dxa"/>
            <w:shd w:val="clear" w:color="auto" w:fill="FFFFFF"/>
            <w:tcMar>
              <w:top w:w="68" w:type="dxa"/>
              <w:left w:w="28" w:type="dxa"/>
              <w:bottom w:w="0" w:type="dxa"/>
              <w:right w:w="28" w:type="dxa"/>
            </w:tcMar>
            <w:hideMark/>
          </w:tcPr>
          <w:p w:rsidRPr="007472F7" w:rsidR="00157714" w:rsidP="00157714" w:rsidRDefault="00157714" w14:paraId="5238A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7472F7" w:rsidR="00157714" w:rsidP="00157714" w:rsidRDefault="00157714" w14:paraId="5238A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r>
      <w:tr w:rsidRPr="007472F7" w:rsidR="00157714" w:rsidTr="00780DA1" w14:paraId="5238A5CE" w14:textId="77777777">
        <w:trPr>
          <w:trHeight w:val="170"/>
        </w:trPr>
        <w:tc>
          <w:tcPr>
            <w:tcW w:w="340" w:type="dxa"/>
            <w:shd w:val="clear" w:color="auto" w:fill="FFFFFF"/>
            <w:tcMar>
              <w:top w:w="68" w:type="dxa"/>
              <w:left w:w="28" w:type="dxa"/>
              <w:bottom w:w="0" w:type="dxa"/>
              <w:right w:w="28" w:type="dxa"/>
            </w:tcMar>
            <w:hideMark/>
          </w:tcPr>
          <w:p w:rsidRPr="007472F7" w:rsidR="00157714" w:rsidP="00157714" w:rsidRDefault="00157714" w14:paraId="5238A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7472F7" w:rsidR="00157714" w:rsidP="00157714" w:rsidRDefault="00157714" w14:paraId="5238A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7472F7" w:rsidR="00157714" w:rsidP="00157714" w:rsidRDefault="00157714" w14:paraId="5238A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472F7">
              <w:rPr>
                <w:rFonts w:eastAsia="Times New Roman" w:cstheme="minorHAnsi"/>
                <w:color w:val="000000"/>
                <w:kern w:val="0"/>
                <w:sz w:val="20"/>
                <w:szCs w:val="20"/>
                <w:lang w:eastAsia="sv-SE"/>
                <w14:numSpacing w14:val="default"/>
              </w:rPr>
              <w:t>−1</w:t>
            </w:r>
          </w:p>
        </w:tc>
      </w:tr>
      <w:tr w:rsidRPr="007472F7" w:rsidR="00157714" w:rsidTr="00780DA1" w14:paraId="5238A5D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B3C2B" w:rsidR="00157714" w:rsidP="00157714" w:rsidRDefault="00157714" w14:paraId="5238A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7472F7">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2F7" w:rsidR="00157714" w:rsidP="00157714" w:rsidRDefault="00157714" w14:paraId="5238A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472F7">
              <w:rPr>
                <w:rFonts w:eastAsia="Times New Roman" w:cstheme="minorHAnsi"/>
                <w:b/>
                <w:bCs/>
                <w:color w:val="000000"/>
                <w:kern w:val="0"/>
                <w:sz w:val="20"/>
                <w:szCs w:val="20"/>
                <w:lang w:eastAsia="sv-SE"/>
                <w14:numSpacing w14:val="default"/>
              </w:rPr>
              <w:t>3</w:t>
            </w:r>
          </w:p>
        </w:tc>
      </w:tr>
    </w:tbl>
    <w:p w:rsidRPr="007472F7" w:rsidR="0056284C" w:rsidP="007472F7" w:rsidRDefault="0056284C" w14:paraId="5238A5D4" w14:textId="77777777">
      <w:pPr>
        <w:pStyle w:val="Rubrik2"/>
      </w:pPr>
      <w:bookmarkStart w:name="_Toc84233842" w:id="2"/>
      <w:r w:rsidRPr="007472F7">
        <w:lastRenderedPageBreak/>
        <w:t>Centerpartiets överväganden</w:t>
      </w:r>
      <w:bookmarkEnd w:id="2"/>
    </w:p>
    <w:p w:rsidRPr="001B3C2B" w:rsidR="00157714" w:rsidP="007472F7" w:rsidRDefault="00157714" w14:paraId="5238A5D5" w14:textId="2422CF86">
      <w:pPr>
        <w:pStyle w:val="Normalutanindragellerluft"/>
        <w:rPr>
          <w:rFonts w:eastAsia="SimSun"/>
        </w:rPr>
      </w:pPr>
      <w:r w:rsidRPr="001B3C2B">
        <w:rPr>
          <w:rFonts w:eastAsia="SimSun"/>
        </w:rPr>
        <w:t>Spridningen av sjukdomen covid-19 satte det nordiska samarbetet under hård press. Koordineringen mellan länderna och informationen till gränspendlare fungerade inte tillfredsställande. Framöver är det viktigt att det nordiska samarbetet fördjupas. En viktig del i detta samarbete, som möjliggör mer integrerade arbetsmarknadsregioner, är de så kallade gränsinformationscentren. Dessa bedriver viktig verksamhet, som dock saknar långsiktig finansiering. I syfte att stärka dessa gränsinformationscenter föreslås anslag 1:3 öka med 4</w:t>
      </w:r>
      <w:r w:rsidR="008418AD">
        <w:rPr>
          <w:rFonts w:eastAsia="SimSun"/>
        </w:rPr>
        <w:t> </w:t>
      </w:r>
      <w:r w:rsidRPr="001B3C2B">
        <w:rPr>
          <w:rFonts w:eastAsia="SimSun"/>
        </w:rPr>
        <w:t>miljoner kronor år 2022. Av samma anledning beräknas anslaget öka med 4</w:t>
      </w:r>
      <w:r w:rsidR="008418AD">
        <w:rPr>
          <w:rFonts w:eastAsia="SimSun"/>
        </w:rPr>
        <w:t> </w:t>
      </w:r>
      <w:r w:rsidRPr="001B3C2B">
        <w:rPr>
          <w:rFonts w:eastAsia="SimSun"/>
        </w:rPr>
        <w:t xml:space="preserve">miljoner kronor per år 2023–2024. Övriga berörda länder bör uppmanas att bidra till förstärkningen i motsvarande grad. </w:t>
      </w:r>
    </w:p>
    <w:p w:rsidRPr="001B3C2B" w:rsidR="00853ABF" w:rsidP="007472F7" w:rsidRDefault="00157714" w14:paraId="5238A5D6" w14:textId="77777777">
      <w:pPr>
        <w:rPr>
          <w:rFonts w:eastAsia="SimSun"/>
        </w:rPr>
      </w:pPr>
      <w:r w:rsidRPr="001B3C2B">
        <w:rPr>
          <w:rFonts w:eastAsia="SimSun"/>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42F59EA6CEE64BDFA0FD17EB8CDA8258"/>
        </w:placeholder>
      </w:sdtPr>
      <w:sdtEndPr/>
      <w:sdtContent>
        <w:p w:rsidR="00EE3258" w:rsidP="001B3C2B" w:rsidRDefault="00EE3258" w14:paraId="5238A5D9" w14:textId="77777777"/>
        <w:p w:rsidRPr="008E0FE2" w:rsidR="004801AC" w:rsidP="001B3C2B" w:rsidRDefault="00BA7997" w14:paraId="5238A5DA" w14:textId="77777777"/>
      </w:sdtContent>
    </w:sdt>
    <w:tbl>
      <w:tblPr>
        <w:tblW w:w="5000" w:type="pct"/>
        <w:tblLook w:val="04A0" w:firstRow="1" w:lastRow="0" w:firstColumn="1" w:lastColumn="0" w:noHBand="0" w:noVBand="1"/>
        <w:tblCaption w:val="underskrifter"/>
      </w:tblPr>
      <w:tblGrid>
        <w:gridCol w:w="4252"/>
        <w:gridCol w:w="4252"/>
      </w:tblGrid>
      <w:tr w:rsidR="004C4E8A" w14:paraId="75BED7EE" w14:textId="77777777">
        <w:trPr>
          <w:cantSplit/>
        </w:trPr>
        <w:tc>
          <w:tcPr>
            <w:tcW w:w="50" w:type="pct"/>
            <w:vAlign w:val="bottom"/>
          </w:tcPr>
          <w:p w:rsidR="004C4E8A" w:rsidRDefault="008418AD" w14:paraId="502DDA34" w14:textId="77777777">
            <w:pPr>
              <w:pStyle w:val="Underskrifter"/>
            </w:pPr>
            <w:r>
              <w:t>Kerstin Lundgren (C)</w:t>
            </w:r>
          </w:p>
        </w:tc>
        <w:tc>
          <w:tcPr>
            <w:tcW w:w="50" w:type="pct"/>
            <w:vAlign w:val="bottom"/>
          </w:tcPr>
          <w:p w:rsidR="004C4E8A" w:rsidRDefault="004C4E8A" w14:paraId="0A18D562" w14:textId="77777777">
            <w:pPr>
              <w:pStyle w:val="Underskrifter"/>
            </w:pPr>
          </w:p>
        </w:tc>
      </w:tr>
      <w:tr w:rsidR="004C4E8A" w14:paraId="22949599" w14:textId="77777777">
        <w:trPr>
          <w:cantSplit/>
        </w:trPr>
        <w:tc>
          <w:tcPr>
            <w:tcW w:w="50" w:type="pct"/>
            <w:vAlign w:val="bottom"/>
          </w:tcPr>
          <w:p w:rsidR="004C4E8A" w:rsidRDefault="008418AD" w14:paraId="356EC2AB" w14:textId="77777777">
            <w:pPr>
              <w:pStyle w:val="Underskrifter"/>
              <w:spacing w:after="0"/>
            </w:pPr>
            <w:r>
              <w:t>Magnus Ek (C)</w:t>
            </w:r>
          </w:p>
        </w:tc>
        <w:tc>
          <w:tcPr>
            <w:tcW w:w="50" w:type="pct"/>
            <w:vAlign w:val="bottom"/>
          </w:tcPr>
          <w:p w:rsidR="004C4E8A" w:rsidRDefault="008418AD" w14:paraId="752EE1AD" w14:textId="77777777">
            <w:pPr>
              <w:pStyle w:val="Underskrifter"/>
              <w:spacing w:after="0"/>
            </w:pPr>
            <w:r>
              <w:t>Linda Modig (C)</w:t>
            </w:r>
          </w:p>
        </w:tc>
      </w:tr>
      <w:tr w:rsidR="004C4E8A" w14:paraId="44D10248" w14:textId="77777777">
        <w:trPr>
          <w:cantSplit/>
        </w:trPr>
        <w:tc>
          <w:tcPr>
            <w:tcW w:w="50" w:type="pct"/>
            <w:vAlign w:val="bottom"/>
          </w:tcPr>
          <w:p w:rsidR="004C4E8A" w:rsidRDefault="008418AD" w14:paraId="393BC9DA" w14:textId="77777777">
            <w:pPr>
              <w:pStyle w:val="Underskrifter"/>
              <w:spacing w:after="0"/>
            </w:pPr>
            <w:r>
              <w:t>Lars Thomsson (C)</w:t>
            </w:r>
          </w:p>
        </w:tc>
        <w:tc>
          <w:tcPr>
            <w:tcW w:w="50" w:type="pct"/>
            <w:vAlign w:val="bottom"/>
          </w:tcPr>
          <w:p w:rsidR="004C4E8A" w:rsidRDefault="008418AD" w14:paraId="45BB7DAC" w14:textId="77777777">
            <w:pPr>
              <w:pStyle w:val="Underskrifter"/>
              <w:spacing w:after="0"/>
            </w:pPr>
            <w:r>
              <w:t>Daniel Bäckström (C)</w:t>
            </w:r>
          </w:p>
        </w:tc>
      </w:tr>
    </w:tbl>
    <w:p w:rsidR="00FA5535" w:rsidRDefault="00FA5535" w14:paraId="5238A5E4" w14:textId="77777777"/>
    <w:sectPr w:rsidR="00FA55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A5E6" w14:textId="77777777" w:rsidR="000E0B16" w:rsidRDefault="000E0B16" w:rsidP="000C1CAD">
      <w:pPr>
        <w:spacing w:line="240" w:lineRule="auto"/>
      </w:pPr>
      <w:r>
        <w:separator/>
      </w:r>
    </w:p>
  </w:endnote>
  <w:endnote w:type="continuationSeparator" w:id="0">
    <w:p w14:paraId="5238A5E7"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F5" w14:textId="77777777" w:rsidR="00262EA3" w:rsidRPr="001B3C2B" w:rsidRDefault="00262EA3" w:rsidP="001B3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A5E4" w14:textId="77777777" w:rsidR="000E0B16" w:rsidRDefault="000E0B16" w:rsidP="000C1CAD">
      <w:pPr>
        <w:spacing w:line="240" w:lineRule="auto"/>
      </w:pPr>
      <w:r>
        <w:separator/>
      </w:r>
    </w:p>
  </w:footnote>
  <w:footnote w:type="continuationSeparator" w:id="0">
    <w:p w14:paraId="5238A5E5"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8A5F6" wp14:editId="5238A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8A5FA" w14:textId="77777777" w:rsidR="00262EA3" w:rsidRDefault="00BA7997"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8A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8A5FA" w14:textId="77777777" w:rsidR="00262EA3" w:rsidRDefault="00BA7997"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5238A5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EA" w14:textId="77777777" w:rsidR="00262EA3" w:rsidRDefault="00262EA3" w:rsidP="008563AC">
    <w:pPr>
      <w:jc w:val="right"/>
    </w:pPr>
  </w:p>
  <w:p w14:paraId="5238A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5EE" w14:textId="77777777" w:rsidR="00262EA3" w:rsidRDefault="00BA7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38A5F8" wp14:editId="5238A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38A5EF" w14:textId="77777777" w:rsidR="00262EA3" w:rsidRDefault="00BA7997" w:rsidP="00A314CF">
    <w:pPr>
      <w:pStyle w:val="FSHNormal"/>
      <w:spacing w:before="40"/>
    </w:pPr>
    <w:sdt>
      <w:sdtPr>
        <w:alias w:val="CC_Noformat_Motionstyp"/>
        <w:tag w:val="CC_Noformat_Motionstyp"/>
        <w:id w:val="1162973129"/>
        <w:lock w:val="sdtContentLocked"/>
        <w15:appearance w15:val="hidden"/>
        <w:text/>
      </w:sdtPr>
      <w:sdtEndPr/>
      <w:sdtContent>
        <w:r w:rsidR="003761F5">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5238A5F0" w14:textId="77777777" w:rsidR="00262EA3" w:rsidRPr="008227B3" w:rsidRDefault="00BA7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8A5F1" w14:textId="77777777" w:rsidR="00262EA3" w:rsidRPr="008227B3" w:rsidRDefault="00BA7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61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61F5">
          <w:t>:4144</w:t>
        </w:r>
      </w:sdtContent>
    </w:sdt>
  </w:p>
  <w:p w14:paraId="5238A5F2" w14:textId="77777777" w:rsidR="00262EA3" w:rsidRDefault="00BA7997"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3761F5">
          <w:t>av Kerstin Lundgren m.fl. (C)</w:t>
        </w:r>
      </w:sdtContent>
    </w:sdt>
  </w:p>
  <w:sdt>
    <w:sdtPr>
      <w:alias w:val="CC_Noformat_Rubtext"/>
      <w:tag w:val="CC_Noformat_Rubtext"/>
      <w:id w:val="-218060500"/>
      <w:lock w:val="sdtLocked"/>
      <w:text/>
    </w:sdtPr>
    <w:sdtEndPr/>
    <w:sdtContent>
      <w:p w14:paraId="5238A5F3" w14:textId="77777777" w:rsidR="00262EA3" w:rsidRDefault="00157714"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5238A5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2B"/>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3D"/>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1F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37"/>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F3"/>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8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2F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A1"/>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4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AD"/>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9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5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35"/>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38A55E"/>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F59EA6CEE64BDFA0FD17EB8CDA8258"/>
        <w:category>
          <w:name w:val="Allmänt"/>
          <w:gallery w:val="placeholder"/>
        </w:category>
        <w:types>
          <w:type w:val="bbPlcHdr"/>
        </w:types>
        <w:behaviors>
          <w:behavior w:val="content"/>
        </w:behaviors>
        <w:guid w:val="{D8F27137-5CAF-4C01-ACDD-BFF27B82001A}"/>
      </w:docPartPr>
      <w:docPartBody>
        <w:p w:rsidR="00AE3936" w:rsidRDefault="00AE39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AE3936"/>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BDFD4-3A7E-4D86-A553-0E909A9828CC}"/>
</file>

<file path=customXml/itemProps2.xml><?xml version="1.0" encoding="utf-8"?>
<ds:datastoreItem xmlns:ds="http://schemas.openxmlformats.org/officeDocument/2006/customXml" ds:itemID="{2B19DDC8-92E8-4F95-BE20-BCF7A7C6497D}"/>
</file>

<file path=customXml/itemProps3.xml><?xml version="1.0" encoding="utf-8"?>
<ds:datastoreItem xmlns:ds="http://schemas.openxmlformats.org/officeDocument/2006/customXml" ds:itemID="{86BC5DFA-7356-48FC-A60D-A1AF4023FB91}"/>
</file>

<file path=docProps/app.xml><?xml version="1.0" encoding="utf-8"?>
<Properties xmlns="http://schemas.openxmlformats.org/officeDocument/2006/extended-properties" xmlns:vt="http://schemas.openxmlformats.org/officeDocument/2006/docPropsVTypes">
  <Template>Normal</Template>
  <TotalTime>34</TotalTime>
  <Pages>3</Pages>
  <Words>768</Words>
  <Characters>4789</Characters>
  <Application>Microsoft Office Word</Application>
  <DocSecurity>0</DocSecurity>
  <Lines>154</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5442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