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E0E65">
        <w:tblPrEx>
          <w:tblCellMar>
            <w:top w:w="0" w:type="dxa"/>
            <w:left w:w="0" w:type="dxa"/>
            <w:bottom w:w="0" w:type="dxa"/>
            <w:right w:w="0" w:type="dxa"/>
          </w:tblCellMar>
        </w:tblPrEx>
        <w:trPr>
          <w:gridAfter w:val="2"/>
          <w:wAfter w:w="1758" w:type="dxa"/>
          <w:cantSplit/>
          <w:trHeight w:val="1320"/>
        </w:trPr>
        <w:tc>
          <w:tcPr>
            <w:tcW w:w="5897" w:type="dxa"/>
          </w:tcPr>
          <w:p w:rsidR="00FE0E65" w:rsidRPr="00FE0E65" w:rsidRDefault="00FE0E65">
            <w:pPr>
              <w:pStyle w:val="HuvudRubrik"/>
            </w:pPr>
            <w:r w:rsidRPr="00FE0E65">
              <w:t>Regeringskansliet</w:t>
            </w:r>
          </w:p>
          <w:p w:rsidR="00FE0E65" w:rsidRPr="00FE0E65" w:rsidRDefault="00FE0E65">
            <w:pPr>
              <w:pStyle w:val="HuvudRubrik"/>
            </w:pPr>
            <w:r w:rsidRPr="00FE0E65">
              <w:t>Faktapromemoria  2008/09:FPM47</w:t>
            </w:r>
          </w:p>
        </w:tc>
      </w:tr>
      <w:tr w:rsidR="00000000" w:rsidRPr="00FE0E65">
        <w:tblPrEx>
          <w:tblCellMar>
            <w:top w:w="0" w:type="dxa"/>
            <w:left w:w="0" w:type="dxa"/>
            <w:bottom w:w="0" w:type="dxa"/>
            <w:right w:w="0" w:type="dxa"/>
          </w:tblCellMar>
        </w:tblPrEx>
        <w:trPr>
          <w:gridAfter w:val="2"/>
          <w:wAfter w:w="1758" w:type="dxa"/>
          <w:cantSplit/>
          <w:trHeight w:val="240"/>
        </w:trPr>
        <w:tc>
          <w:tcPr>
            <w:tcW w:w="5897" w:type="dxa"/>
          </w:tcPr>
          <w:p w:rsidR="00FE0E65" w:rsidRPr="00FE0E65" w:rsidRDefault="00FE0E65">
            <w:pPr>
              <w:pStyle w:val="HuvudRubrik"/>
              <w:rPr>
                <w:sz w:val="28"/>
              </w:rPr>
            </w:pPr>
            <w:r w:rsidRPr="00FE0E65">
              <w:t>Ändringar i de bolagsrättsliga direktiven om fusion mm</w:t>
            </w:r>
          </w:p>
        </w:tc>
      </w:tr>
      <w:tr w:rsidR="00000000" w:rsidRPr="00FE0E65">
        <w:tblPrEx>
          <w:tblCellMar>
            <w:top w:w="0" w:type="dxa"/>
            <w:left w:w="0" w:type="dxa"/>
            <w:bottom w:w="0" w:type="dxa"/>
            <w:right w:w="0" w:type="dxa"/>
          </w:tblCellMar>
        </w:tblPrEx>
        <w:trPr>
          <w:cantSplit/>
          <w:trHeight w:val="285"/>
        </w:trPr>
        <w:tc>
          <w:tcPr>
            <w:tcW w:w="7655" w:type="dxa"/>
            <w:gridSpan w:val="3"/>
          </w:tcPr>
          <w:p w:rsidR="00FE0E65" w:rsidRPr="00FE0E65" w:rsidRDefault="00FE0E65">
            <w:pPr>
              <w:pStyle w:val="Departement"/>
              <w:rPr>
                <w:sz w:val="28"/>
              </w:rPr>
            </w:pPr>
            <w:r w:rsidRPr="00FE0E65">
              <w:t>Justitiedepartementet</w:t>
            </w:r>
          </w:p>
        </w:tc>
      </w:tr>
      <w:tr w:rsidR="00000000" w:rsidRPr="00FE0E65">
        <w:tblPrEx>
          <w:tblCellMar>
            <w:top w:w="0" w:type="dxa"/>
            <w:left w:w="0" w:type="dxa"/>
            <w:bottom w:w="0" w:type="dxa"/>
            <w:right w:w="0" w:type="dxa"/>
          </w:tblCellMar>
        </w:tblPrEx>
        <w:trPr>
          <w:cantSplit/>
          <w:trHeight w:val="240"/>
        </w:trPr>
        <w:tc>
          <w:tcPr>
            <w:tcW w:w="7655" w:type="dxa"/>
            <w:gridSpan w:val="3"/>
          </w:tcPr>
          <w:p w:rsidR="00FE0E65" w:rsidRPr="00FE0E65" w:rsidRDefault="00FE0E65">
            <w:pPr>
              <w:pStyle w:val="Dokumentdatum"/>
            </w:pPr>
            <w:r w:rsidRPr="00FE0E65">
              <w:t>2008-12-11</w:t>
            </w:r>
          </w:p>
        </w:tc>
      </w:tr>
      <w:tr w:rsidR="00000000" w:rsidRPr="00FE0E65">
        <w:tblPrEx>
          <w:tblCellMar>
            <w:top w:w="0" w:type="dxa"/>
            <w:left w:w="0" w:type="dxa"/>
            <w:bottom w:w="0" w:type="dxa"/>
            <w:right w:w="0" w:type="dxa"/>
          </w:tblCellMar>
        </w:tblPrEx>
        <w:trPr>
          <w:cantSplit/>
          <w:trHeight w:val="726"/>
        </w:trPr>
        <w:tc>
          <w:tcPr>
            <w:tcW w:w="7655" w:type="dxa"/>
            <w:gridSpan w:val="3"/>
            <w:vAlign w:val="bottom"/>
          </w:tcPr>
          <w:p w:rsidR="00FE0E65" w:rsidRPr="00FE0E65" w:rsidRDefault="00FE0E65">
            <w:pPr>
              <w:pStyle w:val="Dokumentbeteckning"/>
            </w:pPr>
            <w:r w:rsidRPr="00FE0E65">
              <w:t>Dokumentbeteckning</w:t>
            </w:r>
          </w:p>
        </w:tc>
      </w:tr>
      <w:tr w:rsidR="00000000" w:rsidRPr="00FE0E65">
        <w:tblPrEx>
          <w:tblCellMar>
            <w:top w:w="0" w:type="dxa"/>
            <w:left w:w="0" w:type="dxa"/>
            <w:bottom w:w="0" w:type="dxa"/>
            <w:right w:w="0" w:type="dxa"/>
          </w:tblCellMar>
        </w:tblPrEx>
        <w:trPr>
          <w:gridAfter w:val="1"/>
          <w:wAfter w:w="1560" w:type="dxa"/>
          <w:trHeight w:val="120"/>
        </w:trPr>
        <w:tc>
          <w:tcPr>
            <w:tcW w:w="6095" w:type="dxa"/>
            <w:gridSpan w:val="2"/>
          </w:tcPr>
          <w:p w:rsidR="00FE0E65" w:rsidRPr="00FE0E65" w:rsidRDefault="00FE0E65">
            <w:bookmarkStart w:id="0" w:name="KomNr"/>
            <w:bookmarkEnd w:id="0"/>
            <w:r w:rsidRPr="00FE0E65">
              <w:t>KOM (2008) 576 slutlig</w:t>
            </w:r>
          </w:p>
        </w:tc>
      </w:tr>
      <w:tr w:rsidR="00000000" w:rsidRPr="00FE0E65">
        <w:tblPrEx>
          <w:tblCellMar>
            <w:top w:w="0" w:type="dxa"/>
            <w:left w:w="0" w:type="dxa"/>
            <w:bottom w:w="0" w:type="dxa"/>
            <w:right w:w="0" w:type="dxa"/>
          </w:tblCellMar>
        </w:tblPrEx>
        <w:trPr>
          <w:gridAfter w:val="1"/>
          <w:wAfter w:w="1560" w:type="dxa"/>
          <w:trHeight w:val="120"/>
        </w:trPr>
        <w:tc>
          <w:tcPr>
            <w:tcW w:w="6095" w:type="dxa"/>
            <w:gridSpan w:val="2"/>
          </w:tcPr>
          <w:p w:rsidR="00FE0E65" w:rsidRPr="00FE0E65" w:rsidRDefault="00FE0E65">
            <w:pPr>
              <w:pStyle w:val="Dokumentbeteckning-titel"/>
            </w:pPr>
            <w:r w:rsidRPr="00FE0E65">
              <w:t>Förslag till Europaparlamentets och rådets direktiv om ändring av rådets direktiv 77/91/EEG, 78/855/EEG och 82/891/EEG och av direktiv 2005/56/EG beträffande rapporterings- och dokumentationskrav i samband med fusioner och delningar</w:t>
            </w:r>
          </w:p>
        </w:tc>
      </w:tr>
    </w:tbl>
    <w:p w:rsidR="00FE0E65" w:rsidRPr="00FE0E65" w:rsidRDefault="00FE0E65">
      <w:pPr>
        <w:pStyle w:val="Rubrik1"/>
        <w:numPr>
          <w:ilvl w:val="0"/>
          <w:numId w:val="0"/>
        </w:numPr>
      </w:pPr>
      <w:r w:rsidRPr="00FE0E65">
        <w:t>Sammanfattning</w:t>
      </w:r>
    </w:p>
    <w:p w:rsidR="00FE0E65" w:rsidRPr="00FE0E65" w:rsidRDefault="00FE0E65">
      <w:r w:rsidRPr="00FE0E65">
        <w:t>EU-kommissionen arbetar för att åstadkomma regel</w:t>
      </w:r>
      <w:r w:rsidRPr="00FE0E65">
        <w:softHyphen/>
        <w:t>förenklingar för euro</w:t>
      </w:r>
      <w:r w:rsidRPr="00FE0E65">
        <w:softHyphen/>
        <w:t>peiska företag (främst aktiebolag). Direktivet är ett led i detta arbete och inne</w:t>
      </w:r>
      <w:r w:rsidRPr="00FE0E65">
        <w:softHyphen/>
        <w:t>håller förslag till åtgärder på bolags</w:t>
      </w:r>
      <w:r w:rsidRPr="00FE0E65">
        <w:softHyphen/>
        <w:t>rättens område. Förslaget berör bl.a. skyldigheten att låta upprätta handlingar inför stämmans beslut om fusion eller delning, offentliggörandet av fusionsplaner och delningsplaner samt möj</w:t>
      </w:r>
      <w:r w:rsidRPr="00FE0E65">
        <w:softHyphen/>
        <w:t>lig</w:t>
      </w:r>
      <w:r w:rsidRPr="00FE0E65">
        <w:softHyphen/>
        <w:t>heten att använda ett förenklat förfarande vid fusion med ett dotter</w:t>
      </w:r>
      <w:r w:rsidRPr="00FE0E65">
        <w:softHyphen/>
        <w:t>bolag. Avsikten är att förslagen ska behandlas skynd</w:t>
      </w:r>
      <w:r w:rsidRPr="00FE0E65">
        <w:softHyphen/>
        <w:t>samt.</w:t>
      </w:r>
    </w:p>
    <w:p w:rsidR="00FE0E65" w:rsidRPr="00FE0E65" w:rsidRDefault="00FE0E65">
      <w:r w:rsidRPr="00FE0E65">
        <w:t>Regeringen anser att förslaget är bra.</w:t>
      </w:r>
    </w:p>
    <w:p w:rsidR="00FE0E65" w:rsidRPr="00FE0E65" w:rsidRDefault="00FE0E65">
      <w:pPr>
        <w:pStyle w:val="Rubrik1"/>
      </w:pPr>
      <w:r w:rsidRPr="00FE0E65">
        <w:t>Förslaget</w:t>
      </w:r>
    </w:p>
    <w:p w:rsidR="00FE0E65" w:rsidRPr="00FE0E65" w:rsidRDefault="00FE0E65">
      <w:pPr>
        <w:pStyle w:val="Rubrik2"/>
      </w:pPr>
      <w:r w:rsidRPr="00FE0E65">
        <w:t>Ärendets bakgrund</w:t>
      </w:r>
    </w:p>
    <w:p w:rsidR="00FE0E65" w:rsidRPr="00FE0E65" w:rsidRDefault="00FE0E65">
      <w:r w:rsidRPr="00FE0E65">
        <w:t>EU-kommissionen har antagit en handlingsplan för minskning av den admin</w:t>
      </w:r>
      <w:r w:rsidRPr="00FE0E65">
        <w:softHyphen/>
        <w:t>istrativa bördan för företag inom EU och mätningar av företagens admin</w:t>
      </w:r>
      <w:r w:rsidRPr="00FE0E65">
        <w:softHyphen/>
        <w:t>istr</w:t>
      </w:r>
      <w:r w:rsidRPr="00FE0E65">
        <w:softHyphen/>
        <w:t>at</w:t>
      </w:r>
      <w:r w:rsidRPr="00FE0E65">
        <w:softHyphen/>
        <w:t>iva börda har inletts. Kommissionen har vidare antagit ett med</w:t>
      </w:r>
      <w:r w:rsidRPr="00FE0E65">
        <w:softHyphen/>
        <w:t>del</w:t>
      </w:r>
      <w:r w:rsidRPr="00FE0E65">
        <w:softHyphen/>
        <w:t>ande om ett förenklat företags</w:t>
      </w:r>
      <w:r w:rsidRPr="00FE0E65">
        <w:softHyphen/>
        <w:t>klimat på områdena bolagsrätt, redo</w:t>
      </w:r>
      <w:r w:rsidRPr="00FE0E65">
        <w:softHyphen/>
        <w:t>visning och revision (KOM [2007] 394 slutlig, se faktapromemoria 2006/07:FPM114). Kom</w:t>
      </w:r>
      <w:r w:rsidRPr="00FE0E65">
        <w:softHyphen/>
        <w:t>mis</w:t>
      </w:r>
      <w:r w:rsidRPr="00FE0E65">
        <w:softHyphen/>
        <w:t>sion</w:t>
      </w:r>
      <w:r w:rsidRPr="00FE0E65">
        <w:softHyphen/>
        <w:t>en anför i med</w:t>
      </w:r>
      <w:r w:rsidRPr="00FE0E65">
        <w:softHyphen/>
        <w:t>del</w:t>
      </w:r>
      <w:r w:rsidRPr="00FE0E65">
        <w:softHyphen/>
        <w:t xml:space="preserve">andet att en bred översyn av EU:s regelverk på </w:t>
      </w:r>
      <w:r w:rsidRPr="00FE0E65">
        <w:t>områd</w:t>
      </w:r>
      <w:r w:rsidRPr="00FE0E65">
        <w:softHyphen/>
        <w:t>ena bolags</w:t>
      </w:r>
      <w:r w:rsidRPr="00FE0E65">
        <w:softHyphen/>
        <w:t>rätt, redo</w:t>
      </w:r>
      <w:r w:rsidRPr="00FE0E65">
        <w:softHyphen/>
        <w:t>vis</w:t>
      </w:r>
      <w:r w:rsidRPr="00FE0E65">
        <w:softHyphen/>
        <w:t>ning och revision</w:t>
      </w:r>
      <w:r w:rsidRPr="00FE0E65">
        <w:t xml:space="preserve"> är absolut nödvändig för att ge de euro</w:t>
      </w:r>
      <w:r w:rsidRPr="00FE0E65">
        <w:softHyphen/>
      </w:r>
      <w:r w:rsidRPr="00FE0E65">
        <w:softHyphen/>
        <w:t>peiska företagen möjligheter att bli mer konku</w:t>
      </w:r>
      <w:r w:rsidRPr="00FE0E65">
        <w:t>rrenskraftiga och fram</w:t>
      </w:r>
      <w:r w:rsidRPr="00FE0E65">
        <w:softHyphen/>
        <w:t>gångs</w:t>
      </w:r>
      <w:r w:rsidRPr="00FE0E65">
        <w:softHyphen/>
        <w:t>rika i en starkt kon</w:t>
      </w:r>
      <w:r w:rsidRPr="00FE0E65">
        <w:softHyphen/>
        <w:t>kurr</w:t>
      </w:r>
      <w:r w:rsidRPr="00FE0E65">
        <w:softHyphen/>
        <w:t>ens</w:t>
      </w:r>
      <w:r w:rsidRPr="00FE0E65">
        <w:softHyphen/>
        <w:t>utsatt global miljö.</w:t>
      </w:r>
    </w:p>
    <w:p w:rsidR="00FE0E65" w:rsidRPr="00FE0E65" w:rsidRDefault="00FE0E65">
      <w:r w:rsidRPr="00FE0E65">
        <w:lastRenderedPageBreak/>
        <w:t>Vid sitt möte i mars 2008 uppmanade Europeiska rådet kom</w:t>
      </w:r>
      <w:r w:rsidRPr="00FE0E65">
        <w:softHyphen/>
        <w:t>mis</w:t>
      </w:r>
      <w:r w:rsidRPr="00FE0E65">
        <w:softHyphen/>
        <w:t>sionen att snabbt lägga fram nya förslag för att på kort sikt minska före</w:t>
      </w:r>
      <w:r w:rsidRPr="00FE0E65">
        <w:softHyphen/>
        <w:t>tag</w:t>
      </w:r>
      <w:r w:rsidRPr="00FE0E65">
        <w:softHyphen/>
        <w:t>ens admin</w:t>
      </w:r>
      <w:r w:rsidRPr="00FE0E65">
        <w:softHyphen/>
        <w:t>istrativa börda.</w:t>
      </w:r>
    </w:p>
    <w:p w:rsidR="00FE0E65" w:rsidRPr="00FE0E65" w:rsidRDefault="00FE0E65">
      <w:pPr>
        <w:pStyle w:val="Rubrik2"/>
      </w:pPr>
      <w:r w:rsidRPr="00FE0E65">
        <w:t>Förslagets innehåll</w:t>
      </w:r>
    </w:p>
    <w:p w:rsidR="00FE0E65" w:rsidRPr="00FE0E65" w:rsidRDefault="00FE0E65">
      <w:r w:rsidRPr="00FE0E65">
        <w:t>Direktivet, som presenterades den 25 september 2008, innehåller förslag till ändringar av fyra av de bolags</w:t>
      </w:r>
      <w:r w:rsidRPr="00FE0E65">
        <w:softHyphen/>
        <w:t>rätts</w:t>
      </w:r>
      <w:r w:rsidRPr="00FE0E65">
        <w:softHyphen/>
        <w:t>liga direkt</w:t>
      </w:r>
      <w:r w:rsidRPr="00FE0E65">
        <w:softHyphen/>
        <w:t>iven.</w:t>
      </w:r>
    </w:p>
    <w:p w:rsidR="00FE0E65" w:rsidRPr="00FE0E65" w:rsidRDefault="00FE0E65">
      <w:pPr>
        <w:pStyle w:val="Rubrik3"/>
        <w:spacing w:before="240"/>
      </w:pPr>
      <w:r w:rsidRPr="00FE0E65">
        <w:t>Fusionsdirektivet (det tredje bolags</w:t>
      </w:r>
      <w:r w:rsidRPr="00FE0E65">
        <w:softHyphen/>
        <w:t>rätts</w:t>
      </w:r>
      <w:r w:rsidRPr="00FE0E65">
        <w:softHyphen/>
        <w:t>liga direktivet)</w:t>
      </w:r>
    </w:p>
    <w:p w:rsidR="00FE0E65" w:rsidRPr="00FE0E65" w:rsidRDefault="00FE0E65">
      <w:r w:rsidRPr="00FE0E65">
        <w:t>Fusionsdirektivet (78/855/EEG) reglerar fusioner av aktiebolag. Medlems</w:t>
      </w:r>
      <w:r w:rsidRPr="00FE0E65">
        <w:softHyphen/>
        <w:t>stat</w:t>
      </w:r>
      <w:r w:rsidRPr="00FE0E65">
        <w:softHyphen/>
        <w:t>erna ska bl.a. se till att styrelserna för de berörda bolagen ska upprätta en fusionsplan, som ska innehålla uppgifter om den planerade fusionen. Enligt direktivet ska vissa handlingar fogas till planen.</w:t>
      </w:r>
    </w:p>
    <w:p w:rsidR="00FE0E65" w:rsidRPr="00FE0E65" w:rsidRDefault="00FE0E65">
      <w:r w:rsidRPr="00FE0E65">
        <w:t>Förslaget innebär bl.a. följande. Ett bolag ska kunna hålla fusionsplanen och andra handlingar tillgängliga för aktieägarna på bolagets webbplats. Bolaget ska inte vara skyldigt att sända handlingarna per post till en aktieägare som begär det, utan tillhandahållandet ska kunna ske med e-brev. Vidare s</w:t>
      </w:r>
      <w:r w:rsidRPr="00FE0E65">
        <w:t>ka styr</w:t>
      </w:r>
      <w:r w:rsidRPr="00FE0E65">
        <w:softHyphen/>
        <w:t>elsen inte behöva lämna någon redo</w:t>
      </w:r>
      <w:r w:rsidRPr="00FE0E65">
        <w:softHyphen/>
        <w:t>görelse för de omständigheter som kan vara av vikt vid bedömningen av fusionens lämplighet för bolaget, om samt</w:t>
      </w:r>
      <w:r w:rsidRPr="00FE0E65">
        <w:softHyphen/>
        <w:t>liga aktieägare i de berörda bolag</w:t>
      </w:r>
      <w:r w:rsidRPr="00FE0E65">
        <w:softHyphen/>
        <w:t>en är eniga om detta. Kravet på upp</w:t>
      </w:r>
      <w:r w:rsidRPr="00FE0E65">
        <w:softHyphen/>
        <w:t>rätt</w:t>
      </w:r>
      <w:r w:rsidRPr="00FE0E65">
        <w:softHyphen/>
        <w:t>andet av räkenskapshandlingar mildr</w:t>
      </w:r>
      <w:r w:rsidRPr="00FE0E65">
        <w:softHyphen/>
        <w:t>as i vissa situationer. Det ska vara obligat</w:t>
      </w:r>
      <w:r w:rsidRPr="00FE0E65">
        <w:softHyphen/>
        <w:t>oriskt för medlemsstaterna att till</w:t>
      </w:r>
      <w:r w:rsidRPr="00FE0E65">
        <w:softHyphen/>
        <w:t>handa</w:t>
      </w:r>
      <w:r w:rsidRPr="00FE0E65">
        <w:softHyphen/>
        <w:t>hålla ett förenklat fusions</w:t>
      </w:r>
      <w:r w:rsidRPr="00FE0E65">
        <w:softHyphen/>
        <w:t>förfar</w:t>
      </w:r>
      <w:r w:rsidRPr="00FE0E65">
        <w:softHyphen/>
        <w:t>ande vid fusion mellan ett bolag och dess dotterbolag. Detta förenklade förfarande ska vara tillämpligt även vid fusion mel</w:t>
      </w:r>
      <w:r w:rsidRPr="00FE0E65">
        <w:t>lan ett moderbolag och ett till minst 90 procent, men inte hel</w:t>
      </w:r>
      <w:r w:rsidRPr="00FE0E65">
        <w:softHyphen/>
        <w:t>ägt, dotterbolag.</w:t>
      </w:r>
    </w:p>
    <w:p w:rsidR="00FE0E65" w:rsidRPr="00FE0E65" w:rsidRDefault="00FE0E65">
      <w:pPr>
        <w:pStyle w:val="Rubrik3"/>
      </w:pPr>
      <w:r w:rsidRPr="00FE0E65">
        <w:t>Delningsdirektivet (det sjätte bolags</w:t>
      </w:r>
      <w:r w:rsidRPr="00FE0E65">
        <w:softHyphen/>
        <w:t>rätts</w:t>
      </w:r>
      <w:r w:rsidRPr="00FE0E65">
        <w:softHyphen/>
        <w:t>liga direktivet)</w:t>
      </w:r>
    </w:p>
    <w:p w:rsidR="00FE0E65" w:rsidRPr="00FE0E65" w:rsidRDefault="00FE0E65">
      <w:r w:rsidRPr="00FE0E65">
        <w:t>I delningsdirektivet (82/891/EEG) regleras delning av aktiebolag. Regel</w:t>
      </w:r>
      <w:r w:rsidRPr="00FE0E65">
        <w:softHyphen/>
        <w:t>verk</w:t>
      </w:r>
      <w:r w:rsidRPr="00FE0E65">
        <w:softHyphen/>
        <w:t>et, liksom förslaget till ändringar, korresponderar i allt väsentligt med fusions</w:t>
      </w:r>
      <w:r w:rsidRPr="00FE0E65">
        <w:softHyphen/>
        <w:t>direktivet och de ändringar som föreslås i fråga om det direktivet.</w:t>
      </w:r>
    </w:p>
    <w:p w:rsidR="00FE0E65" w:rsidRPr="00FE0E65" w:rsidRDefault="00FE0E65">
      <w:pPr>
        <w:pStyle w:val="Rubrik3"/>
      </w:pPr>
      <w:r w:rsidRPr="00FE0E65">
        <w:t>Direktivet om gränsöverskridande fusioner (det tionde bolags</w:t>
      </w:r>
      <w:r w:rsidRPr="00FE0E65">
        <w:softHyphen/>
        <w:t>rätts</w:t>
      </w:r>
      <w:r w:rsidRPr="00FE0E65">
        <w:softHyphen/>
        <w:t>liga direktivet)</w:t>
      </w:r>
    </w:p>
    <w:p w:rsidR="00FE0E65" w:rsidRPr="00FE0E65" w:rsidRDefault="00FE0E65">
      <w:r w:rsidRPr="00FE0E65">
        <w:t>Direktivet om gränsöverskridande fusioner (2005/56/EG) syftar till att en sådan fusion ska kunna äga rum utan hinder av skillnader mellan medlems</w:t>
      </w:r>
      <w:r w:rsidRPr="00FE0E65">
        <w:softHyphen/>
        <w:t>staternas rättsliga regleringar.</w:t>
      </w:r>
    </w:p>
    <w:p w:rsidR="00FE0E65" w:rsidRPr="00FE0E65" w:rsidRDefault="00FE0E65">
      <w:r w:rsidRPr="00FE0E65">
        <w:t>Förslaget innehåller bestämmelser om offentliggörandet av fusionsplanen med flera handlingar som motsvarar vad som föreslås i fråga om fusions</w:t>
      </w:r>
      <w:r w:rsidRPr="00FE0E65">
        <w:softHyphen/>
        <w:t>direkt</w:t>
      </w:r>
      <w:r w:rsidRPr="00FE0E65">
        <w:softHyphen/>
        <w:t>ivet. Vidare ska det inte kunna krävas ett intyg av en oberoende sak</w:t>
      </w:r>
      <w:r w:rsidRPr="00FE0E65">
        <w:softHyphen/>
        <w:t>kunnig (i Sverige: en godkänd eller auktori</w:t>
      </w:r>
      <w:r w:rsidRPr="00FE0E65">
        <w:softHyphen/>
        <w:t>serad revisor eller ett registrer</w:t>
      </w:r>
      <w:r w:rsidRPr="00FE0E65">
        <w:softHyphen/>
        <w:t>at revi</w:t>
      </w:r>
      <w:r w:rsidRPr="00FE0E65">
        <w:softHyphen/>
        <w:t>sions</w:t>
      </w:r>
      <w:r w:rsidRPr="00FE0E65">
        <w:softHyphen/>
        <w:t>bo</w:t>
      </w:r>
      <w:r w:rsidRPr="00FE0E65">
        <w:softHyphen/>
        <w:t>lag), om ett sådant intyg inte ska upprättas enligt fusions</w:t>
      </w:r>
      <w:r w:rsidRPr="00FE0E65">
        <w:softHyphen/>
        <w:t>direkt</w:t>
      </w:r>
      <w:r w:rsidRPr="00FE0E65">
        <w:softHyphen/>
        <w:t>ivet.</w:t>
      </w:r>
    </w:p>
    <w:p w:rsidR="00FE0E65" w:rsidRPr="00FE0E65" w:rsidRDefault="00FE0E65">
      <w:pPr>
        <w:pStyle w:val="Rubrik3"/>
      </w:pPr>
      <w:r w:rsidRPr="00FE0E65">
        <w:t>Kapitaldirektivet (det andra bolags</w:t>
      </w:r>
      <w:r w:rsidRPr="00FE0E65">
        <w:softHyphen/>
        <w:t>rätts</w:t>
      </w:r>
      <w:r w:rsidRPr="00FE0E65">
        <w:softHyphen/>
        <w:t>liga direktivet)</w:t>
      </w:r>
    </w:p>
    <w:p w:rsidR="00FE0E65" w:rsidRPr="00FE0E65" w:rsidRDefault="00FE0E65">
      <w:r w:rsidRPr="00FE0E65">
        <w:t>Kapitaldirektivet (77/91/EEG) innehåller bestämmelser om hur ett aktiebolag bildas och hur bolagets kapital bevaras och ändras.</w:t>
      </w:r>
    </w:p>
    <w:p w:rsidR="00FE0E65" w:rsidRPr="00FE0E65" w:rsidRDefault="00FE0E65">
      <w:r w:rsidRPr="00FE0E65">
        <w:t>Förslaget ger medlemsstaterna en möjlighet att tillåta aktiebolag att ge ut aktier mot betalning med apportegendom utan att kräva att det inhämtas ett sär</w:t>
      </w:r>
      <w:r w:rsidRPr="00FE0E65">
        <w:softHyphen/>
        <w:t>skilt sakkunnigutlåtande (revisorsintyg), under förutsättning att ett sådant utlåtande i stället upprättas i enlighet med fusionsdirektivet, delningsdirektiv</w:t>
      </w:r>
      <w:r w:rsidRPr="00FE0E65">
        <w:softHyphen/>
        <w:t>et eller direktivet om gränsöverskridande fusioner.</w:t>
      </w:r>
    </w:p>
    <w:p w:rsidR="00FE0E65" w:rsidRPr="00FE0E65" w:rsidRDefault="00FE0E65">
      <w:pPr>
        <w:pStyle w:val="Rubrik2"/>
      </w:pPr>
      <w:r w:rsidRPr="00FE0E65">
        <w:t>Gällande svenska regler och förslagets effekt på dessa</w:t>
      </w:r>
    </w:p>
    <w:p w:rsidR="00FE0E65" w:rsidRPr="00FE0E65" w:rsidRDefault="00FE0E65">
      <w:r w:rsidRPr="00FE0E65">
        <w:t>De svenska aktiebolagsrättsliga reglerna grundar sig till stor del på EG-direkt</w:t>
      </w:r>
      <w:r w:rsidRPr="00FE0E65">
        <w:softHyphen/>
        <w:t>iv. Direktiv</w:t>
      </w:r>
      <w:r w:rsidRPr="00FE0E65">
        <w:softHyphen/>
        <w:t>förslaget, som även påverkar de finansiella företagen, kan för</w:t>
      </w:r>
      <w:r w:rsidRPr="00FE0E65">
        <w:softHyphen/>
        <w:t>vänt</w:t>
      </w:r>
      <w:r w:rsidRPr="00FE0E65">
        <w:softHyphen/>
        <w:t>as medföra ändringar av svensk rätt såvitt gäller fusion, delning och revisorsgranskningen vid ökning av aktiekapitalet.</w:t>
      </w:r>
    </w:p>
    <w:p w:rsidR="00FE0E65" w:rsidRPr="00FE0E65" w:rsidRDefault="00FE0E65">
      <w:r w:rsidRPr="00FE0E65">
        <w:t>Regeringen har gett en särskild utredare i uppdrag att lämna förslag till ändr</w:t>
      </w:r>
      <w:r w:rsidRPr="00FE0E65">
        <w:softHyphen/>
        <w:t>ingar av aktiebolagslagen som innebär förenklingar för aktiebolagen (dir. 2007:132). Uppdraget ska redovisas senast den 31 mars 2009.</w:t>
      </w:r>
    </w:p>
    <w:p w:rsidR="00FE0E65" w:rsidRPr="00FE0E65" w:rsidRDefault="00FE0E65">
      <w:pPr>
        <w:pStyle w:val="Rubrik2"/>
      </w:pPr>
      <w:r w:rsidRPr="00FE0E65">
        <w:t>Budgetära konsekvenser / Konsekvensanalys</w:t>
      </w:r>
    </w:p>
    <w:p w:rsidR="00FE0E65" w:rsidRPr="00FE0E65" w:rsidRDefault="00FE0E65">
      <w:r w:rsidRPr="00FE0E65">
        <w:t>Kommissionen har gjort en omfattande konsekvensanalys av förslagen (SEC [2008] 2486). Enligt analysen kan förslaget till ändring av direktiven förvänt</w:t>
      </w:r>
      <w:r w:rsidRPr="00FE0E65">
        <w:softHyphen/>
        <w:t>as leda till potentiella besparingar för europeiska publika aktiebolag med ca sju miljoner euro per år. Därutöver kan ändringarna leda till besparingar även för privata aktiebolag, under förutsättning att medlemsstaterna låter de nya bestäm</w:t>
      </w:r>
      <w:r w:rsidRPr="00FE0E65">
        <w:softHyphen/>
        <w:t>melserna äga motsvarande tillämpning på sådana bolag.</w:t>
      </w:r>
    </w:p>
    <w:p w:rsidR="00FE0E65" w:rsidRPr="00FE0E65" w:rsidRDefault="00FE0E65">
      <w:r w:rsidRPr="00FE0E65">
        <w:t>Förslagens nackdelar för företagens intressenter bedöms av kom</w:t>
      </w:r>
      <w:r w:rsidRPr="00FE0E65">
        <w:softHyphen/>
        <w:t>missionen som små.</w:t>
      </w:r>
    </w:p>
    <w:p w:rsidR="00FE0E65" w:rsidRPr="00FE0E65" w:rsidRDefault="00FE0E65">
      <w:r w:rsidRPr="00FE0E65">
        <w:t>Konsekvenserna för svenska företag kan förväntas bli tämligen begränsade.</w:t>
      </w:r>
    </w:p>
    <w:p w:rsidR="00FE0E65" w:rsidRPr="00FE0E65" w:rsidRDefault="00FE0E65">
      <w:r w:rsidRPr="00FE0E65">
        <w:t xml:space="preserve">Förslagen torde inte ha några budgetära konsekvenser.                                </w:t>
      </w:r>
    </w:p>
    <w:p w:rsidR="00FE0E65" w:rsidRPr="00FE0E65" w:rsidRDefault="00FE0E65">
      <w:pPr>
        <w:pStyle w:val="Rubrik1"/>
      </w:pPr>
      <w:r w:rsidRPr="00FE0E65">
        <w:t>Ståndpunkter</w:t>
      </w:r>
    </w:p>
    <w:p w:rsidR="00FE0E65" w:rsidRPr="00FE0E65" w:rsidRDefault="00FE0E65">
      <w:pPr>
        <w:pStyle w:val="Rubrik2"/>
      </w:pPr>
      <w:r w:rsidRPr="00FE0E65">
        <w:t>Preliminär svensk ståndpunkt</w:t>
      </w:r>
    </w:p>
    <w:p w:rsidR="00FE0E65" w:rsidRPr="00FE0E65" w:rsidRDefault="00FE0E65">
      <w:r w:rsidRPr="00FE0E65">
        <w:t>Regeringen välkomnar direktivförslaget, även om de sannolikt endast har smärre effekt</w:t>
      </w:r>
      <w:r w:rsidRPr="00FE0E65">
        <w:softHyphen/>
        <w:t>er för svenska företag. Det är i dag för tidigt att inta en slutlig svensk ståndpunkt avse</w:t>
      </w:r>
      <w:r w:rsidRPr="00FE0E65">
        <w:softHyphen/>
        <w:t>ende de enskilda bestämmelsernas utformning. Preli</w:t>
      </w:r>
      <w:r w:rsidRPr="00FE0E65">
        <w:softHyphen/>
        <w:t>minärt bör Sverige verka för att skyddet för bolagets borgenärer inte efter</w:t>
      </w:r>
      <w:r w:rsidRPr="00FE0E65">
        <w:softHyphen/>
        <w:t>sätts, att det överlämnas till medlemsstaterna att bestämma tillämp</w:t>
      </w:r>
      <w:r w:rsidRPr="00FE0E65">
        <w:softHyphen/>
        <w:t>nings</w:t>
      </w:r>
      <w:r w:rsidRPr="00FE0E65">
        <w:softHyphen/>
        <w:t>området för bestämmelserna om ett förenklat fusionsförfarande och  att aktie</w:t>
      </w:r>
      <w:r w:rsidRPr="00FE0E65">
        <w:softHyphen/>
        <w:t>ägarnas möj</w:t>
      </w:r>
      <w:r w:rsidRPr="00FE0E65">
        <w:softHyphen/>
        <w:t>lig</w:t>
      </w:r>
      <w:r w:rsidRPr="00FE0E65">
        <w:softHyphen/>
        <w:t xml:space="preserve">heter att ta del av handlingar som rör bolaget inte inskränks i alltför hög grad. Med hänsyn till subsidiaritetsprincipen kan </w:t>
      </w:r>
      <w:r w:rsidRPr="00FE0E65">
        <w:t>det vidare ifrågasättas om inte direktivet i några avse</w:t>
      </w:r>
      <w:r w:rsidRPr="00FE0E65">
        <w:softHyphen/>
        <w:t>enden begränsar medlems</w:t>
      </w:r>
      <w:r w:rsidRPr="00FE0E65">
        <w:softHyphen/>
        <w:t>stat</w:t>
      </w:r>
      <w:r w:rsidRPr="00FE0E65">
        <w:softHyphen/>
        <w:t>ernas handlingsfrihet för mycket. Arbet</w:t>
      </w:r>
      <w:r w:rsidRPr="00FE0E65">
        <w:softHyphen/>
        <w:t>et med att reformera de bolags</w:t>
      </w:r>
      <w:r w:rsidRPr="00FE0E65">
        <w:softHyphen/>
        <w:t>rätts</w:t>
      </w:r>
      <w:r w:rsidRPr="00FE0E65">
        <w:softHyphen/>
        <w:t>liga direkt</w:t>
      </w:r>
      <w:r w:rsidRPr="00FE0E65">
        <w:softHyphen/>
        <w:t>iven bör fortsätta, med en betyd</w:t>
      </w:r>
      <w:r w:rsidRPr="00FE0E65">
        <w:softHyphen/>
        <w:t>an</w:t>
      </w:r>
      <w:r w:rsidRPr="00FE0E65">
        <w:softHyphen/>
        <w:t>de minskning av aktie</w:t>
      </w:r>
      <w:r w:rsidRPr="00FE0E65">
        <w:softHyphen/>
        <w:t>bolag</w:t>
      </w:r>
      <w:r w:rsidRPr="00FE0E65">
        <w:softHyphen/>
        <w:t>ens administrativa börda som mål.</w:t>
      </w:r>
    </w:p>
    <w:p w:rsidR="00FE0E65" w:rsidRPr="00FE0E65" w:rsidRDefault="00FE0E65">
      <w:pPr>
        <w:pStyle w:val="Rubrik2"/>
      </w:pPr>
      <w:r w:rsidRPr="00FE0E65">
        <w:t>Medlemsstaternas ståndpunkter</w:t>
      </w:r>
    </w:p>
    <w:p w:rsidR="00FE0E65" w:rsidRPr="00FE0E65" w:rsidRDefault="00FE0E65">
      <w:r w:rsidRPr="00FE0E65">
        <w:t>Vid det samråd som kommissionen har haft med medlemsstaterna inför antag</w:t>
      </w:r>
      <w:r w:rsidRPr="00FE0E65">
        <w:softHyphen/>
        <w:t>andet av meddelandet har några invändningar gjorts, särskilt i fråga om det förenklade fusionsförfarandet.</w:t>
      </w:r>
    </w:p>
    <w:p w:rsidR="00FE0E65" w:rsidRPr="00FE0E65" w:rsidRDefault="00FE0E65">
      <w:pPr>
        <w:pStyle w:val="Rubrik2"/>
      </w:pPr>
      <w:r w:rsidRPr="00FE0E65">
        <w:t>Institutionernas ståndpunkter</w:t>
      </w:r>
    </w:p>
    <w:p w:rsidR="00FE0E65" w:rsidRPr="00FE0E65" w:rsidRDefault="00FE0E65">
      <w:r w:rsidRPr="00FE0E65">
        <w:t>Någon inställning från rådet eller Europaparlamentet finns ännu inte.</w:t>
      </w:r>
    </w:p>
    <w:p w:rsidR="00FE0E65" w:rsidRPr="00FE0E65" w:rsidRDefault="00FE0E65">
      <w:pPr>
        <w:pStyle w:val="Rubrik2"/>
      </w:pPr>
      <w:r w:rsidRPr="00FE0E65">
        <w:t>Remissinstansernas ståndpunkter</w:t>
      </w:r>
    </w:p>
    <w:p w:rsidR="00FE0E65" w:rsidRPr="00FE0E65" w:rsidRDefault="00FE0E65">
      <w:r w:rsidRPr="00FE0E65">
        <w:t>EG-kommissionens förslag har skickats för yttrande till Bolagsverket, Eko</w:t>
      </w:r>
      <w:r w:rsidRPr="00FE0E65">
        <w:softHyphen/>
        <w:t>brotts</w:t>
      </w:r>
      <w:r w:rsidRPr="00FE0E65">
        <w:softHyphen/>
        <w:t>myndigheten, Finansinspektionen, Revisorsnämnden, Skatte</w:t>
      </w:r>
      <w:r w:rsidRPr="00FE0E65">
        <w:softHyphen/>
        <w:t>verk</w:t>
      </w:r>
      <w:r w:rsidRPr="00FE0E65">
        <w:softHyphen/>
        <w:t>et, Utred</w:t>
      </w:r>
      <w:r w:rsidRPr="00FE0E65">
        <w:softHyphen/>
        <w:t>ningen om ett enklare aktiebolag, NUTEK, Juridiska fakult</w:t>
      </w:r>
      <w:r w:rsidRPr="00FE0E65">
        <w:softHyphen/>
        <w:t>ets</w:t>
      </w:r>
      <w:r w:rsidRPr="00FE0E65">
        <w:softHyphen/>
        <w:t>nämnden vid Uppsala universitet, Aktiemarknadsbolagens fören</w:t>
      </w:r>
      <w:r w:rsidRPr="00FE0E65">
        <w:softHyphen/>
        <w:t>ing, FAR SRS, Före</w:t>
      </w:r>
      <w:r w:rsidRPr="00FE0E65">
        <w:softHyphen/>
        <w:t>tag</w:t>
      </w:r>
      <w:r w:rsidRPr="00FE0E65">
        <w:softHyphen/>
        <w:t>arna, FöretagarFörbundet, Näringslivets Regel</w:t>
      </w:r>
      <w:r w:rsidRPr="00FE0E65">
        <w:softHyphen/>
        <w:t>nämnd, Svenska Bank</w:t>
      </w:r>
      <w:r w:rsidRPr="00FE0E65">
        <w:softHyphen/>
        <w:t>fören</w:t>
      </w:r>
      <w:r w:rsidRPr="00FE0E65">
        <w:softHyphen/>
        <w:t>ingen, Svenskt Näringsliv, Sve</w:t>
      </w:r>
      <w:r w:rsidRPr="00FE0E65">
        <w:softHyphen/>
        <w:t>riges advokat</w:t>
      </w:r>
      <w:r w:rsidRPr="00FE0E65">
        <w:softHyphen/>
        <w:t>samfund och Sveriges Aktie</w:t>
      </w:r>
      <w:r w:rsidRPr="00FE0E65">
        <w:softHyphen/>
        <w:t>sparares Riksförbund.</w:t>
      </w:r>
    </w:p>
    <w:p w:rsidR="00FE0E65" w:rsidRPr="00FE0E65" w:rsidRDefault="00FE0E65">
      <w:r w:rsidRPr="00FE0E65">
        <w:t>Flertalet av de instans</w:t>
      </w:r>
      <w:r w:rsidRPr="00FE0E65">
        <w:softHyphen/>
        <w:t>er som har yttrat sig tillstyrker EU-kommis</w:t>
      </w:r>
      <w:r w:rsidRPr="00FE0E65">
        <w:softHyphen/>
        <w:t>sion</w:t>
      </w:r>
      <w:r w:rsidRPr="00FE0E65">
        <w:softHyphen/>
        <w:t>ens för</w:t>
      </w:r>
      <w:r w:rsidRPr="00FE0E65">
        <w:softHyphen/>
        <w:t>slag eller har inte några invändningar. Fakultetsnämnden har anfört att det bör övervägas att ersätta förslagets krav på att aktieägarna i vissa sam</w:t>
      </w:r>
      <w:r w:rsidRPr="00FE0E65">
        <w:softHyphen/>
        <w:t>man</w:t>
      </w:r>
      <w:r w:rsidRPr="00FE0E65">
        <w:softHyphen/>
        <w:t>hang ska vara ense med bestämmelser om ett visst majoritets</w:t>
      </w:r>
      <w:r w:rsidRPr="00FE0E65">
        <w:softHyphen/>
        <w:t>krav. FAR SRS har ifrågasatt om förslaget leder till lägre kostnader för företagen. Slutligen har Skatte</w:t>
      </w:r>
      <w:r w:rsidRPr="00FE0E65">
        <w:softHyphen/>
        <w:t>verk</w:t>
      </w:r>
      <w:r w:rsidRPr="00FE0E65">
        <w:softHyphen/>
        <w:t>et anfört att skyldigheten att ge in fusionsplanen till Bolags</w:t>
      </w:r>
      <w:r w:rsidRPr="00FE0E65">
        <w:softHyphen/>
        <w:t>verk</w:t>
      </w:r>
      <w:r w:rsidRPr="00FE0E65">
        <w:softHyphen/>
        <w:t>et bör behållas.</w:t>
      </w:r>
    </w:p>
    <w:p w:rsidR="00FE0E65" w:rsidRPr="00FE0E65" w:rsidRDefault="00FE0E65">
      <w:pPr>
        <w:pStyle w:val="Rubrik1"/>
      </w:pPr>
      <w:r w:rsidRPr="00FE0E65">
        <w:t>Förslagets förutsättningar</w:t>
      </w:r>
    </w:p>
    <w:p w:rsidR="00FE0E65" w:rsidRPr="00FE0E65" w:rsidRDefault="00FE0E65">
      <w:pPr>
        <w:pStyle w:val="Rubrik2"/>
      </w:pPr>
      <w:r w:rsidRPr="00FE0E65">
        <w:t>Rättslig grund och beslutsförfarande</w:t>
      </w:r>
    </w:p>
    <w:p w:rsidR="00FE0E65" w:rsidRPr="00FE0E65" w:rsidRDefault="00FE0E65">
      <w:r w:rsidRPr="00FE0E65">
        <w:t>Som rättslig grund för direktiven har åberopats artikel 44.2 g respektive 44.1 i EG-fördraget. Bestämmelserna hänvisar till beslutsförfarandet i artikel 251. Det innebär att rådet fattar beslut med kvalificerad majoritet och att Europa</w:t>
      </w:r>
      <w:r w:rsidRPr="00FE0E65">
        <w:softHyphen/>
        <w:t>parla</w:t>
      </w:r>
      <w:r w:rsidRPr="00FE0E65">
        <w:softHyphen/>
        <w:t>ment</w:t>
      </w:r>
      <w:r w:rsidRPr="00FE0E65">
        <w:softHyphen/>
        <w:t>et har medbeslutanderätt.</w:t>
      </w:r>
    </w:p>
    <w:p w:rsidR="00FE0E65" w:rsidRPr="00FE0E65" w:rsidRDefault="00FE0E65">
      <w:pPr>
        <w:pStyle w:val="Rubrik2"/>
      </w:pPr>
      <w:r w:rsidRPr="00FE0E65">
        <w:t>Subsidiaritets- och proportionalitetsprincipen</w:t>
      </w:r>
    </w:p>
    <w:p w:rsidR="00FE0E65" w:rsidRPr="00FE0E65" w:rsidRDefault="00FE0E65">
      <w:r w:rsidRPr="00FE0E65">
        <w:t>Kommissionen har ansett att det är nödvändigt med åtgärder på EU-nivå efter</w:t>
      </w:r>
      <w:r w:rsidRPr="00FE0E65">
        <w:softHyphen/>
        <w:t>som de bolagsrättsliga direktiven medför administrativa bördor som bara kan minskas genom en ändring av dessa direktiv.</w:t>
      </w:r>
    </w:p>
    <w:p w:rsidR="00FE0E65" w:rsidRPr="00FE0E65" w:rsidRDefault="00FE0E65">
      <w:pPr>
        <w:pStyle w:val="Rubrik1"/>
      </w:pPr>
      <w:r w:rsidRPr="00FE0E65">
        <w:t>Övrigt</w:t>
      </w:r>
    </w:p>
    <w:p w:rsidR="00FE0E65" w:rsidRPr="00FE0E65" w:rsidRDefault="00FE0E65">
      <w:pPr>
        <w:pStyle w:val="Rubrik2"/>
      </w:pPr>
      <w:r w:rsidRPr="00FE0E65">
        <w:t>Fortsatt behandling av ärendet</w:t>
      </w:r>
    </w:p>
    <w:p w:rsidR="00FE0E65" w:rsidRPr="00FE0E65" w:rsidRDefault="00FE0E65">
      <w:r w:rsidRPr="00FE0E65">
        <w:t>Förhandlingarna om direktivförslagen har ännu inte inletts. Då förslaget är ett s.k. snabbspår, får det förutsättas att ordförandeskapets målsättning är  slut</w:t>
      </w:r>
      <w:r w:rsidRPr="00FE0E65">
        <w:softHyphen/>
        <w:t>föra förhandlingsarbetet med skyndsamhet.</w:t>
      </w:r>
    </w:p>
    <w:p w:rsidR="00FE0E65" w:rsidRPr="00FE0E65" w:rsidRDefault="00FE0E65">
      <w:pPr>
        <w:pStyle w:val="Rubrik2"/>
      </w:pPr>
      <w:r w:rsidRPr="00FE0E65">
        <w:t>Fackuttryck/termer</w:t>
      </w:r>
    </w:p>
    <w:p w:rsidR="00FE0E65" w:rsidRPr="00FE0E65" w:rsidRDefault="00FE0E65"/>
    <w:sectPr w:rsidR="00000000" w:rsidRPr="00FE0E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E65" w:rsidRPr="00FE0E65" w:rsidRDefault="00FE0E65">
      <w:r w:rsidRPr="00FE0E65">
        <w:separator/>
      </w:r>
    </w:p>
  </w:endnote>
  <w:endnote w:type="continuationSeparator" w:id="0">
    <w:p w:rsidR="00FE0E65" w:rsidRPr="00FE0E65" w:rsidRDefault="00FE0E65">
      <w:r w:rsidRPr="00FE0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H"/>
      <w:framePr w:wrap="around"/>
    </w:pPr>
    <w:r w:rsidRPr="00FE0E65">
      <w:t>5</w:t>
    </w:r>
  </w:p>
  <w:p w:rsidR="00FE0E65" w:rsidRPr="00FE0E65" w:rsidRDefault="00FE0E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H"/>
      <w:framePr w:wrap="around"/>
    </w:pPr>
    <w:r w:rsidRPr="00FE0E65">
      <w:t>1</w:t>
    </w:r>
  </w:p>
  <w:p w:rsidR="00FE0E65" w:rsidRPr="00FE0E65" w:rsidRDefault="00FE0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E65" w:rsidRPr="00FE0E65" w:rsidRDefault="00FE0E65">
      <w:r w:rsidRPr="00FE0E65">
        <w:separator/>
      </w:r>
    </w:p>
  </w:footnote>
  <w:footnote w:type="continuationSeparator" w:id="0">
    <w:p w:rsidR="00FE0E65" w:rsidRPr="00FE0E65" w:rsidRDefault="00FE0E65">
      <w:r w:rsidRPr="00FE0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Kantrubrik"/>
      <w:framePr w:h="1157" w:hRule="exact" w:wrap="around" w:y="738"/>
    </w:pPr>
    <w:r w:rsidRPr="00FE0E65">
      <w:t>2008/09:FPM47</w:t>
    </w:r>
  </w:p>
  <w:p w:rsidR="00FE0E65" w:rsidRPr="00FE0E65" w:rsidRDefault="00FE0E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huvud"/>
    </w:pPr>
    <w:r w:rsidRPr="00FE0E6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0786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E0E65" w:rsidRDefault="00FE0E65">
                    <w:pPr>
                      <w:pStyle w:val="Logo"/>
                    </w:pPr>
                    <w:r>
                      <w:object w:dxaOrig="840" w:dyaOrig="1545">
                        <v:shape id="_x0000_i1025" type="#_x0000_t75" style="width:42pt;height:77.5pt" filled="t">
                          <v:imagedata r:id="rId1" o:title=""/>
                        </v:shape>
                        <o:OLEObject Type="Embed" ProgID="Word.Picture.8" ShapeID="_x0000_i1025" DrawAspect="Content" ObjectID="_18275102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7178460">
    <w:abstractNumId w:val="4"/>
  </w:num>
  <w:num w:numId="2" w16cid:durableId="192037333">
    <w:abstractNumId w:val="1"/>
  </w:num>
  <w:num w:numId="3" w16cid:durableId="1293755763">
    <w:abstractNumId w:val="2"/>
  </w:num>
  <w:num w:numId="4" w16cid:durableId="1500080852">
    <w:abstractNumId w:val="3"/>
  </w:num>
  <w:num w:numId="5" w16cid:durableId="360130306">
    <w:abstractNumId w:val="5"/>
  </w:num>
  <w:num w:numId="6" w16cid:durableId="9515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12"/>
    <w:docVar w:name="Ar" w:val="2008/09"/>
    <w:docVar w:name="Dep" w:val="Justitiedepartementet"/>
    <w:docVar w:name="DepWeb" w:val="Justitiedepartementet"/>
    <w:docVar w:name="GDB1" w:val="KOM (2008) 5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77/91/EEG, 78/855/EEG och 82/891/EEG och av direktiv 2005/56/EG beträffande rapporterings- och dokumentationskrav i samband med fusioner och del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576 slutlig"/>
    <w:docVar w:name="Nr" w:val="47"/>
    <w:docVar w:name="RD_APPVERSION" w:val="3.00"/>
    <w:docVar w:name="Rub" w:val="Ändringar i de bolagsrättsliga direktiven om fusion mm"/>
    <w:docVar w:name="UppDat" w:val="2008-12-11"/>
    <w:docVar w:name="Utsk" w:val="Civilutskottet"/>
  </w:docVars>
  <w:rsids>
    <w:rsidRoot w:val="00C554B5"/>
    <w:rsid w:val="00C554B5"/>
    <w:rsid w:val="00FE0E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E29BA2-E895-4841-9FFD-91B92E89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42844">
      <w:bodyDiv w:val="1"/>
      <w:marLeft w:val="0"/>
      <w:marRight w:val="0"/>
      <w:marTop w:val="0"/>
      <w:marBottom w:val="0"/>
      <w:divBdr>
        <w:top w:val="none" w:sz="0" w:space="0" w:color="auto"/>
        <w:left w:val="none" w:sz="0" w:space="0" w:color="auto"/>
        <w:bottom w:val="none" w:sz="0" w:space="0" w:color="auto"/>
        <w:right w:val="none" w:sz="0" w:space="0" w:color="auto"/>
      </w:divBdr>
      <w:divsChild>
        <w:div w:id="1321539177">
          <w:marLeft w:val="-12"/>
          <w:marRight w:val="-12"/>
          <w:marTop w:val="0"/>
          <w:marBottom w:val="0"/>
          <w:divBdr>
            <w:top w:val="none" w:sz="0" w:space="0" w:color="auto"/>
            <w:left w:val="single" w:sz="4" w:space="0" w:color="DADADA"/>
            <w:bottom w:val="none" w:sz="0" w:space="0" w:color="auto"/>
            <w:right w:val="single" w:sz="4" w:space="0" w:color="DADADA"/>
          </w:divBdr>
          <w:divsChild>
            <w:div w:id="916597531">
              <w:marLeft w:val="0"/>
              <w:marRight w:val="0"/>
              <w:marTop w:val="0"/>
              <w:marBottom w:val="0"/>
              <w:divBdr>
                <w:top w:val="none" w:sz="0" w:space="0" w:color="auto"/>
                <w:left w:val="single" w:sz="48" w:space="0" w:color="FFFFFF"/>
                <w:bottom w:val="none" w:sz="0" w:space="0" w:color="auto"/>
                <w:right w:val="none" w:sz="0" w:space="0" w:color="auto"/>
              </w:divBdr>
              <w:divsChild>
                <w:div w:id="1926453489">
                  <w:marLeft w:val="-12"/>
                  <w:marRight w:val="-12"/>
                  <w:marTop w:val="0"/>
                  <w:marBottom w:val="0"/>
                  <w:divBdr>
                    <w:top w:val="none" w:sz="0" w:space="0" w:color="auto"/>
                    <w:left w:val="single" w:sz="4" w:space="0" w:color="F9C661"/>
                    <w:bottom w:val="none" w:sz="0" w:space="0" w:color="auto"/>
                    <w:right w:val="single" w:sz="4" w:space="0" w:color="DADADA"/>
                  </w:divBdr>
                  <w:divsChild>
                    <w:div w:id="1927372790">
                      <w:marLeft w:val="-24"/>
                      <w:marRight w:val="-36"/>
                      <w:marTop w:val="0"/>
                      <w:marBottom w:val="0"/>
                      <w:divBdr>
                        <w:top w:val="none" w:sz="0" w:space="0" w:color="auto"/>
                        <w:left w:val="none" w:sz="0" w:space="0" w:color="auto"/>
                        <w:bottom w:val="none" w:sz="0" w:space="0" w:color="auto"/>
                        <w:right w:val="none" w:sz="0" w:space="0" w:color="auto"/>
                      </w:divBdr>
                      <w:divsChild>
                        <w:div w:id="7076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272185">
      <w:bodyDiv w:val="1"/>
      <w:marLeft w:val="0"/>
      <w:marRight w:val="0"/>
      <w:marTop w:val="0"/>
      <w:marBottom w:val="0"/>
      <w:divBdr>
        <w:top w:val="none" w:sz="0" w:space="0" w:color="auto"/>
        <w:left w:val="none" w:sz="0" w:space="0" w:color="auto"/>
        <w:bottom w:val="none" w:sz="0" w:space="0" w:color="auto"/>
        <w:right w:val="none" w:sz="0" w:space="0" w:color="auto"/>
      </w:divBdr>
      <w:divsChild>
        <w:div w:id="830415830">
          <w:marLeft w:val="-12"/>
          <w:marRight w:val="-12"/>
          <w:marTop w:val="0"/>
          <w:marBottom w:val="0"/>
          <w:divBdr>
            <w:top w:val="none" w:sz="0" w:space="0" w:color="auto"/>
            <w:left w:val="single" w:sz="4" w:space="0" w:color="DADADA"/>
            <w:bottom w:val="none" w:sz="0" w:space="0" w:color="auto"/>
            <w:right w:val="single" w:sz="4" w:space="0" w:color="DADADA"/>
          </w:divBdr>
          <w:divsChild>
            <w:div w:id="1994677242">
              <w:marLeft w:val="0"/>
              <w:marRight w:val="0"/>
              <w:marTop w:val="0"/>
              <w:marBottom w:val="0"/>
              <w:divBdr>
                <w:top w:val="none" w:sz="0" w:space="0" w:color="auto"/>
                <w:left w:val="single" w:sz="48" w:space="0" w:color="FFFFFF"/>
                <w:bottom w:val="none" w:sz="0" w:space="0" w:color="auto"/>
                <w:right w:val="none" w:sz="0" w:space="0" w:color="auto"/>
              </w:divBdr>
              <w:divsChild>
                <w:div w:id="1480002100">
                  <w:marLeft w:val="-12"/>
                  <w:marRight w:val="-12"/>
                  <w:marTop w:val="0"/>
                  <w:marBottom w:val="0"/>
                  <w:divBdr>
                    <w:top w:val="none" w:sz="0" w:space="0" w:color="auto"/>
                    <w:left w:val="single" w:sz="4" w:space="0" w:color="F9C661"/>
                    <w:bottom w:val="none" w:sz="0" w:space="0" w:color="auto"/>
                    <w:right w:val="single" w:sz="4" w:space="0" w:color="DADADA"/>
                  </w:divBdr>
                  <w:divsChild>
                    <w:div w:id="498161582">
                      <w:marLeft w:val="-24"/>
                      <w:marRight w:val="-36"/>
                      <w:marTop w:val="0"/>
                      <w:marBottom w:val="0"/>
                      <w:divBdr>
                        <w:top w:val="none" w:sz="0" w:space="0" w:color="auto"/>
                        <w:left w:val="none" w:sz="0" w:space="0" w:color="auto"/>
                        <w:bottom w:val="none" w:sz="0" w:space="0" w:color="auto"/>
                        <w:right w:val="none" w:sz="0" w:space="0" w:color="auto"/>
                      </w:divBdr>
                      <w:divsChild>
                        <w:div w:id="357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1158</Words>
  <Characters>7890</Characters>
  <Application>Microsoft Office Word</Application>
  <DocSecurity>4</DocSecurity>
  <Lines>151</Lines>
  <Paragraphs>63</Paragraphs>
  <ScaleCrop>false</ScaleCrop>
  <HeadingPairs>
    <vt:vector size="2" baseType="variant">
      <vt:variant>
        <vt:lpstr>Rubrik</vt:lpstr>
      </vt:variant>
      <vt:variant>
        <vt:i4>1</vt:i4>
      </vt:variant>
    </vt:vector>
  </HeadingPairs>
  <TitlesOfParts>
    <vt:vector size="1" baseType="lpstr">
      <vt:lpstr>FPM_200809__47</vt:lpstr>
    </vt:vector>
  </TitlesOfParts>
  <Company>RD-DTSL</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FPM_200809__47</dc:title>
  <dc:subject>FPM_200809__47</dc:subject>
  <dc:creator>Riksdagen</dc:creator>
  <cp:keywords>Riksdagen</cp:keywords>
  <dc:description>KP2004-version.  Ändringarna påverkar enbart användningen inom Riksdagen. 050429 nya departement DTSL.</dc:description>
  <cp:lastModifiedBy>Lars Brink</cp:lastModifiedBy>
  <cp:revision>2</cp:revision>
  <cp:lastPrinted>2008-12-12T08:25:00Z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 (2008) 576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Ändringar i de bolagsrättsliga direktiven om fusion mm</vt:lpwstr>
  </property>
  <property fmtid="{D5CDD505-2E9C-101B-9397-08002B2CF9AE}" pid="8" name="UppDat">
    <vt:lpwstr>2008-12-11</vt:lpwstr>
  </property>
  <property fmtid="{D5CDD505-2E9C-101B-9397-08002B2CF9AE}" pid="9" name="AnkDat">
    <vt:lpwstr>2008-12-12</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2;0;0;198</vt:lpwstr>
  </property>
  <property fmtid="{D5CDD505-2E9C-101B-9397-08002B2CF9AE}" pid="42" name="Sprak">
    <vt:lpwstr>Svenska</vt:lpwstr>
  </property>
  <property fmtid="{D5CDD505-2E9C-101B-9397-08002B2CF9AE}" pid="43" name="DokID">
    <vt:i4>80</vt:i4>
  </property>
</Properties>
</file>