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D7F2E">
        <w:tblPrEx>
          <w:tblCellMar>
            <w:top w:w="0" w:type="dxa"/>
            <w:bottom w:w="0" w:type="dxa"/>
          </w:tblCellMar>
        </w:tblPrEx>
        <w:trPr>
          <w:cantSplit/>
          <w:trHeight w:val="1720"/>
        </w:trPr>
        <w:tc>
          <w:tcPr>
            <w:tcW w:w="6024" w:type="dxa"/>
            <w:gridSpan w:val="2"/>
          </w:tcPr>
          <w:p w:rsidR="003F60CB" w:rsidRPr="004D7F2E" w:rsidRDefault="003F60CB">
            <w:pPr>
              <w:pStyle w:val="HuvudRubrik"/>
            </w:pPr>
            <w:r w:rsidRPr="004D7F2E">
              <w:t>Justitieutskottets betänkande</w:t>
            </w:r>
          </w:p>
          <w:p w:rsidR="003F60CB" w:rsidRPr="004D7F2E" w:rsidRDefault="003F60CB">
            <w:pPr>
              <w:pStyle w:val="HuvudRubrikRad2"/>
            </w:pPr>
            <w:bookmarkStart w:id="0" w:name="BetänkandeNr"/>
            <w:bookmarkEnd w:id="0"/>
            <w:r w:rsidRPr="004D7F2E">
              <w:t>2001/02:JuU12</w:t>
            </w:r>
          </w:p>
        </w:tc>
        <w:tc>
          <w:tcPr>
            <w:tcW w:w="1418" w:type="dxa"/>
            <w:tcBorders>
              <w:bottom w:val="nil"/>
            </w:tcBorders>
          </w:tcPr>
          <w:p w:rsidR="003F60CB" w:rsidRPr="004D7F2E" w:rsidRDefault="004D7F2E">
            <w:pPr>
              <w:spacing w:line="230" w:lineRule="auto"/>
              <w:jc w:val="center"/>
            </w:pPr>
            <w:r w:rsidRPr="004D7F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60CB" w:rsidRPr="004D7F2E" w:rsidRDefault="003F60CB">
            <w:pPr>
              <w:pStyle w:val="Normaltindrag"/>
              <w:jc w:val="center"/>
            </w:pPr>
          </w:p>
          <w:p w:rsidR="003F60CB" w:rsidRPr="004D7F2E" w:rsidRDefault="003F60CB">
            <w:pPr>
              <w:pStyle w:val="StatusSida1"/>
            </w:pPr>
          </w:p>
          <w:p w:rsidR="003F60CB" w:rsidRPr="004D7F2E" w:rsidRDefault="003F60CB">
            <w:pPr>
              <w:pStyle w:val="UtskriftsdatumSida1"/>
              <w:framePr w:wrap="around"/>
            </w:pPr>
          </w:p>
        </w:tc>
      </w:tr>
      <w:tr w:rsidR="00000000" w:rsidRPr="004D7F2E">
        <w:tblPrEx>
          <w:tblCellMar>
            <w:top w:w="0" w:type="dxa"/>
            <w:bottom w:w="0" w:type="dxa"/>
          </w:tblCellMar>
        </w:tblPrEx>
        <w:trPr>
          <w:cantSplit/>
        </w:trPr>
        <w:tc>
          <w:tcPr>
            <w:tcW w:w="6024" w:type="dxa"/>
            <w:gridSpan w:val="2"/>
            <w:tcBorders>
              <w:bottom w:val="single" w:sz="4" w:space="0" w:color="auto"/>
            </w:tcBorders>
          </w:tcPr>
          <w:p w:rsidR="003F60CB" w:rsidRPr="004D7F2E" w:rsidRDefault="003F60CB">
            <w:pPr>
              <w:pStyle w:val="DokumentRubrik"/>
              <w:rPr>
                <w:noProof w:val="0"/>
              </w:rPr>
            </w:pPr>
            <w:bookmarkStart w:id="1" w:name="Huvudrubrik"/>
            <w:bookmarkEnd w:id="1"/>
            <w:r w:rsidRPr="004D7F2E">
              <w:rPr>
                <w:noProof w:val="0"/>
              </w:rPr>
              <w:t>Övergrepp i rättssak, m.m.</w:t>
            </w:r>
          </w:p>
        </w:tc>
        <w:tc>
          <w:tcPr>
            <w:tcW w:w="1418" w:type="dxa"/>
            <w:tcBorders>
              <w:bottom w:val="nil"/>
            </w:tcBorders>
          </w:tcPr>
          <w:p w:rsidR="003F60CB" w:rsidRPr="004D7F2E" w:rsidRDefault="003F60CB"/>
        </w:tc>
      </w:tr>
      <w:tr w:rsidR="00000000" w:rsidRPr="004D7F2E">
        <w:tblPrEx>
          <w:tblCellMar>
            <w:top w:w="0" w:type="dxa"/>
            <w:bottom w:w="0" w:type="dxa"/>
          </w:tblCellMar>
        </w:tblPrEx>
        <w:trPr>
          <w:cantSplit/>
          <w:trHeight w:hRule="exact" w:val="360"/>
        </w:trPr>
        <w:tc>
          <w:tcPr>
            <w:tcW w:w="3012" w:type="dxa"/>
          </w:tcPr>
          <w:p w:rsidR="003F60CB" w:rsidRPr="004D7F2E" w:rsidRDefault="003F60CB"/>
        </w:tc>
        <w:tc>
          <w:tcPr>
            <w:tcW w:w="3012" w:type="dxa"/>
          </w:tcPr>
          <w:p w:rsidR="003F60CB" w:rsidRPr="004D7F2E" w:rsidRDefault="003F60CB"/>
        </w:tc>
        <w:tc>
          <w:tcPr>
            <w:tcW w:w="1418" w:type="dxa"/>
          </w:tcPr>
          <w:p w:rsidR="003F60CB" w:rsidRPr="004D7F2E" w:rsidRDefault="003F60CB"/>
        </w:tc>
      </w:tr>
    </w:tbl>
    <w:p w:rsidR="003F60CB" w:rsidRPr="004D7F2E" w:rsidRDefault="003F60CB"/>
    <w:p w:rsidR="003F60CB" w:rsidRPr="004D7F2E" w:rsidRDefault="003F60CB">
      <w:pPr>
        <w:pStyle w:val="Rubrik1"/>
        <w:spacing w:after="180"/>
        <w:rPr>
          <w:noProof w:val="0"/>
        </w:rPr>
      </w:pPr>
      <w:bookmarkStart w:id="2" w:name="_Toc2146752"/>
      <w:r w:rsidRPr="004D7F2E">
        <w:rPr>
          <w:noProof w:val="0"/>
        </w:rPr>
        <w:t>Sammanfattning</w:t>
      </w:r>
      <w:bookmarkEnd w:id="2"/>
    </w:p>
    <w:p w:rsidR="003F60CB" w:rsidRPr="004D7F2E" w:rsidRDefault="003F60CB">
      <w:bookmarkStart w:id="3" w:name="TextStart"/>
      <w:bookmarkEnd w:id="3"/>
      <w:r w:rsidRPr="004D7F2E">
        <w:t xml:space="preserve">I detta betänkande behandlar utskottet ett regeringsförslag som innebär att straffet för övergrepp i rättssak höjs genom att straffskalorna anpassas till dem som gäller för mened. </w:t>
      </w:r>
    </w:p>
    <w:p w:rsidR="003F60CB" w:rsidRPr="004D7F2E" w:rsidRDefault="003F60CB">
      <w:pPr>
        <w:pStyle w:val="Normaltindrag"/>
      </w:pPr>
      <w:r w:rsidRPr="004D7F2E">
        <w:t>Lagändringen föreslås träda i kraft den 1 juli 2002.</w:t>
      </w:r>
    </w:p>
    <w:p w:rsidR="003F60CB" w:rsidRPr="004D7F2E" w:rsidRDefault="003F60CB">
      <w:pPr>
        <w:pStyle w:val="Normaltindrag"/>
      </w:pPr>
      <w:r w:rsidRPr="004D7F2E">
        <w:t>Förutom en motion väckt med anledning av propositionen tar utskottet också upp fyra motioner väckta under den allmänna motionstiden år 2001. Motionerna handlar i huvudsak om frågor om brott mot homo-, bi- och tran</w:t>
      </w:r>
      <w:r w:rsidRPr="004D7F2E">
        <w:t>s</w:t>
      </w:r>
      <w:r w:rsidRPr="004D7F2E">
        <w:t>sex</w:t>
      </w:r>
      <w:r w:rsidRPr="004D7F2E">
        <w:t>u</w:t>
      </w:r>
      <w:r w:rsidRPr="004D7F2E">
        <w:t xml:space="preserve">ella. </w:t>
      </w:r>
    </w:p>
    <w:p w:rsidR="003F60CB" w:rsidRPr="004D7F2E" w:rsidRDefault="003F60CB">
      <w:pPr>
        <w:pStyle w:val="Normaltindrag"/>
      </w:pPr>
      <w:r w:rsidRPr="004D7F2E">
        <w:t>Utskottet föreslår att riksdagen antar regeringens förslag och avslår moti</w:t>
      </w:r>
      <w:r w:rsidRPr="004D7F2E">
        <w:t>o</w:t>
      </w:r>
      <w:r w:rsidRPr="004D7F2E">
        <w:t xml:space="preserve">nerna. </w:t>
      </w:r>
    </w:p>
    <w:p w:rsidR="003F60CB" w:rsidRPr="004D7F2E" w:rsidRDefault="003F60CB">
      <w:pPr>
        <w:pStyle w:val="Normaltindrag"/>
      </w:pPr>
      <w:r w:rsidRPr="004D7F2E">
        <w:t>I ärendet finns ett särskilt yttrande.</w:t>
      </w:r>
    </w:p>
    <w:p w:rsidR="003F60CB" w:rsidRPr="004D7F2E" w:rsidRDefault="003F60CB">
      <w:pPr>
        <w:pStyle w:val="Normaltindrag"/>
        <w:sectPr w:rsidR="00000000" w:rsidRPr="004D7F2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60CB" w:rsidRPr="004D7F2E" w:rsidRDefault="003F60CB">
      <w:pPr>
        <w:pStyle w:val="Rubrik1"/>
        <w:rPr>
          <w:noProof w:val="0"/>
        </w:rPr>
      </w:pPr>
      <w:bookmarkStart w:id="4" w:name="_Toc2146753"/>
      <w:r w:rsidRPr="004D7F2E">
        <w:rPr>
          <w:noProof w:val="0"/>
        </w:rPr>
        <w:lastRenderedPageBreak/>
        <w:t>Innehållsförteckning</w:t>
      </w:r>
      <w:bookmarkEnd w:id="4"/>
    </w:p>
    <w:p w:rsidR="003F60CB" w:rsidRPr="004D7F2E" w:rsidRDefault="003F60CB">
      <w:pPr>
        <w:pStyle w:val="Innehll1"/>
      </w:pPr>
      <w:r w:rsidRPr="004D7F2E">
        <w:t>Sammanfattning</w:t>
      </w:r>
      <w:r w:rsidRPr="004D7F2E">
        <w:tab/>
        <w:t>1</w:t>
      </w:r>
    </w:p>
    <w:p w:rsidR="003F60CB" w:rsidRPr="004D7F2E" w:rsidRDefault="003F60CB">
      <w:pPr>
        <w:pStyle w:val="Innehll1"/>
      </w:pPr>
      <w:r w:rsidRPr="004D7F2E">
        <w:t>Innehållsförteckning</w:t>
      </w:r>
      <w:r w:rsidRPr="004D7F2E">
        <w:tab/>
        <w:t>2</w:t>
      </w:r>
    </w:p>
    <w:p w:rsidR="003F60CB" w:rsidRPr="004D7F2E" w:rsidRDefault="003F60CB">
      <w:pPr>
        <w:pStyle w:val="Innehll1"/>
      </w:pPr>
      <w:r w:rsidRPr="004D7F2E">
        <w:t>Utskottets förslag till riksdagsbeslut</w:t>
      </w:r>
      <w:r w:rsidRPr="004D7F2E">
        <w:tab/>
        <w:t>3</w:t>
      </w:r>
    </w:p>
    <w:p w:rsidR="003F60CB" w:rsidRPr="004D7F2E" w:rsidRDefault="003F60CB">
      <w:pPr>
        <w:pStyle w:val="Innehll1"/>
      </w:pPr>
      <w:r w:rsidRPr="004D7F2E">
        <w:t>Redogörelse för ärendet</w:t>
      </w:r>
      <w:r w:rsidRPr="004D7F2E">
        <w:tab/>
        <w:t>4</w:t>
      </w:r>
    </w:p>
    <w:p w:rsidR="003F60CB" w:rsidRPr="004D7F2E" w:rsidRDefault="003F60CB">
      <w:pPr>
        <w:pStyle w:val="Innehll2"/>
      </w:pPr>
      <w:r w:rsidRPr="004D7F2E">
        <w:t>Ärendet och dess beredning</w:t>
      </w:r>
      <w:r w:rsidRPr="004D7F2E">
        <w:tab/>
        <w:t>4</w:t>
      </w:r>
    </w:p>
    <w:p w:rsidR="003F60CB" w:rsidRPr="004D7F2E" w:rsidRDefault="003F60CB">
      <w:pPr>
        <w:pStyle w:val="Innehll2"/>
      </w:pPr>
      <w:r w:rsidRPr="004D7F2E">
        <w:t>Propositionens huvudsakliga innehåll, m.m.</w:t>
      </w:r>
      <w:r w:rsidRPr="004D7F2E">
        <w:tab/>
        <w:t>4</w:t>
      </w:r>
    </w:p>
    <w:p w:rsidR="003F60CB" w:rsidRPr="004D7F2E" w:rsidRDefault="003F60CB">
      <w:pPr>
        <w:pStyle w:val="Innehll1"/>
      </w:pPr>
      <w:r w:rsidRPr="004D7F2E">
        <w:t>Utskottets överväganden</w:t>
      </w:r>
      <w:r w:rsidRPr="004D7F2E">
        <w:tab/>
        <w:t>5</w:t>
      </w:r>
    </w:p>
    <w:p w:rsidR="003F60CB" w:rsidRPr="004D7F2E" w:rsidRDefault="003F60CB">
      <w:pPr>
        <w:pStyle w:val="Innehll2"/>
      </w:pPr>
      <w:r w:rsidRPr="004D7F2E">
        <w:t>Propositionen</w:t>
      </w:r>
      <w:r w:rsidRPr="004D7F2E">
        <w:tab/>
        <w:t>5</w:t>
      </w:r>
    </w:p>
    <w:p w:rsidR="003F60CB" w:rsidRPr="004D7F2E" w:rsidRDefault="003F60CB">
      <w:pPr>
        <w:pStyle w:val="Innehll2"/>
      </w:pPr>
      <w:r w:rsidRPr="004D7F2E">
        <w:t>Övriga frågor</w:t>
      </w:r>
      <w:r w:rsidRPr="004D7F2E">
        <w:tab/>
        <w:t>5</w:t>
      </w:r>
    </w:p>
    <w:p w:rsidR="003F60CB" w:rsidRPr="004D7F2E" w:rsidRDefault="003F60CB">
      <w:pPr>
        <w:pStyle w:val="Innehll3"/>
      </w:pPr>
      <w:r w:rsidRPr="004D7F2E">
        <w:t>Brott mot homo-, bi- och transsexuella</w:t>
      </w:r>
      <w:r w:rsidRPr="004D7F2E">
        <w:tab/>
        <w:t>5</w:t>
      </w:r>
    </w:p>
    <w:p w:rsidR="003F60CB" w:rsidRPr="004D7F2E" w:rsidRDefault="003F60CB">
      <w:pPr>
        <w:pStyle w:val="Innehll3"/>
      </w:pPr>
      <w:r w:rsidRPr="004D7F2E">
        <w:t>Myndighetsåtgärder</w:t>
      </w:r>
      <w:r w:rsidRPr="004D7F2E">
        <w:tab/>
        <w:t>7</w:t>
      </w:r>
    </w:p>
    <w:p w:rsidR="003F60CB" w:rsidRPr="004D7F2E" w:rsidRDefault="003F60CB">
      <w:pPr>
        <w:pStyle w:val="Innehll3"/>
      </w:pPr>
      <w:r w:rsidRPr="004D7F2E">
        <w:t>Registrering</w:t>
      </w:r>
      <w:r w:rsidRPr="004D7F2E">
        <w:tab/>
        <w:t>8</w:t>
      </w:r>
    </w:p>
    <w:p w:rsidR="003F60CB" w:rsidRPr="004D7F2E" w:rsidRDefault="003F60CB">
      <w:pPr>
        <w:pStyle w:val="Innehll1"/>
      </w:pPr>
      <w:r w:rsidRPr="004D7F2E">
        <w:t>Särskilt yttrande</w:t>
      </w:r>
      <w:r w:rsidRPr="004D7F2E">
        <w:tab/>
        <w:t>10</w:t>
      </w:r>
    </w:p>
    <w:p w:rsidR="003F60CB" w:rsidRPr="004D7F2E" w:rsidRDefault="003F60CB">
      <w:pPr>
        <w:pStyle w:val="Innehll2"/>
      </w:pPr>
      <w:r w:rsidRPr="004D7F2E">
        <w:t>Insatser inom rättsväsendet rörande homo-, bi- och transsexuella</w:t>
      </w:r>
      <w:r w:rsidRPr="004D7F2E">
        <w:tab/>
        <w:t>10</w:t>
      </w:r>
    </w:p>
    <w:p w:rsidR="003F60CB" w:rsidRPr="004D7F2E" w:rsidRDefault="003F60CB">
      <w:pPr>
        <w:pStyle w:val="Innehll1"/>
      </w:pPr>
      <w:r w:rsidRPr="004D7F2E">
        <w:t>Förteckning över behandlade förslag</w:t>
      </w:r>
      <w:r w:rsidRPr="004D7F2E">
        <w:tab/>
        <w:t>11</w:t>
      </w:r>
    </w:p>
    <w:p w:rsidR="003F60CB" w:rsidRPr="004D7F2E" w:rsidRDefault="003F60CB">
      <w:pPr>
        <w:pStyle w:val="Innehll2"/>
      </w:pPr>
      <w:r w:rsidRPr="004D7F2E">
        <w:t>Propositionen</w:t>
      </w:r>
      <w:r w:rsidRPr="004D7F2E">
        <w:tab/>
        <w:t>11</w:t>
      </w:r>
    </w:p>
    <w:p w:rsidR="003F60CB" w:rsidRPr="004D7F2E" w:rsidRDefault="003F60CB">
      <w:pPr>
        <w:pStyle w:val="Innehll2"/>
      </w:pPr>
      <w:r w:rsidRPr="004D7F2E">
        <w:t>Följdmotion</w:t>
      </w:r>
      <w:r w:rsidRPr="004D7F2E">
        <w:tab/>
        <w:t>11</w:t>
      </w:r>
    </w:p>
    <w:p w:rsidR="003F60CB" w:rsidRPr="004D7F2E" w:rsidRDefault="003F60CB">
      <w:pPr>
        <w:pStyle w:val="Innehll2"/>
      </w:pPr>
      <w:r w:rsidRPr="004D7F2E">
        <w:t>Motioner från allmänna motionstiden</w:t>
      </w:r>
      <w:r w:rsidRPr="004D7F2E">
        <w:tab/>
        <w:t>11</w:t>
      </w:r>
    </w:p>
    <w:p w:rsidR="003F60CB" w:rsidRPr="004D7F2E" w:rsidRDefault="003F60CB">
      <w:pPr>
        <w:pStyle w:val="Innehll1"/>
      </w:pPr>
      <w:r w:rsidRPr="004D7F2E">
        <w:t>Regeringens lagförslag</w:t>
      </w:r>
      <w:r w:rsidRPr="004D7F2E">
        <w:tab/>
        <w:t>13</w:t>
      </w:r>
    </w:p>
    <w:p w:rsidR="003F60CB" w:rsidRPr="004D7F2E" w:rsidRDefault="003F60CB">
      <w:pPr>
        <w:pStyle w:val="Innehll2"/>
        <w:tabs>
          <w:tab w:val="left" w:pos="851"/>
        </w:tabs>
      </w:pPr>
      <w:r w:rsidRPr="004D7F2E">
        <w:t xml:space="preserve">2.2 </w:t>
      </w:r>
      <w:r w:rsidRPr="004D7F2E">
        <w:tab/>
        <w:t>Förslag till lag om ändring i brottsbalken</w:t>
      </w:r>
      <w:r w:rsidRPr="004D7F2E">
        <w:tab/>
        <w:t>13</w:t>
      </w:r>
    </w:p>
    <w:p w:rsidR="003F60CB" w:rsidRPr="004D7F2E" w:rsidRDefault="003F60CB"/>
    <w:p w:rsidR="003F60CB" w:rsidRPr="004D7F2E" w:rsidRDefault="003F60CB">
      <w:pPr>
        <w:pStyle w:val="Normaltindrag"/>
        <w:sectPr w:rsidR="00000000" w:rsidRPr="004D7F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F60CB" w:rsidRPr="004D7F2E" w:rsidRDefault="003F60CB">
      <w:pPr>
        <w:pStyle w:val="Rubrik1"/>
        <w:rPr>
          <w:noProof w:val="0"/>
        </w:rPr>
      </w:pPr>
      <w:bookmarkStart w:id="5" w:name="_Toc2146754"/>
      <w:r w:rsidRPr="004D7F2E">
        <w:rPr>
          <w:noProof w:val="0"/>
        </w:rPr>
        <w:t>Utskottets förslag till riksdagsbeslut</w:t>
      </w:r>
      <w:bookmarkEnd w:id="5"/>
    </w:p>
    <w:p w:rsidR="003F60CB" w:rsidRPr="004D7F2E" w:rsidRDefault="003F60CB"/>
    <w:p w:rsidR="003F60CB" w:rsidRPr="004D7F2E" w:rsidRDefault="003F60CB">
      <w:pPr>
        <w:pStyle w:val="Frslagspunkt"/>
        <w:spacing w:before="0"/>
        <w:outlineLvl w:val="0"/>
        <w:rPr>
          <w:noProof w:val="0"/>
        </w:rPr>
      </w:pPr>
      <w:r w:rsidRPr="004D7F2E">
        <w:rPr>
          <w:noProof w:val="0"/>
        </w:rPr>
        <w:t>1.</w:t>
      </w:r>
      <w:r w:rsidRPr="004D7F2E">
        <w:rPr>
          <w:noProof w:val="0"/>
        </w:rPr>
        <w:tab/>
        <w:t>Övergrepp i rättssak</w:t>
      </w:r>
    </w:p>
    <w:p w:rsidR="003F60CB" w:rsidRPr="004D7F2E" w:rsidRDefault="003F60CB">
      <w:pPr>
        <w:pStyle w:val="Frslagstext"/>
      </w:pPr>
      <w:r w:rsidRPr="004D7F2E">
        <w:t>Riksdagen antar regeringens förslag till lag om ändring i brottsbalken s</w:t>
      </w:r>
      <w:r w:rsidRPr="004D7F2E">
        <w:t>å</w:t>
      </w:r>
      <w:r w:rsidRPr="004D7F2E">
        <w:t xml:space="preserve">vitt avser 17 kap. 10 §. Därmed avslår riksdagen motion 2001/02:K28 yrkande 1 i denna del.         </w:t>
      </w:r>
      <w:bookmarkStart w:id="6" w:name="RESPARTI001"/>
      <w:bookmarkEnd w:id="6"/>
    </w:p>
    <w:p w:rsidR="003F60CB" w:rsidRPr="004D7F2E" w:rsidRDefault="003F60CB">
      <w:pPr>
        <w:pStyle w:val="Frslagspunkt"/>
        <w:outlineLvl w:val="0"/>
        <w:rPr>
          <w:noProof w:val="0"/>
        </w:rPr>
      </w:pPr>
      <w:r w:rsidRPr="004D7F2E">
        <w:rPr>
          <w:noProof w:val="0"/>
        </w:rPr>
        <w:t>2.</w:t>
      </w:r>
      <w:r w:rsidRPr="004D7F2E">
        <w:rPr>
          <w:noProof w:val="0"/>
        </w:rPr>
        <w:tab/>
        <w:t>Brott mot homo-, bi- och transsexuella</w:t>
      </w:r>
    </w:p>
    <w:p w:rsidR="003F60CB" w:rsidRPr="004D7F2E" w:rsidRDefault="003F60CB">
      <w:pPr>
        <w:pStyle w:val="Frslagstext"/>
      </w:pPr>
      <w:r w:rsidRPr="004D7F2E">
        <w:t>Riksdagen avslår motionerna 2001/02:L371 yrkandena 4, 6 och 7 samt 2001/02:A388 y</w:t>
      </w:r>
      <w:r w:rsidRPr="004D7F2E">
        <w:t>r</w:t>
      </w:r>
      <w:r w:rsidRPr="004D7F2E">
        <w:t>kande 3.</w:t>
      </w:r>
      <w:bookmarkStart w:id="7" w:name="RESPARTI002"/>
      <w:bookmarkEnd w:id="7"/>
    </w:p>
    <w:p w:rsidR="003F60CB" w:rsidRPr="004D7F2E" w:rsidRDefault="003F60CB">
      <w:pPr>
        <w:pStyle w:val="Frslagspunkt"/>
        <w:outlineLvl w:val="0"/>
        <w:rPr>
          <w:noProof w:val="0"/>
        </w:rPr>
      </w:pPr>
      <w:r w:rsidRPr="004D7F2E">
        <w:rPr>
          <w:noProof w:val="0"/>
        </w:rPr>
        <w:t>3.</w:t>
      </w:r>
      <w:r w:rsidRPr="004D7F2E">
        <w:rPr>
          <w:noProof w:val="0"/>
        </w:rPr>
        <w:tab/>
        <w:t>Myndighetsåtgärder</w:t>
      </w:r>
    </w:p>
    <w:p w:rsidR="003F60CB" w:rsidRPr="004D7F2E" w:rsidRDefault="003F60CB">
      <w:pPr>
        <w:pStyle w:val="Frslagstext"/>
      </w:pPr>
      <w:r w:rsidRPr="004D7F2E">
        <w:t xml:space="preserve">Riksdagen avslår motionerna 2001/02:Ju342, 2001/02:L367 yrkande 8 och 2001/02:L371 yrkandena 9–11.       </w:t>
      </w:r>
      <w:bookmarkStart w:id="8" w:name="RESPARTI003"/>
      <w:bookmarkEnd w:id="8"/>
    </w:p>
    <w:p w:rsidR="003F60CB" w:rsidRPr="004D7F2E" w:rsidRDefault="003F60CB">
      <w:pPr>
        <w:pStyle w:val="Frslagspunkt"/>
        <w:outlineLvl w:val="0"/>
        <w:rPr>
          <w:noProof w:val="0"/>
        </w:rPr>
      </w:pPr>
      <w:r w:rsidRPr="004D7F2E">
        <w:rPr>
          <w:noProof w:val="0"/>
        </w:rPr>
        <w:t>4.</w:t>
      </w:r>
      <w:r w:rsidRPr="004D7F2E">
        <w:rPr>
          <w:noProof w:val="0"/>
        </w:rPr>
        <w:tab/>
        <w:t>Registrering</w:t>
      </w:r>
    </w:p>
    <w:p w:rsidR="003F60CB" w:rsidRPr="004D7F2E" w:rsidRDefault="003F60CB">
      <w:pPr>
        <w:pStyle w:val="Frslagstext"/>
      </w:pPr>
      <w:r w:rsidRPr="004D7F2E">
        <w:t xml:space="preserve">Riksdagen avslår motion 2001/02:A388 yrkande 2.       </w:t>
      </w:r>
      <w:bookmarkStart w:id="9" w:name="RESPARTI005"/>
      <w:bookmarkEnd w:id="9"/>
    </w:p>
    <w:p w:rsidR="003F60CB" w:rsidRPr="004D7F2E" w:rsidRDefault="003F60CB">
      <w:pPr>
        <w:pStyle w:val="Frslagstext"/>
      </w:pPr>
      <w:bookmarkStart w:id="10" w:name="Nästa_Hpunkt"/>
      <w:bookmarkEnd w:id="10"/>
    </w:p>
    <w:p w:rsidR="003F60CB" w:rsidRPr="004D7F2E" w:rsidRDefault="003F60CB">
      <w:pPr>
        <w:pStyle w:val="Frslagstext"/>
      </w:pPr>
    </w:p>
    <w:p w:rsidR="003F60CB" w:rsidRPr="004D7F2E" w:rsidRDefault="003F60CB">
      <w:pPr>
        <w:pStyle w:val="Frslagstext"/>
      </w:pPr>
    </w:p>
    <w:p w:rsidR="003F60CB" w:rsidRPr="004D7F2E" w:rsidRDefault="003F60CB">
      <w:pPr>
        <w:pStyle w:val="Normaltindrag"/>
        <w:ind w:firstLine="0"/>
      </w:pPr>
      <w:bookmarkStart w:id="11" w:name="RESPARTI004"/>
      <w:bookmarkEnd w:id="11"/>
    </w:p>
    <w:p w:rsidR="003F60CB" w:rsidRPr="004D7F2E" w:rsidRDefault="003F60CB">
      <w:pPr>
        <w:pStyle w:val="Utskriftsdatum"/>
        <w:outlineLvl w:val="0"/>
      </w:pPr>
      <w:r w:rsidRPr="004D7F2E">
        <w:t>Stockholm den 19 februari 2002</w:t>
      </w:r>
    </w:p>
    <w:p w:rsidR="003F60CB" w:rsidRPr="004D7F2E" w:rsidRDefault="003F60CB">
      <w:r w:rsidRPr="004D7F2E">
        <w:t>På justitieutskottets vägnar</w:t>
      </w:r>
    </w:p>
    <w:p w:rsidR="003F60CB" w:rsidRPr="004D7F2E" w:rsidRDefault="003F60CB">
      <w:pPr>
        <w:pStyle w:val="Normaltindrag"/>
      </w:pPr>
    </w:p>
    <w:p w:rsidR="003F60CB" w:rsidRPr="004D7F2E" w:rsidRDefault="003F60CB">
      <w:pPr>
        <w:pStyle w:val="Ordfranden"/>
        <w:outlineLvl w:val="0"/>
        <w:rPr>
          <w:noProof w:val="0"/>
        </w:rPr>
      </w:pPr>
      <w:bookmarkStart w:id="12" w:name="Ordförande"/>
      <w:bookmarkEnd w:id="12"/>
      <w:r w:rsidRPr="004D7F2E">
        <w:rPr>
          <w:noProof w:val="0"/>
        </w:rPr>
        <w:t xml:space="preserve">Fredrik Reinfeldt </w:t>
      </w:r>
    </w:p>
    <w:p w:rsidR="003F60CB" w:rsidRPr="004D7F2E" w:rsidRDefault="003F60CB">
      <w:pPr>
        <w:pStyle w:val="Deltagare"/>
        <w:rPr>
          <w:noProof w:val="0"/>
        </w:rPr>
      </w:pPr>
      <w:bookmarkStart w:id="13" w:name="Deltagare"/>
      <w:bookmarkEnd w:id="13"/>
      <w:r w:rsidRPr="004D7F2E">
        <w:rPr>
          <w:noProof w:val="0"/>
        </w:rPr>
        <w:t>Följande ledamöter har deltagit i beslutet: Fredrik Reinfeldt (m), Ingvar Johnsson (s), Margareta Sandgren (s), Alice Åström (v), Ingemar Vänerlöv (kd), Maud Ekendahl (m), Ann-Marie Fagerström (s), Helena Zakariasén (s), Yvonne Oscarsson (v), Ragnwi Marcelind (kd), Anita Sidén (m), Kia Andreasson (mp), Gunnel Wallin (c), Göran Norlander (s), Lennart Bolander (m), Yilmaz Kerimo (s) och Helena Bargholtz (fp).</w:t>
      </w:r>
    </w:p>
    <w:p w:rsidR="003F60CB" w:rsidRPr="004D7F2E" w:rsidRDefault="003F60CB">
      <w:pPr>
        <w:pStyle w:val="Normaltindrag"/>
      </w:pPr>
    </w:p>
    <w:p w:rsidR="003F60CB" w:rsidRPr="004D7F2E" w:rsidRDefault="003F60CB">
      <w:pPr>
        <w:pStyle w:val="Normaltindrag"/>
        <w:sectPr w:rsidR="00000000" w:rsidRPr="004D7F2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F60CB" w:rsidRPr="004D7F2E" w:rsidRDefault="003F60CB">
      <w:pPr>
        <w:pStyle w:val="Rubrik1"/>
        <w:rPr>
          <w:noProof w:val="0"/>
        </w:rPr>
      </w:pPr>
      <w:bookmarkStart w:id="14" w:name="_Toc2146755"/>
      <w:r w:rsidRPr="004D7F2E">
        <w:rPr>
          <w:noProof w:val="0"/>
        </w:rPr>
        <w:t>Redogörelse för ärendet</w:t>
      </w:r>
      <w:bookmarkEnd w:id="14"/>
    </w:p>
    <w:p w:rsidR="003F60CB" w:rsidRPr="004D7F2E" w:rsidRDefault="003F60CB">
      <w:pPr>
        <w:pStyle w:val="Rubrik2"/>
        <w:spacing w:before="250"/>
      </w:pPr>
      <w:bookmarkStart w:id="15" w:name="_Toc2146756"/>
      <w:r w:rsidRPr="004D7F2E">
        <w:t>Ärendet och dess beredning</w:t>
      </w:r>
      <w:bookmarkEnd w:id="15"/>
    </w:p>
    <w:p w:rsidR="003F60CB" w:rsidRPr="004D7F2E" w:rsidRDefault="003F60CB">
      <w:r w:rsidRPr="004D7F2E">
        <w:t>I detta ärende behandlar utskottet ett förslag från regeringen, i proposition 2001/02:59 Hets mot folkgrupp, m.m., om ändring i brottsbalken avseende bestämmelsen om övergrepp i rättssak (17 kap. 10 §). Övriga förslag i prop</w:t>
      </w:r>
      <w:r w:rsidRPr="004D7F2E">
        <w:t>o</w:t>
      </w:r>
      <w:r w:rsidRPr="004D7F2E">
        <w:t>sitionen behandlas av konstitutionsutskottet i betänkande 2001/02:KU23 i vilket justitieutskottet har yttrat sig i de delar som avser utskottets bere</w:t>
      </w:r>
      <w:r w:rsidRPr="004D7F2E">
        <w:t>d</w:t>
      </w:r>
      <w:r w:rsidRPr="004D7F2E">
        <w:t>ningsomr</w:t>
      </w:r>
      <w:r w:rsidRPr="004D7F2E">
        <w:t>å</w:t>
      </w:r>
      <w:r w:rsidRPr="004D7F2E">
        <w:t>de (se yttrande 2001/02:JuU4y).</w:t>
      </w:r>
    </w:p>
    <w:p w:rsidR="003F60CB" w:rsidRPr="004D7F2E" w:rsidRDefault="003F60CB">
      <w:pPr>
        <w:pStyle w:val="Normaltindrag"/>
      </w:pPr>
      <w:r w:rsidRPr="004D7F2E">
        <w:t>Förslaget i här aktuell del bygger på de förslag som Kommittén om straffansvar för organiserad brottslighet, m.m. avlämnade i oktober 2000 i betänkandet Organiserad brottslighet, hets mot folkgrupp, hets mot homose</w:t>
      </w:r>
      <w:r w:rsidRPr="004D7F2E">
        <w:t>x</w:t>
      </w:r>
      <w:r w:rsidRPr="004D7F2E">
        <w:t>uella, m.m. – straffansvarets räckvidd (SOU 2000:88) och remissbehandlin</w:t>
      </w:r>
      <w:r w:rsidRPr="004D7F2E">
        <w:t>g</w:t>
      </w:r>
      <w:r w:rsidRPr="004D7F2E">
        <w:t>en av betä</w:t>
      </w:r>
      <w:r w:rsidRPr="004D7F2E">
        <w:t>n</w:t>
      </w:r>
      <w:r w:rsidRPr="004D7F2E">
        <w:t>kandet (Ju 2000/5820/L5).</w:t>
      </w:r>
    </w:p>
    <w:p w:rsidR="003F60CB" w:rsidRPr="004D7F2E" w:rsidRDefault="003F60CB">
      <w:pPr>
        <w:pStyle w:val="Normaltindrag"/>
      </w:pPr>
      <w:r w:rsidRPr="004D7F2E">
        <w:t>Lagförslaget har granskats av Lagrådet och har inte föranlett några sy</w:t>
      </w:r>
      <w:r w:rsidRPr="004D7F2E">
        <w:t>n</w:t>
      </w:r>
      <w:r w:rsidRPr="004D7F2E">
        <w:t>punkter.</w:t>
      </w:r>
    </w:p>
    <w:p w:rsidR="003F60CB" w:rsidRPr="004D7F2E" w:rsidRDefault="003F60CB">
      <w:pPr>
        <w:pStyle w:val="Normaltindrag"/>
      </w:pPr>
      <w:r w:rsidRPr="004D7F2E">
        <w:t xml:space="preserve">Regeringens lagförslag finns i </w:t>
      </w:r>
      <w:r w:rsidRPr="004D7F2E">
        <w:rPr>
          <w:i/>
        </w:rPr>
        <w:t>bilaga 2</w:t>
      </w:r>
      <w:r w:rsidRPr="004D7F2E">
        <w:t>.</w:t>
      </w:r>
    </w:p>
    <w:p w:rsidR="003F60CB" w:rsidRPr="004D7F2E" w:rsidRDefault="003F60CB">
      <w:pPr>
        <w:pStyle w:val="Normaltindrag"/>
      </w:pPr>
      <w:r w:rsidRPr="004D7F2E">
        <w:t>Utöver regeringens förslag behandlar utskottet en motion som väckts med anledning av propositionen och fyra motioner som väckts under den allmänna motionstiden år 2001.</w:t>
      </w:r>
    </w:p>
    <w:p w:rsidR="003F60CB" w:rsidRPr="004D7F2E" w:rsidRDefault="003F60CB">
      <w:pPr>
        <w:pStyle w:val="Rubrik2"/>
      </w:pPr>
      <w:bookmarkStart w:id="16" w:name="_Toc2146757"/>
      <w:r w:rsidRPr="004D7F2E">
        <w:t>Propositionens huvudsakliga innehåll, m.m.</w:t>
      </w:r>
      <w:bookmarkEnd w:id="16"/>
      <w:r w:rsidRPr="004D7F2E">
        <w:t xml:space="preserve"> </w:t>
      </w:r>
    </w:p>
    <w:p w:rsidR="003F60CB" w:rsidRPr="004D7F2E" w:rsidRDefault="003F60CB">
      <w:r w:rsidRPr="004D7F2E">
        <w:t>I propositionen behandlas frågor om det straffrättsliga ansvaret för brottsli</w:t>
      </w:r>
      <w:r w:rsidRPr="004D7F2E">
        <w:t>g</w:t>
      </w:r>
      <w:r w:rsidRPr="004D7F2E">
        <w:t xml:space="preserve">het med rasistiska, homofobiska och liknande inslag samt vissa frågor med anknytning till organiserad brottslighet. I propositionen föreslås, såvitt här är av intresse, att straffet för övergrepp i rättssak höjs genom att straffskalorna anpassas till dem som gäller för mened. </w:t>
      </w:r>
    </w:p>
    <w:p w:rsidR="003F60CB" w:rsidRPr="004D7F2E" w:rsidRDefault="003F60CB">
      <w:pPr>
        <w:pStyle w:val="Normaltindrag"/>
      </w:pPr>
      <w:r w:rsidRPr="004D7F2E">
        <w:t>Lagändringen föreslås träda i kraft den 1 juli 2002.</w:t>
      </w:r>
    </w:p>
    <w:p w:rsidR="003F60CB" w:rsidRPr="004D7F2E" w:rsidRDefault="003F60CB">
      <w:pPr>
        <w:pStyle w:val="Normaltindrag"/>
      </w:pPr>
      <w:r w:rsidRPr="004D7F2E">
        <w:t>I propositionen föreslås även ändringar bl.a. avseende brottet hets mot folkgrupp. Här föreslås en särskild straffskala för grova fall och tillämpning</w:t>
      </w:r>
      <w:r w:rsidRPr="004D7F2E">
        <w:t>s</w:t>
      </w:r>
      <w:r w:rsidRPr="004D7F2E">
        <w:t>området för bestämmelsen utvidgas så att också hets med anspelning på sex</w:t>
      </w:r>
      <w:r w:rsidRPr="004D7F2E">
        <w:t>u</w:t>
      </w:r>
      <w:r w:rsidRPr="004D7F2E">
        <w:t>ell läggning omfattas. Vidare förtydligas straffskärpningsregeln i 29 kap. 2 § 7 brottsbalken så att det uttryckligen framgår att kränkningar på grund av sexuell läggning omfattas. Propositionen i denna del behandlas i konstit</w:t>
      </w:r>
      <w:r w:rsidRPr="004D7F2E">
        <w:t>u</w:t>
      </w:r>
      <w:r w:rsidRPr="004D7F2E">
        <w:t>tionsutskottet. Justitieutskottet har yttrat sig till konstitutionsutskottet i dessa delar och därvid tillstyrkt regeringens fö</w:t>
      </w:r>
      <w:r w:rsidRPr="004D7F2E">
        <w:t>r</w:t>
      </w:r>
      <w:r w:rsidRPr="004D7F2E">
        <w:t>slag (se bet. 2001/02:JuU4y).</w:t>
      </w:r>
    </w:p>
    <w:p w:rsidR="003F60CB" w:rsidRPr="004D7F2E" w:rsidRDefault="003F60CB">
      <w:pPr>
        <w:pStyle w:val="Normaltindrag"/>
        <w:sectPr w:rsidR="00000000" w:rsidRPr="004D7F2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F60CB" w:rsidRPr="004D7F2E" w:rsidRDefault="003F60CB">
      <w:pPr>
        <w:pStyle w:val="Rubrik1"/>
        <w:rPr>
          <w:noProof w:val="0"/>
        </w:rPr>
      </w:pPr>
      <w:bookmarkStart w:id="17" w:name="_Toc2146758"/>
      <w:r w:rsidRPr="004D7F2E">
        <w:rPr>
          <w:noProof w:val="0"/>
        </w:rPr>
        <w:t>Utskottets överväganden</w:t>
      </w:r>
      <w:bookmarkEnd w:id="17"/>
    </w:p>
    <w:p w:rsidR="003F60CB" w:rsidRPr="004D7F2E" w:rsidRDefault="003F60CB">
      <w:pPr>
        <w:pStyle w:val="Rubrik2"/>
        <w:spacing w:before="250"/>
      </w:pPr>
      <w:bookmarkStart w:id="18" w:name="_Toc2146759"/>
      <w:r w:rsidRPr="004D7F2E">
        <w:t>Propositionen</w:t>
      </w:r>
      <w:bookmarkEnd w:id="18"/>
    </w:p>
    <w:p w:rsidR="003F60CB" w:rsidRPr="004D7F2E" w:rsidRDefault="003F60CB">
      <w:r w:rsidRPr="004D7F2E">
        <w:t>I propositionen föreslår regeringen att straffskalan för övergrepp i rättssak ändras. För övergrepp i rättssak skall alltså enligt förslaget dömas till fängelse i högst fyra år eller, om brottet är ringa, till böter eller fängelse i högst sex månader. För grovt brott skall dömas till lägst två och högst åtta år. Härig</w:t>
      </w:r>
      <w:r w:rsidRPr="004D7F2E">
        <w:t>e</w:t>
      </w:r>
      <w:r w:rsidRPr="004D7F2E">
        <w:t xml:space="preserve">nom kommer straffskalan för övergrepp i rättssak att överensstämma med den som enligt 15 kap. 1 § brottsbalken gäller för mened. </w:t>
      </w:r>
    </w:p>
    <w:p w:rsidR="003F60CB" w:rsidRPr="004D7F2E" w:rsidRDefault="003F60CB">
      <w:pPr>
        <w:pStyle w:val="Normaltindrag"/>
      </w:pPr>
      <w:r w:rsidRPr="004D7F2E">
        <w:t xml:space="preserve">I motion K28 (m) yrkas avslag på propositionen i denna del. </w:t>
      </w:r>
    </w:p>
    <w:p w:rsidR="003F60CB" w:rsidRPr="004D7F2E" w:rsidRDefault="003F60CB">
      <w:pPr>
        <w:pStyle w:val="Normaltindrag"/>
      </w:pPr>
      <w:r w:rsidRPr="004D7F2E">
        <w:t>Genom regeringens förslag tillgodoses ett gammalt önskemål från riksd</w:t>
      </w:r>
      <w:r w:rsidRPr="004D7F2E">
        <w:t>a</w:t>
      </w:r>
      <w:r w:rsidRPr="004D7F2E">
        <w:t>gen (se bet. 1999/2000:JuU7, rskr. 1999/2000:129). Det är därför med til</w:t>
      </w:r>
      <w:r w:rsidRPr="004D7F2E">
        <w:t>l</w:t>
      </w:r>
      <w:r w:rsidRPr="004D7F2E">
        <w:t xml:space="preserve">fredsställelse som utskottet nu kan konstatera att regeringen lagt fram ett förslag helt i linje med vad utskottet tidigare uttalat. Utskottet föreslår att riksdagen bifaller propositionen och avslår motionen. </w:t>
      </w:r>
    </w:p>
    <w:p w:rsidR="003F60CB" w:rsidRPr="004D7F2E" w:rsidRDefault="003F60CB">
      <w:pPr>
        <w:pStyle w:val="Rubrik2"/>
      </w:pPr>
      <w:bookmarkStart w:id="19" w:name="_Toc2146760"/>
      <w:r w:rsidRPr="004D7F2E">
        <w:t>Övriga frågor</w:t>
      </w:r>
      <w:bookmarkEnd w:id="19"/>
    </w:p>
    <w:p w:rsidR="003F60CB" w:rsidRPr="004D7F2E" w:rsidRDefault="003F60CB">
      <w:pPr>
        <w:pStyle w:val="Rubrik3"/>
        <w:rPr>
          <w:noProof w:val="0"/>
        </w:rPr>
      </w:pPr>
      <w:bookmarkStart w:id="20" w:name="_Toc2146761"/>
      <w:r w:rsidRPr="004D7F2E">
        <w:rPr>
          <w:noProof w:val="0"/>
        </w:rPr>
        <w:t>Brott mot homo-, bi- och transsexuella</w:t>
      </w:r>
      <w:bookmarkEnd w:id="20"/>
      <w:r w:rsidRPr="004D7F2E">
        <w:rPr>
          <w:noProof w:val="0"/>
        </w:rPr>
        <w:t xml:space="preserve"> </w:t>
      </w:r>
    </w:p>
    <w:p w:rsidR="003F60CB" w:rsidRPr="004D7F2E" w:rsidRDefault="003F60CB">
      <w:r w:rsidRPr="004D7F2E">
        <w:t>I motion att A388 (kd) yrkas att de bestämmelser i bl.a. brottsbalken som i dag ger homosexuella skydd bör utvidgas så att de även omfattar sexuell läggning och sexuell identitet. I motion L371 (v, s, c, fp, mp) begärs att sex</w:t>
      </w:r>
      <w:r w:rsidRPr="004D7F2E">
        <w:t>u</w:t>
      </w:r>
      <w:r w:rsidRPr="004D7F2E">
        <w:t>ell läggning och identitet skall omfattas av brottet olaga diskriminering och av åtalsbestämmelsen i 5 kap. brottsbalken om ärekränkningsbrotten. I sistnäm</w:t>
      </w:r>
      <w:r w:rsidRPr="004D7F2E">
        <w:t>n</w:t>
      </w:r>
      <w:r w:rsidRPr="004D7F2E">
        <w:t>da motion begärs också att en översyn görs av tillämpningen av straffskär</w:t>
      </w:r>
      <w:r w:rsidRPr="004D7F2E">
        <w:t>p</w:t>
      </w:r>
      <w:r w:rsidRPr="004D7F2E">
        <w:t>ningsbestämmelsen i 29 kap. 2 § 7 brottsba</w:t>
      </w:r>
      <w:r w:rsidRPr="004D7F2E">
        <w:t>l</w:t>
      </w:r>
      <w:r w:rsidRPr="004D7F2E">
        <w:t xml:space="preserve">ken. </w:t>
      </w:r>
    </w:p>
    <w:p w:rsidR="003F60CB" w:rsidRPr="004D7F2E" w:rsidRDefault="003F60CB">
      <w:pPr>
        <w:pStyle w:val="Normaltindrag"/>
        <w:rPr>
          <w:snapToGrid w:val="0"/>
          <w:lang w:eastAsia="sv-SE"/>
        </w:rPr>
      </w:pPr>
      <w:r w:rsidRPr="004D7F2E">
        <w:rPr>
          <w:snapToGrid w:val="0"/>
          <w:lang w:eastAsia="sv-SE"/>
        </w:rPr>
        <w:t>I 29 kap. 2 § 7 brottsbalken finns alltså straffskärpningsbestämmelser för brott som begåtts med motiv att kränka en person, en folkgrupp eller annan sådan grupp av personer på grund av ras, hudfärg, nationellt eller etniskt ursprun</w:t>
      </w:r>
      <w:r w:rsidRPr="004D7F2E">
        <w:rPr>
          <w:snapToGrid w:val="0"/>
          <w:lang w:eastAsia="sv-SE"/>
        </w:rPr>
        <w:t>g, trosbekännelse eller annan liknande omständighet. Enligt förarbet</w:t>
      </w:r>
      <w:r w:rsidRPr="004D7F2E">
        <w:rPr>
          <w:snapToGrid w:val="0"/>
          <w:lang w:eastAsia="sv-SE"/>
        </w:rPr>
        <w:t>e</w:t>
      </w:r>
      <w:r w:rsidRPr="004D7F2E">
        <w:rPr>
          <w:snapToGrid w:val="0"/>
          <w:lang w:eastAsia="sv-SE"/>
        </w:rPr>
        <w:t>na till bestämmelsen omfattas en persons sexuella läggning av uttrycket “annan liknande omständighet” (prop. 1993/94:101 s. 22). Det finns även särskilda åtalsregler i 5 kap. 5 § brottsbalken som skall tillämpas om någon begår brottet förolämpning och det anspelar på någon annans homosexuella läg</w:t>
      </w:r>
      <w:r w:rsidRPr="004D7F2E">
        <w:rPr>
          <w:snapToGrid w:val="0"/>
          <w:lang w:eastAsia="sv-SE"/>
        </w:rPr>
        <w:t>g</w:t>
      </w:r>
      <w:r w:rsidRPr="004D7F2E">
        <w:rPr>
          <w:snapToGrid w:val="0"/>
          <w:lang w:eastAsia="sv-SE"/>
        </w:rPr>
        <w:t>ning.</w:t>
      </w:r>
    </w:p>
    <w:p w:rsidR="003F60CB" w:rsidRPr="004D7F2E" w:rsidRDefault="003F60CB">
      <w:pPr>
        <w:pStyle w:val="Normaltindrag"/>
        <w:rPr>
          <w:snapToGrid w:val="0"/>
          <w:lang w:eastAsia="sv-SE"/>
        </w:rPr>
      </w:pPr>
      <w:r w:rsidRPr="004D7F2E">
        <w:rPr>
          <w:snapToGrid w:val="0"/>
          <w:lang w:eastAsia="sv-SE"/>
        </w:rPr>
        <w:t>I 16 kap. 9 § brottsbalken förbjuds näringsidkare att diskriminera någon på grund av hans eller hennes homosexuella läggning. Förbudet gäll</w:t>
      </w:r>
      <w:r w:rsidRPr="004D7F2E">
        <w:rPr>
          <w:snapToGrid w:val="0"/>
          <w:lang w:eastAsia="sv-SE"/>
        </w:rPr>
        <w:t>er även för den som anordnar allmän sammankomst eller offentlig tillställning och för den som är anställd i näringsverksamhet eller annars handlar på en näringsi</w:t>
      </w:r>
      <w:r w:rsidRPr="004D7F2E">
        <w:rPr>
          <w:snapToGrid w:val="0"/>
          <w:lang w:eastAsia="sv-SE"/>
        </w:rPr>
        <w:t>d</w:t>
      </w:r>
      <w:r w:rsidRPr="004D7F2E">
        <w:rPr>
          <w:snapToGrid w:val="0"/>
          <w:lang w:eastAsia="sv-SE"/>
        </w:rPr>
        <w:t>kares vägnar samt för den som är anställd i allmän tjänst eller innehar allmänt uppdrag. Straffet är böter eller fängelse i högst ett år.</w:t>
      </w:r>
    </w:p>
    <w:p w:rsidR="003F60CB" w:rsidRPr="004D7F2E" w:rsidRDefault="003F60CB">
      <w:pPr>
        <w:pStyle w:val="Normaltindrag"/>
      </w:pPr>
      <w:r w:rsidRPr="004D7F2E">
        <w:rPr>
          <w:snapToGrid w:val="0"/>
          <w:lang w:eastAsia="sv-SE"/>
        </w:rPr>
        <w:t>I den del av propositionen som behandlas i konstitutionsutskottet föreslår regeringen alltså bl.a. att hets mot homosexuella skall kriminaliseras genom en utvidgning av bestämmelsen om hets mot folkgrupp i 16 kap</w:t>
      </w:r>
      <w:r w:rsidRPr="004D7F2E">
        <w:rPr>
          <w:snapToGrid w:val="0"/>
          <w:lang w:eastAsia="sv-SE"/>
        </w:rPr>
        <w:t>. 8 § brott</w:t>
      </w:r>
      <w:r w:rsidRPr="004D7F2E">
        <w:rPr>
          <w:snapToGrid w:val="0"/>
          <w:lang w:eastAsia="sv-SE"/>
        </w:rPr>
        <w:t>s</w:t>
      </w:r>
      <w:r w:rsidRPr="004D7F2E">
        <w:rPr>
          <w:snapToGrid w:val="0"/>
          <w:lang w:eastAsia="sv-SE"/>
        </w:rPr>
        <w:t xml:space="preserve">balken. Där föreslås också, utan att någon saklig förändring är avsedd, att i </w:t>
      </w:r>
      <w:r w:rsidRPr="004D7F2E">
        <w:t>29 kap. 2 § 7 brottsbalken skall, i förtydligande syfte och i konsekvens med de föreslagna ändringarna i bestämmelsen om hets mot folkgrupp, särskilt anges sexuell läggning. Som framgår av justitieutskottets yttrande ställer sig u</w:t>
      </w:r>
      <w:r w:rsidRPr="004D7F2E">
        <w:t>t</w:t>
      </w:r>
      <w:r w:rsidRPr="004D7F2E">
        <w:t>skottet bakom regeringens bedömningar i dessa delar. Vad som nu sagts innebär att utskottet delar uppfattningen att sexuell läggning bör omfattas av bestämmelsen om hets mot folkgrupp. I fråg</w:t>
      </w:r>
      <w:r w:rsidRPr="004D7F2E">
        <w:t>a om åtalsbestämmelsen i 5 kap. 5 § 4 brottsbalken är så delvis redan fallet. Såtillvida är alltså syftet med motionerna tillgodosett genom gällande lag och de förslag som läggs fram i prop</w:t>
      </w:r>
      <w:r w:rsidRPr="004D7F2E">
        <w:t>o</w:t>
      </w:r>
      <w:r w:rsidRPr="004D7F2E">
        <w:t>sitionen.</w:t>
      </w:r>
    </w:p>
    <w:p w:rsidR="003F60CB" w:rsidRPr="004D7F2E" w:rsidRDefault="003F60CB">
      <w:pPr>
        <w:pStyle w:val="Normaltindrag"/>
      </w:pPr>
      <w:r w:rsidRPr="004D7F2E">
        <w:t xml:space="preserve">Här bör tilläggas att </w:t>
      </w:r>
      <w:r w:rsidRPr="004D7F2E">
        <w:rPr>
          <w:i/>
        </w:rPr>
        <w:t>sexuell läggning</w:t>
      </w:r>
      <w:r w:rsidRPr="004D7F2E">
        <w:t xml:space="preserve"> i propositionen definieras som  homo-, hetero- eller bisexuell läggning. Avsikten är att uttrycket sexuell läggning skall användas med denna innebörd på ett enhetligt och konsekvent sätt i lagstiftningen (prop. s. 40). Härigenom görs ett klarläggande som rik</w:t>
      </w:r>
      <w:r w:rsidRPr="004D7F2E">
        <w:t>s</w:t>
      </w:r>
      <w:r w:rsidRPr="004D7F2E">
        <w:t xml:space="preserve">dagen tidigare efterlyst (se bet. 1997/98:JuU20 s. 24, rskr. 276). </w:t>
      </w:r>
    </w:p>
    <w:p w:rsidR="003F60CB" w:rsidRPr="004D7F2E" w:rsidRDefault="003F60CB">
      <w:pPr>
        <w:pStyle w:val="Normaltindrag"/>
        <w:rPr>
          <w:snapToGrid w:val="0"/>
          <w:lang w:eastAsia="sv-SE"/>
        </w:rPr>
      </w:pPr>
      <w:r w:rsidRPr="004D7F2E">
        <w:t xml:space="preserve">När det gäller det straffrättsliga skyddet för den sexuella identiteten och den sexuella läggningen i övrigt kan nämnas att regeringen </w:t>
      </w:r>
      <w:r w:rsidRPr="004D7F2E">
        <w:rPr>
          <w:snapToGrid w:val="0"/>
          <w:lang w:eastAsia="sv-SE"/>
        </w:rPr>
        <w:t>den 17 juni 1999 tillkallade en särskild utredare med uppgift att göra en översyn av bestämme</w:t>
      </w:r>
      <w:r w:rsidRPr="004D7F2E">
        <w:rPr>
          <w:snapToGrid w:val="0"/>
          <w:lang w:eastAsia="sv-SE"/>
        </w:rPr>
        <w:t>l</w:t>
      </w:r>
      <w:r w:rsidRPr="004D7F2E">
        <w:rPr>
          <w:snapToGrid w:val="0"/>
          <w:lang w:eastAsia="sv-SE"/>
        </w:rPr>
        <w:t>sen om olaga diskriminering (dir. 1999:49). I uppdraget ingick bl.a. att göra en analys av rättsväsendets tillämpning av bestä</w:t>
      </w:r>
      <w:r w:rsidRPr="004D7F2E">
        <w:rPr>
          <w:snapToGrid w:val="0"/>
          <w:lang w:eastAsia="sv-SE"/>
        </w:rPr>
        <w:t>m</w:t>
      </w:r>
      <w:r w:rsidRPr="004D7F2E">
        <w:rPr>
          <w:snapToGrid w:val="0"/>
          <w:lang w:eastAsia="sv-SE"/>
        </w:rPr>
        <w:t xml:space="preserve">melsen. </w:t>
      </w:r>
    </w:p>
    <w:p w:rsidR="003F60CB" w:rsidRPr="004D7F2E" w:rsidRDefault="003F60CB">
      <w:pPr>
        <w:pStyle w:val="Normaltindrag"/>
        <w:rPr>
          <w:snapToGrid w:val="0"/>
          <w:lang w:eastAsia="sv-SE"/>
        </w:rPr>
      </w:pPr>
      <w:r w:rsidRPr="004D7F2E">
        <w:rPr>
          <w:snapToGrid w:val="0"/>
          <w:lang w:eastAsia="sv-SE"/>
        </w:rPr>
        <w:t>I februari 2001 begränsades uppdraget genom tilläggsdirektiv (dir. 2001:14). Enligt de nya direktiven skulle utredningen, som antog namnet 1999 års diskrimineringsutredning, inte längre ha till uppgift att lämna ko</w:t>
      </w:r>
      <w:r w:rsidRPr="004D7F2E">
        <w:rPr>
          <w:snapToGrid w:val="0"/>
          <w:lang w:eastAsia="sv-SE"/>
        </w:rPr>
        <w:t>n</w:t>
      </w:r>
      <w:r w:rsidRPr="004D7F2E">
        <w:rPr>
          <w:snapToGrid w:val="0"/>
          <w:lang w:eastAsia="sv-SE"/>
        </w:rPr>
        <w:t>kreta förslag till författningsändringar eller andra åtgärder. Utredningen skulle i stället övergripande redovisa sina resultat och ställningstaganden i de frågor uppdraget omfattade samt lämna förslag till inriktning på det fortsatta arbetet i dessa frågor. Anledningen till begränsningen av uppdraget var att regeringen avsåg att ge en ny utredning uppdrag att studera möjligheterna till en mer generell lagstiftning mot diskriminering som omfattar alla eller flertalet sa</w:t>
      </w:r>
      <w:r w:rsidRPr="004D7F2E">
        <w:rPr>
          <w:snapToGrid w:val="0"/>
          <w:lang w:eastAsia="sv-SE"/>
        </w:rPr>
        <w:t>m</w:t>
      </w:r>
      <w:r w:rsidRPr="004D7F2E">
        <w:rPr>
          <w:snapToGrid w:val="0"/>
          <w:lang w:eastAsia="sv-SE"/>
        </w:rPr>
        <w:t>hällsområden och diskrimineringsgrun</w:t>
      </w:r>
      <w:r w:rsidRPr="004D7F2E">
        <w:rPr>
          <w:snapToGrid w:val="0"/>
          <w:lang w:eastAsia="sv-SE"/>
        </w:rPr>
        <w:t>der. Frågor som exempelvis vilka sanktionsformer som är lämpligast i syfte att åstadkomma en effektiv lagstif</w:t>
      </w:r>
      <w:r w:rsidRPr="004D7F2E">
        <w:rPr>
          <w:snapToGrid w:val="0"/>
          <w:lang w:eastAsia="sv-SE"/>
        </w:rPr>
        <w:t>t</w:t>
      </w:r>
      <w:r w:rsidRPr="004D7F2E">
        <w:rPr>
          <w:snapToGrid w:val="0"/>
          <w:lang w:eastAsia="sv-SE"/>
        </w:rPr>
        <w:t>ning mot diskriminering borde lämpligen behandlas vidare inom ramen för en sådan bredare översyn. I denna översyn skall 1999 års diskrimineringsutre</w:t>
      </w:r>
      <w:r w:rsidRPr="004D7F2E">
        <w:rPr>
          <w:snapToGrid w:val="0"/>
          <w:lang w:eastAsia="sv-SE"/>
        </w:rPr>
        <w:t>d</w:t>
      </w:r>
      <w:r w:rsidRPr="004D7F2E">
        <w:rPr>
          <w:snapToGrid w:val="0"/>
          <w:lang w:eastAsia="sv-SE"/>
        </w:rPr>
        <w:t>nings ställningstaganden ingå som ett underlag.</w:t>
      </w:r>
    </w:p>
    <w:p w:rsidR="003F60CB" w:rsidRPr="004D7F2E" w:rsidRDefault="003F60CB">
      <w:pPr>
        <w:pStyle w:val="Normaltindrag"/>
      </w:pPr>
      <w:r w:rsidRPr="004D7F2E">
        <w:rPr>
          <w:snapToGrid w:val="0"/>
          <w:lang w:eastAsia="sv-SE"/>
        </w:rPr>
        <w:t xml:space="preserve">1999 års diskrimineringsutredning redovisade sitt uppdrag till regeringen i juni 2001 i </w:t>
      </w:r>
      <w:r w:rsidRPr="004D7F2E">
        <w:t>betä</w:t>
      </w:r>
      <w:r w:rsidRPr="004D7F2E">
        <w:t>n</w:t>
      </w:r>
      <w:r w:rsidRPr="004D7F2E">
        <w:t xml:space="preserve">kandet Ett effektivt diskrimineringsförbud (SOU 2001:39). </w:t>
      </w:r>
    </w:p>
    <w:p w:rsidR="003F60CB" w:rsidRPr="004D7F2E" w:rsidRDefault="003F60CB">
      <w:pPr>
        <w:pStyle w:val="Normaltindrag"/>
        <w:rPr>
          <w:snapToGrid w:val="0"/>
          <w:lang w:eastAsia="sv-SE"/>
        </w:rPr>
      </w:pPr>
      <w:r w:rsidRPr="004D7F2E">
        <w:rPr>
          <w:snapToGrid w:val="0"/>
          <w:lang w:eastAsia="sv-SE"/>
        </w:rPr>
        <w:t>Regeringen beslutade därefter den 31 januari 2002 att tillkalla en parl</w:t>
      </w:r>
      <w:r w:rsidRPr="004D7F2E">
        <w:rPr>
          <w:snapToGrid w:val="0"/>
          <w:lang w:eastAsia="sv-SE"/>
        </w:rPr>
        <w:t>a</w:t>
      </w:r>
      <w:r w:rsidRPr="004D7F2E">
        <w:rPr>
          <w:snapToGrid w:val="0"/>
          <w:lang w:eastAsia="sv-SE"/>
        </w:rPr>
        <w:t>mentarisk kommitté med uppdrag att överväga en gemensam lagstiftning mot diskriminering som omfattar alla eller flertalet diskrimineringsgrunder och samhällsområden (dir. 2002:11). I kommitténs uppdrag ingår bl.a. att överv</w:t>
      </w:r>
      <w:r w:rsidRPr="004D7F2E">
        <w:rPr>
          <w:snapToGrid w:val="0"/>
          <w:lang w:eastAsia="sv-SE"/>
        </w:rPr>
        <w:t>ä</w:t>
      </w:r>
      <w:r w:rsidRPr="004D7F2E">
        <w:rPr>
          <w:snapToGrid w:val="0"/>
          <w:lang w:eastAsia="sv-SE"/>
        </w:rPr>
        <w:t>ga om ett skydd mot diskriminering av alla s.k. transpersoner bör införas och att överväga om det, mot bakgrund av vad den i övrigt kommer fram till, finns skäl att ersätta straffbestämmelsen om olaga diskriminering med någon annan typ av reglering. Kommittén skall lämna de förslag till</w:t>
      </w:r>
      <w:r w:rsidRPr="004D7F2E">
        <w:rPr>
          <w:snapToGrid w:val="0"/>
          <w:lang w:eastAsia="sv-SE"/>
        </w:rPr>
        <w:t xml:space="preserve"> författningsändringar och andra åtgärder som uppdraget kan ge anledning till. Uppdraget skall redovisas till regeringen senast den 1 december 2004.</w:t>
      </w:r>
    </w:p>
    <w:p w:rsidR="003F60CB" w:rsidRPr="004D7F2E" w:rsidRDefault="003F60CB">
      <w:pPr>
        <w:pStyle w:val="Normaltindrag"/>
      </w:pPr>
      <w:r w:rsidRPr="004D7F2E">
        <w:t>Vad särskilt gäller den del av uppdraget som avser transpersoner anges i direktiven att kommittén skall kartlägga och analysera behovet av och fo</w:t>
      </w:r>
      <w:r w:rsidRPr="004D7F2E">
        <w:t>r</w:t>
      </w:r>
      <w:r w:rsidRPr="004D7F2E">
        <w:t>merna för en reglering av ett förbud mot diskriminering av alla transpersoner. Kommittén skall belysa fördelar och problem med att införa en sådan r</w:t>
      </w:r>
      <w:r w:rsidRPr="004D7F2E">
        <w:t>e</w:t>
      </w:r>
      <w:r w:rsidRPr="004D7F2E">
        <w:t>glering. Den skall vidare ta ställning till vilken personkrets som skall omfattas av ett eventuellt förbud och hur ett sådant förbud lämpligen kan avgränsas och sanktioneras samt hur det skall förhålla sig till förbudet mot könsdiskr</w:t>
      </w:r>
      <w:r w:rsidRPr="004D7F2E">
        <w:t>i</w:t>
      </w:r>
      <w:r w:rsidRPr="004D7F2E">
        <w:t>minering. Kommittén skall överväga om någon myndighet skall ha till uppgift att särskilt ta till vara transpersoners rättigheter</w:t>
      </w:r>
      <w:r w:rsidRPr="004D7F2E">
        <w:t xml:space="preserve"> och om en eventuell lagstif</w:t>
      </w:r>
      <w:r w:rsidRPr="004D7F2E">
        <w:t>t</w:t>
      </w:r>
      <w:r w:rsidRPr="004D7F2E">
        <w:t>ning mot diskriminering av transpersoner skall ingå i en gemensam diskrim</w:t>
      </w:r>
      <w:r w:rsidRPr="004D7F2E">
        <w:t>i</w:t>
      </w:r>
      <w:r w:rsidRPr="004D7F2E">
        <w:t>neringslagstiftning.</w:t>
      </w:r>
    </w:p>
    <w:p w:rsidR="003F60CB" w:rsidRPr="004D7F2E" w:rsidRDefault="003F60CB">
      <w:pPr>
        <w:pStyle w:val="Normaltindrag"/>
      </w:pPr>
      <w:r w:rsidRPr="004D7F2E">
        <w:t>Utskottet vill först konstatera att det naturligtvis inte är acceptabelt att e</w:t>
      </w:r>
      <w:r w:rsidRPr="004D7F2E">
        <w:t>n</w:t>
      </w:r>
      <w:r w:rsidRPr="004D7F2E">
        <w:t>skilda individer utsätts för diskriminering eller våld på grund av att de är homosexuella, bisexuella eller att de tillhör gruppen transpersoner. Det är därför viktigt att samhället i stort uppmärksammar förekomsten av och ökar kunskapen om kränkande handlingar som riktar sig mot dessa grupper. Det är positivt att en översyn nu kommer att ske i dessa avseenden inom ramen för den ovan redovisade parlamentariska utredningen. Utredningen har också i uppdrag att lämna förslag till lagstiftning m.fl. åtgärder o</w:t>
      </w:r>
      <w:r w:rsidRPr="004D7F2E">
        <w:t>ch dess  ställningst</w:t>
      </w:r>
      <w:r w:rsidRPr="004D7F2E">
        <w:t>a</w:t>
      </w:r>
      <w:r w:rsidRPr="004D7F2E">
        <w:t>ganden bör inte föregr</w:t>
      </w:r>
      <w:r w:rsidRPr="004D7F2E">
        <w:t>i</w:t>
      </w:r>
      <w:r w:rsidRPr="004D7F2E">
        <w:t xml:space="preserve">pas. </w:t>
      </w:r>
    </w:p>
    <w:p w:rsidR="003F60CB" w:rsidRPr="004D7F2E" w:rsidRDefault="003F60CB">
      <w:pPr>
        <w:pStyle w:val="Normaltindrag"/>
      </w:pPr>
      <w:r w:rsidRPr="004D7F2E">
        <w:t xml:space="preserve">Sammantaget innebär vad som anförts att utskottet avstyrker motionerna L371 och A388 i nu berörda delar. </w:t>
      </w:r>
    </w:p>
    <w:p w:rsidR="003F60CB" w:rsidRPr="004D7F2E" w:rsidRDefault="003F60CB">
      <w:pPr>
        <w:pStyle w:val="Rubrik3"/>
        <w:rPr>
          <w:noProof w:val="0"/>
        </w:rPr>
      </w:pPr>
      <w:bookmarkStart w:id="21" w:name="_Toc2146762"/>
      <w:r w:rsidRPr="004D7F2E">
        <w:rPr>
          <w:noProof w:val="0"/>
        </w:rPr>
        <w:t>Myndighetsåtgärder</w:t>
      </w:r>
      <w:bookmarkEnd w:id="21"/>
    </w:p>
    <w:p w:rsidR="003F60CB" w:rsidRPr="004D7F2E" w:rsidRDefault="003F60CB">
      <w:r w:rsidRPr="004D7F2E">
        <w:t>I motion Ju342 (s) framhålls att bestämmelserna om hets mot folkgrupp bör tillämpas vid rasistiska brott och i motion L367 (fp) begärs särskilda insatser från myndigheter avseende brott riktade mot homosexuella m.fl.</w:t>
      </w:r>
    </w:p>
    <w:p w:rsidR="003F60CB" w:rsidRPr="004D7F2E" w:rsidRDefault="003F60CB">
      <w:pPr>
        <w:pStyle w:val="Normaltindrag"/>
      </w:pPr>
      <w:r w:rsidRPr="004D7F2E">
        <w:t xml:space="preserve">I motion L371 efterfrågas speciella utredare i HBT-frågor hos polisen och ett utökat samarbete mellan HBT-organisationer och polisen. Motionärerna efterlyser också utbildning i HBT-frågor inom rättsväsendet. </w:t>
      </w:r>
    </w:p>
    <w:p w:rsidR="003F60CB" w:rsidRPr="004D7F2E" w:rsidRDefault="003F60CB">
      <w:pPr>
        <w:pStyle w:val="Normaltindrag"/>
        <w:rPr>
          <w:snapToGrid w:val="0"/>
          <w:lang w:eastAsia="sv-SE"/>
        </w:rPr>
      </w:pPr>
      <w:r w:rsidRPr="004D7F2E">
        <w:t>I budgetpropositionen för år 2002 (prop. 2001/02:1 utg.omr. 4 s. 26 f) a</w:t>
      </w:r>
      <w:r w:rsidRPr="004D7F2E">
        <w:t>n</w:t>
      </w:r>
      <w:r w:rsidRPr="004D7F2E">
        <w:t>för regeringen att p</w:t>
      </w:r>
      <w:r w:rsidRPr="004D7F2E">
        <w:rPr>
          <w:snapToGrid w:val="0"/>
          <w:lang w:eastAsia="sv-SE"/>
        </w:rPr>
        <w:t>olisen bl.a. skall utveckla sin förmåga att förebygga och bekämpa brott med rasistiska eller främlingsfientliga, antisemitiska och h</w:t>
      </w:r>
      <w:r w:rsidRPr="004D7F2E">
        <w:rPr>
          <w:snapToGrid w:val="0"/>
          <w:lang w:eastAsia="sv-SE"/>
        </w:rPr>
        <w:t>o</w:t>
      </w:r>
      <w:r w:rsidRPr="004D7F2E">
        <w:rPr>
          <w:snapToGrid w:val="0"/>
          <w:lang w:eastAsia="sv-SE"/>
        </w:rPr>
        <w:t>mofobiska inslag.</w:t>
      </w:r>
      <w:r w:rsidRPr="004D7F2E">
        <w:t xml:space="preserve"> Även åklagarna skall ytterli</w:t>
      </w:r>
      <w:r w:rsidRPr="004D7F2E">
        <w:rPr>
          <w:snapToGrid w:val="0"/>
          <w:lang w:eastAsia="sv-SE"/>
        </w:rPr>
        <w:t>gare utveckla sin kapacitet att bekämpa sådana brott och rättsväsendet skall höja sin kompetens på området. Rättsväsendets anställda skall ha god kunskap såväl om grunden för brottsli</w:t>
      </w:r>
      <w:r w:rsidRPr="004D7F2E">
        <w:rPr>
          <w:snapToGrid w:val="0"/>
          <w:lang w:eastAsia="sv-SE"/>
        </w:rPr>
        <w:t>g</w:t>
      </w:r>
      <w:r w:rsidRPr="004D7F2E">
        <w:rPr>
          <w:snapToGrid w:val="0"/>
          <w:lang w:eastAsia="sv-SE"/>
        </w:rPr>
        <w:t>het med sådana inslag som om situationen för de grupper som utsätts för sådana brott. Den kunskapen kan också motverka de fördom</w:t>
      </w:r>
      <w:r w:rsidRPr="004D7F2E">
        <w:rPr>
          <w:snapToGrid w:val="0"/>
          <w:lang w:eastAsia="sv-SE"/>
        </w:rPr>
        <w:t>ar som kan finnas om de grupper som utsätts för sådana brott. En förbättrad grundutbildning och ökad fortbildning i dessa frågor bör kunna medverka till ökad samverkan mellan rättsväsendets myndigheter, liksom också till förbättrad metodutvec</w:t>
      </w:r>
      <w:r w:rsidRPr="004D7F2E">
        <w:rPr>
          <w:snapToGrid w:val="0"/>
          <w:lang w:eastAsia="sv-SE"/>
        </w:rPr>
        <w:t>k</w:t>
      </w:r>
      <w:r w:rsidRPr="004D7F2E">
        <w:rPr>
          <w:snapToGrid w:val="0"/>
          <w:lang w:eastAsia="sv-SE"/>
        </w:rPr>
        <w:t>ling för att förebygga och bekämpa denna brottslighet. Samtliga myndigheter inom rättsväsendet har upprättat strategier för att garantera att personalen har en god kunskap på dessa områden och skall återrapportera de insatser som vidtagits enligt vad som anges i regler</w:t>
      </w:r>
      <w:r w:rsidRPr="004D7F2E">
        <w:rPr>
          <w:snapToGrid w:val="0"/>
          <w:lang w:eastAsia="sv-SE"/>
        </w:rPr>
        <w:t xml:space="preserve">ingsbreven för år 2001. </w:t>
      </w:r>
    </w:p>
    <w:p w:rsidR="003F60CB" w:rsidRPr="004D7F2E" w:rsidRDefault="003F60CB">
      <w:pPr>
        <w:pStyle w:val="Normaltindrag"/>
        <w:rPr>
          <w:snapToGrid w:val="0"/>
          <w:lang w:eastAsia="sv-SE"/>
        </w:rPr>
      </w:pPr>
      <w:r w:rsidRPr="004D7F2E">
        <w:rPr>
          <w:snapToGrid w:val="0"/>
          <w:lang w:eastAsia="sv-SE"/>
        </w:rPr>
        <w:t>I budgetpropositionen (s. 125 f) anför regeringen vidare att Brottsföreby</w:t>
      </w:r>
      <w:r w:rsidRPr="004D7F2E">
        <w:rPr>
          <w:snapToGrid w:val="0"/>
          <w:lang w:eastAsia="sv-SE"/>
        </w:rPr>
        <w:t>g</w:t>
      </w:r>
      <w:r w:rsidRPr="004D7F2E">
        <w:rPr>
          <w:snapToGrid w:val="0"/>
          <w:lang w:eastAsia="sv-SE"/>
        </w:rPr>
        <w:t>gande rådet, som ett led i kampen mot brott med rasistiska, främlingsfientliga eller homofobiska inslag, i regleringsbrevet för år 2000 fick i uppdrag att upprätta en strategi för att medverka till att säkerställa att rättsväsendets pe</w:t>
      </w:r>
      <w:r w:rsidRPr="004D7F2E">
        <w:rPr>
          <w:snapToGrid w:val="0"/>
          <w:lang w:eastAsia="sv-SE"/>
        </w:rPr>
        <w:t>r</w:t>
      </w:r>
      <w:r w:rsidRPr="004D7F2E">
        <w:rPr>
          <w:snapToGrid w:val="0"/>
          <w:lang w:eastAsia="sv-SE"/>
        </w:rPr>
        <w:t>sonal har god kunskap om såväl grunden för dessa brott som situationen för dem som utsätts för sådana brott. Brottsförebyggande rådet har i samarbete med övriga myndigheter inom rättsväsendet utvecklat en gemensam utbil</w:t>
      </w:r>
      <w:r w:rsidRPr="004D7F2E">
        <w:rPr>
          <w:snapToGrid w:val="0"/>
          <w:lang w:eastAsia="sv-SE"/>
        </w:rPr>
        <w:t>d</w:t>
      </w:r>
      <w:r w:rsidRPr="004D7F2E">
        <w:rPr>
          <w:snapToGrid w:val="0"/>
          <w:lang w:eastAsia="sv-SE"/>
        </w:rPr>
        <w:t>ningsstrategi. För det fortsatta arbetet har en gemensa</w:t>
      </w:r>
      <w:r w:rsidRPr="004D7F2E">
        <w:rPr>
          <w:snapToGrid w:val="0"/>
          <w:lang w:eastAsia="sv-SE"/>
        </w:rPr>
        <w:t>m arbetsgrupp bildats med representanter från Brottsförebyggande rådet, Riksåklagaren, Ekobrott</w:t>
      </w:r>
      <w:r w:rsidRPr="004D7F2E">
        <w:rPr>
          <w:snapToGrid w:val="0"/>
          <w:lang w:eastAsia="sv-SE"/>
        </w:rPr>
        <w:t>s</w:t>
      </w:r>
      <w:r w:rsidRPr="004D7F2E">
        <w:rPr>
          <w:snapToGrid w:val="0"/>
          <w:lang w:eastAsia="sv-SE"/>
        </w:rPr>
        <w:t>myndigheten, Rättsmedicinalverket, Kriminalvården, Domstolsverket, Brott</w:t>
      </w:r>
      <w:r w:rsidRPr="004D7F2E">
        <w:rPr>
          <w:snapToGrid w:val="0"/>
          <w:lang w:eastAsia="sv-SE"/>
        </w:rPr>
        <w:t>s</w:t>
      </w:r>
      <w:r w:rsidRPr="004D7F2E">
        <w:rPr>
          <w:snapToGrid w:val="0"/>
          <w:lang w:eastAsia="sv-SE"/>
        </w:rPr>
        <w:t>offermyndigheten och Rikspolisstyrelsen inklusive Säkerhetspolisen för u</w:t>
      </w:r>
      <w:r w:rsidRPr="004D7F2E">
        <w:rPr>
          <w:snapToGrid w:val="0"/>
          <w:lang w:eastAsia="sv-SE"/>
        </w:rPr>
        <w:t>t</w:t>
      </w:r>
      <w:r w:rsidRPr="004D7F2E">
        <w:rPr>
          <w:snapToGrid w:val="0"/>
          <w:lang w:eastAsia="sv-SE"/>
        </w:rPr>
        <w:t xml:space="preserve">byte av erfarenheter och för att planera gemensamma aktiviteter. </w:t>
      </w:r>
    </w:p>
    <w:p w:rsidR="003F60CB" w:rsidRPr="004D7F2E" w:rsidRDefault="003F60CB">
      <w:pPr>
        <w:pStyle w:val="Normaltindrag"/>
      </w:pPr>
      <w:r w:rsidRPr="004D7F2E">
        <w:t>Av regleringsbrevet för polisen för år 2002 följer att Rikspolisstyrelsen skall redovisa det brottsbekämpande arbete som har bedrivits när det gäller brott med rasistiska, främlingsfientliga, antisemitisk</w:t>
      </w:r>
      <w:r w:rsidRPr="004D7F2E">
        <w:t>a eller homofobiska i</w:t>
      </w:r>
      <w:r w:rsidRPr="004D7F2E">
        <w:t>n</w:t>
      </w:r>
      <w:r w:rsidRPr="004D7F2E">
        <w:t>slag samt olaga diskriminering. Redovisningen skall innehålla en samma</w:t>
      </w:r>
      <w:r w:rsidRPr="004D7F2E">
        <w:t>n</w:t>
      </w:r>
      <w:r w:rsidRPr="004D7F2E">
        <w:t>hållen nationell beskrivning och analys av hur verksamheten har utvecklats och dess resultat. Vidare har Rikspolisstyrelsen fått i uppdrag att förstärka utbildningen av personalen i frågor om mänskliga rättigheter.</w:t>
      </w:r>
    </w:p>
    <w:p w:rsidR="003F60CB" w:rsidRPr="004D7F2E" w:rsidRDefault="003F60CB">
      <w:pPr>
        <w:pStyle w:val="Normaltindrag"/>
        <w:rPr>
          <w:snapToGrid w:val="0"/>
          <w:lang w:eastAsia="sv-SE"/>
        </w:rPr>
      </w:pPr>
      <w:r w:rsidRPr="004D7F2E">
        <w:rPr>
          <w:snapToGrid w:val="0"/>
          <w:lang w:eastAsia="sv-SE"/>
        </w:rPr>
        <w:t xml:space="preserve">Av studiehandbok för polisprogrammet läsåret 2001/2002 framgår (s. 19 f) att det i kursplanen för polisutbildningen ingår moment som tar upp bl.a. främlingsfientlighet och homofobi. </w:t>
      </w:r>
    </w:p>
    <w:p w:rsidR="003F60CB" w:rsidRPr="004D7F2E" w:rsidRDefault="003F60CB">
      <w:pPr>
        <w:pStyle w:val="Normaltindrag"/>
      </w:pPr>
      <w:r w:rsidRPr="004D7F2E">
        <w:t>Frågor om insatser för homosexuella m.fl. har tidigare behandlats av u</w:t>
      </w:r>
      <w:r w:rsidRPr="004D7F2E">
        <w:t>t</w:t>
      </w:r>
      <w:r w:rsidRPr="004D7F2E">
        <w:t>skottet bl.a. i betänkandena 2000/01:JuU11 s. 19 f. och 2000/01:JuU14 s. 12 f. Utskottet avstyrkte där yrkanden liknande de nu aktuella bl.a. med hänvi</w:t>
      </w:r>
      <w:r w:rsidRPr="004D7F2E">
        <w:t>s</w:t>
      </w:r>
      <w:r w:rsidRPr="004D7F2E">
        <w:t>ning till att det pågick arbete med den inriktning som motionärerna efterfr</w:t>
      </w:r>
      <w:r w:rsidRPr="004D7F2E">
        <w:t>å</w:t>
      </w:r>
      <w:r w:rsidRPr="004D7F2E">
        <w:t xml:space="preserve">gade. </w:t>
      </w:r>
    </w:p>
    <w:p w:rsidR="003F60CB" w:rsidRPr="004D7F2E" w:rsidRDefault="003F60CB">
      <w:pPr>
        <w:pStyle w:val="Normaltindrag"/>
      </w:pPr>
      <w:r w:rsidRPr="004D7F2E">
        <w:t>Utskottet kan med tillfredsställelse konstatera att det pågår ett omfattande arbete med den inriktning som efterfrågas i motionerna. Något behov av uttalanden av riksdagen finns alltså inte. Utskottet avstyrker motionerna L367 och L371 i nu behandlade delar samt motion Ju342.</w:t>
      </w:r>
    </w:p>
    <w:p w:rsidR="003F60CB" w:rsidRPr="004D7F2E" w:rsidRDefault="003F60CB">
      <w:pPr>
        <w:pStyle w:val="Rubrik3"/>
        <w:rPr>
          <w:noProof w:val="0"/>
        </w:rPr>
      </w:pPr>
      <w:bookmarkStart w:id="22" w:name="_Toc2146763"/>
      <w:r w:rsidRPr="004D7F2E">
        <w:rPr>
          <w:noProof w:val="0"/>
        </w:rPr>
        <w:t>Registrering</w:t>
      </w:r>
      <w:bookmarkEnd w:id="22"/>
    </w:p>
    <w:p w:rsidR="003F60CB" w:rsidRPr="004D7F2E" w:rsidRDefault="003F60CB">
      <w:r w:rsidRPr="004D7F2E">
        <w:t xml:space="preserve">I motion A388 (kd) föreslår motionären att det i polisdatalagen skall införas ett förbud mot registrering </w:t>
      </w:r>
      <w:r w:rsidRPr="004D7F2E">
        <w:rPr>
          <w:i/>
        </w:rPr>
        <w:t>enbart</w:t>
      </w:r>
      <w:r w:rsidRPr="004D7F2E">
        <w:t xml:space="preserve"> på grund av sexuell ide</w:t>
      </w:r>
      <w:r w:rsidRPr="004D7F2E">
        <w:t>n</w:t>
      </w:r>
      <w:r w:rsidRPr="004D7F2E">
        <w:t xml:space="preserve">titet. </w:t>
      </w:r>
    </w:p>
    <w:p w:rsidR="003F60CB" w:rsidRPr="004D7F2E" w:rsidRDefault="003F60CB">
      <w:pPr>
        <w:pStyle w:val="Normaltindrag"/>
      </w:pPr>
      <w:r w:rsidRPr="004D7F2E">
        <w:t>Av 5 § första stycket polisdatalagen (1998:622) följer att uppgifter om en person inte får behandlas enbart på grund av vad som är känt om personens ras eller etniska ursprung, politiska åsikter, religiösa eller filosofiska övert</w:t>
      </w:r>
      <w:r w:rsidRPr="004D7F2E">
        <w:t>y</w:t>
      </w:r>
      <w:r w:rsidRPr="004D7F2E">
        <w:t>gelse, medlemskap i fackförening, hälsa eller sexuella läggning.</w:t>
      </w:r>
    </w:p>
    <w:p w:rsidR="003F60CB" w:rsidRPr="004D7F2E" w:rsidRDefault="003F60CB">
      <w:pPr>
        <w:pStyle w:val="Normaltindrag"/>
      </w:pPr>
      <w:r w:rsidRPr="004D7F2E">
        <w:t>Av andra stycket framgår att om uppgifter om en person behandlas på a</w:t>
      </w:r>
      <w:r w:rsidRPr="004D7F2E">
        <w:t>n</w:t>
      </w:r>
      <w:r w:rsidRPr="004D7F2E">
        <w:t>nan grund får uppgifterna kompletteras med sådana uppgifter som avses i första stycket, om det är oundgängligen nödvändigt för syftet med behan</w:t>
      </w:r>
      <w:r w:rsidRPr="004D7F2E">
        <w:t>d</w:t>
      </w:r>
      <w:r w:rsidRPr="004D7F2E">
        <w:t>lingen.</w:t>
      </w:r>
    </w:p>
    <w:p w:rsidR="003F60CB" w:rsidRPr="004D7F2E" w:rsidRDefault="003F60CB">
      <w:pPr>
        <w:pStyle w:val="Normaltindrag"/>
      </w:pPr>
      <w:r w:rsidRPr="004D7F2E">
        <w:t>Utskottet konstaterar att polisdatalagen redan i dag innehåller en sådan b</w:t>
      </w:r>
      <w:r w:rsidRPr="004D7F2E">
        <w:t>e</w:t>
      </w:r>
      <w:r w:rsidRPr="004D7F2E">
        <w:t>gränsning som motionären efterfrågar. Motion A388 i nu behandlad del a</w:t>
      </w:r>
      <w:r w:rsidRPr="004D7F2E">
        <w:t>v</w:t>
      </w:r>
      <w:r w:rsidRPr="004D7F2E">
        <w:t xml:space="preserve">styrks. </w:t>
      </w:r>
    </w:p>
    <w:p w:rsidR="003F60CB" w:rsidRPr="004D7F2E" w:rsidRDefault="003F60CB">
      <w:pPr>
        <w:pStyle w:val="Normaltindrag"/>
        <w:sectPr w:rsidR="00000000" w:rsidRPr="004D7F2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F60CB" w:rsidRPr="004D7F2E" w:rsidRDefault="003F60CB">
      <w:pPr>
        <w:pStyle w:val="Rubrik1"/>
        <w:rPr>
          <w:noProof w:val="0"/>
        </w:rPr>
      </w:pPr>
      <w:bookmarkStart w:id="23" w:name="_Toc2146764"/>
      <w:r w:rsidRPr="004D7F2E">
        <w:rPr>
          <w:noProof w:val="0"/>
        </w:rPr>
        <w:t>Särskilt yttrande</w:t>
      </w:r>
      <w:bookmarkEnd w:id="23"/>
    </w:p>
    <w:p w:rsidR="003F60CB" w:rsidRPr="004D7F2E" w:rsidRDefault="003F60CB">
      <w:pPr>
        <w:pStyle w:val="Yttrandepunkt"/>
        <w:spacing w:before="110"/>
        <w:outlineLvl w:val="0"/>
        <w:rPr>
          <w:noProof w:val="0"/>
        </w:rPr>
      </w:pPr>
      <w:bookmarkStart w:id="24" w:name="_Toc2146765"/>
      <w:r w:rsidRPr="004D7F2E">
        <w:rPr>
          <w:noProof w:val="0"/>
        </w:rPr>
        <w:t>Insatser inom rättsväsendet rörande homo-, bi- och transsexuella</w:t>
      </w:r>
      <w:bookmarkEnd w:id="24"/>
      <w:r w:rsidRPr="004D7F2E">
        <w:rPr>
          <w:noProof w:val="0"/>
        </w:rPr>
        <w:t xml:space="preserve"> </w:t>
      </w:r>
    </w:p>
    <w:p w:rsidR="003F60CB" w:rsidRPr="004D7F2E" w:rsidRDefault="003F60CB">
      <w:pPr>
        <w:pStyle w:val="Reservanter"/>
      </w:pPr>
      <w:r w:rsidRPr="004D7F2E">
        <w:t>av Alice Åström (v), Yvonne Oscarsson (v), Kia Andreasson (mp) och Helena Bargholtz (fp).</w:t>
      </w:r>
    </w:p>
    <w:p w:rsidR="003F60CB" w:rsidRPr="004D7F2E" w:rsidRDefault="003F60CB">
      <w:pPr>
        <w:rPr>
          <w:snapToGrid w:val="0"/>
          <w:lang w:eastAsia="sv-SE"/>
        </w:rPr>
      </w:pPr>
      <w:r w:rsidRPr="004D7F2E">
        <w:rPr>
          <w:snapToGrid w:val="0"/>
          <w:color w:val="000000"/>
          <w:sz w:val="18"/>
          <w:lang w:eastAsia="sv-SE"/>
        </w:rPr>
        <w:t>I dag är det tyvärr en realitet att många av dem som är homo-, bi- eller transsex</w:t>
      </w:r>
      <w:r w:rsidRPr="004D7F2E">
        <w:rPr>
          <w:snapToGrid w:val="0"/>
          <w:color w:val="000000"/>
          <w:sz w:val="18"/>
          <w:lang w:eastAsia="sv-SE"/>
        </w:rPr>
        <w:t>u</w:t>
      </w:r>
      <w:r w:rsidRPr="004D7F2E">
        <w:rPr>
          <w:snapToGrid w:val="0"/>
          <w:color w:val="000000"/>
          <w:sz w:val="18"/>
          <w:lang w:eastAsia="sv-SE"/>
        </w:rPr>
        <w:t>ella utsätts för brott enbart på grund av sin sexuella läggning eller identitet. I arbetet med att förhindra och utreda sådan brottslighet spelar polisen självfallet en mycket viktig roll. Polisens insatser är också av ovärderligt slag vad gäller att på ett adekvat sätt ta hand om brottsoffer ur denna grupp. Enligt vår mening finns det dock mycket som kan göras för att detta arbete skall bli än mer effektivt. Det pågår också ett omfattande arbete med den inriktningen. Det är viktigt att detta arbete fortsä</w:t>
      </w:r>
      <w:r w:rsidRPr="004D7F2E">
        <w:rPr>
          <w:snapToGrid w:val="0"/>
          <w:color w:val="000000"/>
          <w:sz w:val="18"/>
          <w:lang w:eastAsia="sv-SE"/>
        </w:rPr>
        <w:t>tter och att alla möjligheter till samarbete med berörda grupper tas till vara.</w:t>
      </w:r>
    </w:p>
    <w:p w:rsidR="003F60CB" w:rsidRPr="004D7F2E" w:rsidRDefault="003F60CB">
      <w:pPr>
        <w:pStyle w:val="Normaltindrag"/>
        <w:sectPr w:rsidR="00000000" w:rsidRPr="004D7F2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F60CB" w:rsidRPr="004D7F2E" w:rsidRDefault="003F60CB">
      <w:pPr>
        <w:pStyle w:val="Bilaga"/>
      </w:pPr>
      <w:r w:rsidRPr="004D7F2E">
        <w:t>Bilaga 1</w:t>
      </w:r>
    </w:p>
    <w:p w:rsidR="003F60CB" w:rsidRPr="004D7F2E" w:rsidRDefault="003F60CB">
      <w:pPr>
        <w:pStyle w:val="Rubrik1"/>
        <w:rPr>
          <w:noProof w:val="0"/>
        </w:rPr>
      </w:pPr>
      <w:bookmarkStart w:id="25" w:name="_Toc2146766"/>
      <w:r w:rsidRPr="004D7F2E">
        <w:rPr>
          <w:noProof w:val="0"/>
        </w:rPr>
        <w:t>Förteckning över behandlade förslag</w:t>
      </w:r>
      <w:bookmarkEnd w:id="25"/>
    </w:p>
    <w:p w:rsidR="003F60CB" w:rsidRPr="004D7F2E" w:rsidRDefault="003F60CB">
      <w:pPr>
        <w:pStyle w:val="Rubrik2"/>
        <w:spacing w:before="0"/>
      </w:pPr>
      <w:bookmarkStart w:id="26" w:name="_Toc2146767"/>
      <w:r w:rsidRPr="004D7F2E">
        <w:t>Propositionen</w:t>
      </w:r>
      <w:bookmarkEnd w:id="26"/>
    </w:p>
    <w:p w:rsidR="003F60CB" w:rsidRPr="004D7F2E" w:rsidRDefault="003F60CB">
      <w:r w:rsidRPr="004D7F2E">
        <w:t>I proposition 2001/02:59 Hets mot folkgrupp, m.m. föreslår regeringen (J</w:t>
      </w:r>
      <w:r w:rsidRPr="004D7F2E">
        <w:t>u</w:t>
      </w:r>
      <w:r w:rsidRPr="004D7F2E">
        <w:t>stitiedepartementet) att riksdagen, såvitt nu är i fråga, skall anta regeringens förlag till lag om ändring i 17 kap. 10 § brottsbalken.</w:t>
      </w:r>
    </w:p>
    <w:p w:rsidR="003F60CB" w:rsidRPr="004D7F2E" w:rsidRDefault="003F60CB">
      <w:pPr>
        <w:pStyle w:val="Rubrik2"/>
      </w:pPr>
      <w:bookmarkStart w:id="27" w:name="_Toc2146768"/>
      <w:r w:rsidRPr="004D7F2E">
        <w:t>Följdmotion</w:t>
      </w:r>
      <w:bookmarkEnd w:id="27"/>
    </w:p>
    <w:p w:rsidR="003F60CB" w:rsidRPr="004D7F2E" w:rsidRDefault="003F60CB">
      <w:pPr>
        <w:pStyle w:val="Motioner"/>
      </w:pPr>
      <w:r w:rsidRPr="004D7F2E">
        <w:t>2001/02:K28 av Anna Kinberg m.fl. (m):</w:t>
      </w:r>
    </w:p>
    <w:p w:rsidR="003F60CB" w:rsidRPr="004D7F2E" w:rsidRDefault="003F60CB">
      <w:r w:rsidRPr="004D7F2E">
        <w:t xml:space="preserve">1. Riksdagen beslutar avslå proposition 2001/02:59. </w:t>
      </w:r>
    </w:p>
    <w:p w:rsidR="003F60CB" w:rsidRPr="004D7F2E" w:rsidRDefault="003F60CB">
      <w:pPr>
        <w:pStyle w:val="Rubrik2"/>
      </w:pPr>
      <w:bookmarkStart w:id="28" w:name="_Toc2146769"/>
      <w:r w:rsidRPr="004D7F2E">
        <w:t>Motioner från allmänna motionstiden</w:t>
      </w:r>
      <w:bookmarkEnd w:id="28"/>
      <w:r w:rsidRPr="004D7F2E">
        <w:t xml:space="preserve"> </w:t>
      </w:r>
    </w:p>
    <w:p w:rsidR="003F60CB" w:rsidRPr="004D7F2E" w:rsidRDefault="003F60CB">
      <w:pPr>
        <w:pStyle w:val="Motioner"/>
      </w:pPr>
      <w:r w:rsidRPr="004D7F2E">
        <w:t>2001/02:Ju342 av Nikos Papadopoulos m.fl. (s):</w:t>
      </w:r>
    </w:p>
    <w:p w:rsidR="003F60CB" w:rsidRPr="004D7F2E" w:rsidRDefault="003F60CB">
      <w:r w:rsidRPr="004D7F2E">
        <w:t>Riksdagen tillkännager för regeringen som sin mening vad i motionen anförs om att lagen om hets mot folkgrupp bör tillämpas vid rasistiska brott.</w:t>
      </w:r>
    </w:p>
    <w:p w:rsidR="003F60CB" w:rsidRPr="004D7F2E" w:rsidRDefault="003F60CB">
      <w:pPr>
        <w:pStyle w:val="Motioner"/>
      </w:pPr>
      <w:r w:rsidRPr="004D7F2E">
        <w:t>2001/02:L367 av Ana Maria Narti m.fl. (fp):</w:t>
      </w:r>
    </w:p>
    <w:p w:rsidR="003F60CB" w:rsidRPr="004D7F2E" w:rsidRDefault="003F60CB">
      <w:pPr>
        <w:pStyle w:val="Yrkanden"/>
      </w:pPr>
      <w:r w:rsidRPr="004D7F2E">
        <w:t>8. Riksdagen tillkännager för regeringen som sin mening vad i motionen anförs om särskilda insatser mot den riktade brottsligheten mot homosex</w:t>
      </w:r>
      <w:r w:rsidRPr="004D7F2E">
        <w:t>u</w:t>
      </w:r>
      <w:r w:rsidRPr="004D7F2E">
        <w:t>ella, bisexuella och transpersoner.</w:t>
      </w:r>
    </w:p>
    <w:p w:rsidR="003F60CB" w:rsidRPr="004D7F2E" w:rsidRDefault="003F60CB">
      <w:pPr>
        <w:pStyle w:val="Motioner"/>
      </w:pPr>
      <w:r w:rsidRPr="004D7F2E">
        <w:t>2001/02:L371 av Tasso Stafilidis m.fl. (v, s, c, fp, mp):</w:t>
      </w:r>
    </w:p>
    <w:p w:rsidR="003F60CB" w:rsidRPr="004D7F2E" w:rsidRDefault="003F60CB">
      <w:pPr>
        <w:pStyle w:val="Yrkanden"/>
      </w:pPr>
      <w:r w:rsidRPr="004D7F2E">
        <w:rPr>
          <w:snapToGrid w:val="0"/>
          <w:lang w:eastAsia="sv-SE"/>
        </w:rPr>
        <w:t>4. Riksdagen tillkännager för regeringen som sin mening vad i motionen anförs om behovet av en översyn av tillämpningen av brottsbalkens b</w:t>
      </w:r>
      <w:r w:rsidRPr="004D7F2E">
        <w:rPr>
          <w:snapToGrid w:val="0"/>
          <w:lang w:eastAsia="sv-SE"/>
        </w:rPr>
        <w:t>e</w:t>
      </w:r>
      <w:r w:rsidRPr="004D7F2E">
        <w:rPr>
          <w:snapToGrid w:val="0"/>
          <w:lang w:eastAsia="sv-SE"/>
        </w:rPr>
        <w:t>stämmelse om försvårande omständighet, 29 kap. 2 § 7 brottsbalken.</w:t>
      </w:r>
    </w:p>
    <w:p w:rsidR="003F60CB" w:rsidRPr="004D7F2E" w:rsidRDefault="003F60CB">
      <w:pPr>
        <w:pStyle w:val="Yrkanden"/>
      </w:pPr>
      <w:r w:rsidRPr="004D7F2E">
        <w:t>6. Riksdagen tillkännager för regeringen som sin mening vad i motionen anförs om att sexuell läggning och könsidentitet skall omfattas av 16 kap. 9 § brottsbalken som rör olaga diskrim</w:t>
      </w:r>
      <w:r w:rsidRPr="004D7F2E">
        <w:t>i</w:t>
      </w:r>
      <w:r w:rsidRPr="004D7F2E">
        <w:t>nering.</w:t>
      </w:r>
    </w:p>
    <w:p w:rsidR="003F60CB" w:rsidRPr="004D7F2E" w:rsidRDefault="003F60CB">
      <w:pPr>
        <w:pStyle w:val="Yrkanden"/>
      </w:pPr>
      <w:r w:rsidRPr="004D7F2E">
        <w:t xml:space="preserve">7. Riksdagen tillkännager för regeringen som sin mening vad i motionen anförs om att sexuell läggning och könsidentitet skall omfattas av 5 kap. </w:t>
      </w:r>
      <w:r w:rsidRPr="004D7F2E">
        <w:br/>
        <w:t>3 § 4 brottsbalken som rör ärekränkning.</w:t>
      </w:r>
    </w:p>
    <w:p w:rsidR="003F60CB" w:rsidRPr="004D7F2E" w:rsidRDefault="003F60CB">
      <w:pPr>
        <w:pStyle w:val="Yrkanden"/>
      </w:pPr>
      <w:r w:rsidRPr="004D7F2E">
        <w:t>9. Riksdagen tillkännager för regeringen som sin mening vad i motionen anförs om att inrätta speciella utredare i HBT-frågor hos polisen för att polisen skall kunna bemöta brott som har homofobisk eller liknande k</w:t>
      </w:r>
      <w:r w:rsidRPr="004D7F2E">
        <w:t>a</w:t>
      </w:r>
      <w:r w:rsidRPr="004D7F2E">
        <w:t>raktär.</w:t>
      </w:r>
    </w:p>
    <w:p w:rsidR="003F60CB" w:rsidRPr="004D7F2E" w:rsidRDefault="003F60CB">
      <w:pPr>
        <w:pStyle w:val="Yrkanden"/>
      </w:pPr>
      <w:r w:rsidRPr="004D7F2E">
        <w:t>10. Riksdagen tillkännager för regeringen som sin mening vad i motionen anförs om att införa ett samarbete mellan HBT-organisationer och polisen för att bättre förebygga brott med hom</w:t>
      </w:r>
      <w:r w:rsidRPr="004D7F2E">
        <w:t>o</w:t>
      </w:r>
      <w:r w:rsidRPr="004D7F2E">
        <w:t>fobisk karaktär.</w:t>
      </w:r>
    </w:p>
    <w:p w:rsidR="003F60CB" w:rsidRPr="004D7F2E" w:rsidRDefault="003F60CB">
      <w:pPr>
        <w:pStyle w:val="Yrkanden"/>
      </w:pPr>
      <w:r w:rsidRPr="004D7F2E">
        <w:t>11. Riksdagen tillkännager för regeringen som sin mening vad i motionen anförs om att de som verkar inom rättsväsendet har kompetens i HBT-frågor.</w:t>
      </w:r>
    </w:p>
    <w:p w:rsidR="003F60CB" w:rsidRPr="004D7F2E" w:rsidRDefault="003F60CB">
      <w:pPr>
        <w:pStyle w:val="Motioner"/>
      </w:pPr>
      <w:r w:rsidRPr="004D7F2E">
        <w:t>2001/02:A388 av Magda Ayoub (kd):</w:t>
      </w:r>
    </w:p>
    <w:p w:rsidR="003F60CB" w:rsidRPr="004D7F2E" w:rsidRDefault="003F60CB">
      <w:pPr>
        <w:pStyle w:val="Yrkanden"/>
      </w:pPr>
      <w:r w:rsidRPr="004D7F2E">
        <w:t>2. Riksdagen tillkännager för regeringen som sin mening vad i motionen anförs om förbud av registrering enbart på grund av sexuell identitet.</w:t>
      </w:r>
    </w:p>
    <w:p w:rsidR="003F60CB" w:rsidRPr="004D7F2E" w:rsidRDefault="003F60CB">
      <w:pPr>
        <w:pStyle w:val="Yrkanden"/>
      </w:pPr>
      <w:r w:rsidRPr="004D7F2E">
        <w:t>3. Riksdagen tillkännager för regeringen som sin mening vad i motionen anförs om användandet av begreppen sexuell läggning och sexuell ident</w:t>
      </w:r>
      <w:r w:rsidRPr="004D7F2E">
        <w:t>i</w:t>
      </w:r>
      <w:r w:rsidRPr="004D7F2E">
        <w:t>tet.</w:t>
      </w:r>
    </w:p>
    <w:p w:rsidR="003F60CB" w:rsidRPr="004D7F2E" w:rsidRDefault="003F60CB">
      <w:pPr>
        <w:pStyle w:val="Normaltindrag"/>
        <w:sectPr w:rsidR="00000000" w:rsidRPr="004D7F2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F60CB" w:rsidRPr="004D7F2E" w:rsidRDefault="003F60CB">
      <w:pPr>
        <w:pStyle w:val="Bilaga"/>
      </w:pPr>
      <w:r w:rsidRPr="004D7F2E">
        <w:t>Bilaga 2</w:t>
      </w:r>
    </w:p>
    <w:p w:rsidR="003F60CB" w:rsidRPr="004D7F2E" w:rsidRDefault="003F60CB">
      <w:pPr>
        <w:pStyle w:val="Rubrik1"/>
        <w:rPr>
          <w:noProof w:val="0"/>
        </w:rPr>
      </w:pPr>
      <w:bookmarkStart w:id="29" w:name="_Toc2146770"/>
      <w:r w:rsidRPr="004D7F2E">
        <w:rPr>
          <w:noProof w:val="0"/>
        </w:rPr>
        <w:t>Regeringens lagförslag</w:t>
      </w:r>
      <w:bookmarkEnd w:id="29"/>
    </w:p>
    <w:p w:rsidR="003F60CB" w:rsidRPr="004D7F2E" w:rsidRDefault="003F60CB">
      <w:pPr>
        <w:pStyle w:val="Rubrik2"/>
        <w:ind w:left="851" w:hanging="851"/>
      </w:pPr>
      <w:bookmarkStart w:id="30" w:name="_Toc526221463"/>
      <w:bookmarkStart w:id="31" w:name="_Toc527455000"/>
      <w:bookmarkStart w:id="32" w:name="_Toc527455794"/>
      <w:bookmarkStart w:id="33" w:name="_Toc527533739"/>
      <w:bookmarkStart w:id="34" w:name="_Toc527957433"/>
      <w:bookmarkStart w:id="35" w:name="_Toc530105046"/>
      <w:bookmarkStart w:id="36" w:name="_Toc530105410"/>
      <w:bookmarkStart w:id="37" w:name="_Toc530105592"/>
      <w:bookmarkStart w:id="38" w:name="_Toc530107841"/>
      <w:bookmarkStart w:id="39" w:name="_Toc530108196"/>
      <w:bookmarkStart w:id="40" w:name="_Toc530109664"/>
      <w:bookmarkStart w:id="41" w:name="_Toc530127521"/>
      <w:bookmarkStart w:id="42" w:name="_Toc530284720"/>
      <w:bookmarkStart w:id="43" w:name="_Toc530294410"/>
      <w:bookmarkStart w:id="44" w:name="_Toc531068778"/>
      <w:bookmarkStart w:id="45" w:name="_Toc2146771"/>
      <w:r w:rsidRPr="004D7F2E">
        <w:t xml:space="preserve">2.2 </w:t>
      </w:r>
      <w:r w:rsidRPr="004D7F2E">
        <w:tab/>
        <w:t>Förslag till lag om ändring i brottsbalken</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F60CB" w:rsidRPr="004D7F2E" w:rsidRDefault="003F60CB">
      <w:pPr>
        <w:pStyle w:val="Normaltindrag"/>
        <w:spacing w:before="125" w:line="240" w:lineRule="auto"/>
      </w:pPr>
      <w:r w:rsidRPr="004D7F2E">
        <w:t>Härigenom föreskrivs att 16 kap. 8 §, 17 kap. 10 § och 29 kap. 2 § brott</w:t>
      </w:r>
      <w:r w:rsidRPr="004D7F2E">
        <w:t>s</w:t>
      </w:r>
      <w:r w:rsidRPr="004D7F2E">
        <w:t>balken skall ha följande lydelse.</w:t>
      </w:r>
    </w:p>
    <w:p w:rsidR="003F60CB" w:rsidRPr="004D7F2E" w:rsidRDefault="003F60CB">
      <w:pPr>
        <w:pStyle w:val="Normaltindrag"/>
        <w:spacing w:line="360" w:lineRule="auto"/>
        <w:ind w:left="-142" w:firstLine="0"/>
      </w:pPr>
      <w:r w:rsidRPr="004D7F2E">
        <w:t xml:space="preserve">– – – – – – – – – – – – – – – – – – – – – – – – – – – – – – – – – – – – – – – – – –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4D7F2E">
        <w:tblPrEx>
          <w:tblCellMar>
            <w:top w:w="0" w:type="dxa"/>
            <w:bottom w:w="0" w:type="dxa"/>
          </w:tblCellMar>
        </w:tblPrEx>
        <w:tc>
          <w:tcPr>
            <w:tcW w:w="3090" w:type="dxa"/>
          </w:tcPr>
          <w:p w:rsidR="003F60CB" w:rsidRPr="004D7F2E" w:rsidRDefault="003F60CB">
            <w:pPr>
              <w:spacing w:before="187" w:line="360" w:lineRule="auto"/>
            </w:pPr>
            <w:r w:rsidRPr="004D7F2E">
              <w:rPr>
                <w:i/>
              </w:rPr>
              <w:t>Nuvarande lydelse</w:t>
            </w:r>
          </w:p>
        </w:tc>
        <w:tc>
          <w:tcPr>
            <w:tcW w:w="3090" w:type="dxa"/>
          </w:tcPr>
          <w:p w:rsidR="003F60CB" w:rsidRPr="004D7F2E" w:rsidRDefault="003F60CB">
            <w:pPr>
              <w:pStyle w:val="Ordfranden"/>
              <w:spacing w:before="187" w:line="360" w:lineRule="auto"/>
              <w:rPr>
                <w:noProof w:val="0"/>
              </w:rPr>
            </w:pPr>
            <w:r w:rsidRPr="004D7F2E">
              <w:rPr>
                <w:noProof w:val="0"/>
              </w:rPr>
              <w:t>Föreslagen lydelse</w:t>
            </w:r>
          </w:p>
        </w:tc>
      </w:tr>
    </w:tbl>
    <w:p w:rsidR="003F60CB" w:rsidRPr="004D7F2E" w:rsidRDefault="003F60CB">
      <w:pPr>
        <w:pStyle w:val="Normaltindrag"/>
        <w:spacing w:before="125" w:line="360" w:lineRule="auto"/>
        <w:jc w:val="center"/>
      </w:pPr>
      <w:r w:rsidRPr="004D7F2E">
        <w:rPr>
          <w:b/>
        </w:rPr>
        <w:t>17 kap.</w:t>
      </w:r>
    </w:p>
    <w:p w:rsidR="003F60CB" w:rsidRPr="004D7F2E" w:rsidRDefault="003F60CB">
      <w:pPr>
        <w:pStyle w:val="Normaltindrag"/>
        <w:spacing w:line="360" w:lineRule="auto"/>
        <w:jc w:val="center"/>
        <w:rPr>
          <w:rStyle w:val="Fotnotsreferens"/>
        </w:rPr>
      </w:pPr>
      <w:r w:rsidRPr="004D7F2E">
        <w:t>10 §</w:t>
      </w:r>
      <w:r w:rsidRPr="004D7F2E">
        <w:rPr>
          <w:rStyle w:val="Fotnotsreferens"/>
        </w:rPr>
        <w:footnoteReference w:customMarkFollows="1" w:id="1"/>
        <w:t>2</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D7F2E">
        <w:tblPrEx>
          <w:tblCellMar>
            <w:top w:w="0" w:type="dxa"/>
            <w:bottom w:w="0" w:type="dxa"/>
          </w:tblCellMar>
        </w:tblPrEx>
        <w:tc>
          <w:tcPr>
            <w:tcW w:w="3090" w:type="dxa"/>
          </w:tcPr>
          <w:p w:rsidR="003F60CB" w:rsidRPr="004D7F2E" w:rsidRDefault="003F60CB">
            <w:pPr>
              <w:pStyle w:val="LagtextIndrag"/>
            </w:pPr>
            <w:r w:rsidRPr="004D7F2E">
              <w:t xml:space="preserve">Den som med våld eller hot om våld angriper någon för att denne gjort anmälan, fört talan, avlagt vittnesmål eller annars vid förhör avgett utsaga hos en domstol eller annan myndighet eller för att </w:t>
            </w:r>
            <w:r w:rsidRPr="004D7F2E">
              <w:br/>
              <w:t xml:space="preserve">hindra någon från en sådan åtgärd, döms för </w:t>
            </w:r>
            <w:r w:rsidRPr="004D7F2E">
              <w:rPr>
                <w:i/>
                <w:u w:val="single"/>
              </w:rPr>
              <w:t>övergrepp i rättssak</w:t>
            </w:r>
            <w:r w:rsidRPr="004D7F2E">
              <w:t xml:space="preserve"> </w:t>
            </w:r>
            <w:r w:rsidRPr="004D7F2E">
              <w:rPr>
                <w:i/>
              </w:rPr>
              <w:t>till</w:t>
            </w:r>
            <w:r w:rsidRPr="004D7F2E">
              <w:t xml:space="preserve"> </w:t>
            </w:r>
            <w:r w:rsidRPr="004D7F2E">
              <w:rPr>
                <w:i/>
              </w:rPr>
              <w:t>böter eller</w:t>
            </w:r>
            <w:r w:rsidRPr="004D7F2E">
              <w:t xml:space="preserve"> </w:t>
            </w:r>
            <w:r w:rsidRPr="004D7F2E">
              <w:rPr>
                <w:i/>
              </w:rPr>
              <w:t>fängelse i högst</w:t>
            </w:r>
            <w:r w:rsidRPr="004D7F2E">
              <w:t xml:space="preserve"> </w:t>
            </w:r>
            <w:r w:rsidRPr="004D7F2E">
              <w:rPr>
                <w:i/>
              </w:rPr>
              <w:t>två</w:t>
            </w:r>
            <w:r w:rsidRPr="004D7F2E">
              <w:t xml:space="preserve"> </w:t>
            </w:r>
            <w:r w:rsidRPr="004D7F2E">
              <w:rPr>
                <w:i/>
              </w:rPr>
              <w:t>år.</w:t>
            </w:r>
            <w:r w:rsidRPr="004D7F2E">
              <w:t xml:space="preserve"> Detsamma skall gälla, om man med någon annan gärning, som medför lidande, skada eller olägenhet, eller med hot om en sådan gärning angr</w:t>
            </w:r>
            <w:r w:rsidRPr="004D7F2E">
              <w:t>i</w:t>
            </w:r>
            <w:r w:rsidRPr="004D7F2E">
              <w:t>per någon för att denne avlagt vit</w:t>
            </w:r>
            <w:r w:rsidRPr="004D7F2E">
              <w:t>t</w:t>
            </w:r>
            <w:r w:rsidRPr="004D7F2E">
              <w:t>nesmål eller annars avgett utsaga vid förhör hos en myndighet eller för att hindra honom från att avge en sådan utsaga.</w:t>
            </w:r>
          </w:p>
          <w:p w:rsidR="003F60CB" w:rsidRPr="004D7F2E" w:rsidRDefault="003F60CB">
            <w:pPr>
              <w:pStyle w:val="LagtextIndrag"/>
            </w:pPr>
            <w:r w:rsidRPr="004D7F2E">
              <w:t>Är brottet grovt, döms till fäng</w:t>
            </w:r>
            <w:r w:rsidRPr="004D7F2E">
              <w:softHyphen/>
              <w:t xml:space="preserve">else, lägst </w:t>
            </w:r>
            <w:r w:rsidRPr="004D7F2E">
              <w:rPr>
                <w:i/>
              </w:rPr>
              <w:t>ett</w:t>
            </w:r>
            <w:r w:rsidRPr="004D7F2E">
              <w:t xml:space="preserve"> och högst </w:t>
            </w:r>
            <w:r w:rsidRPr="004D7F2E">
              <w:rPr>
                <w:i/>
              </w:rPr>
              <w:t>sex</w:t>
            </w:r>
            <w:r w:rsidRPr="004D7F2E">
              <w:t xml:space="preserve"> år.</w:t>
            </w:r>
          </w:p>
        </w:tc>
        <w:tc>
          <w:tcPr>
            <w:tcW w:w="3090" w:type="dxa"/>
          </w:tcPr>
          <w:p w:rsidR="003F60CB" w:rsidRPr="004D7F2E" w:rsidRDefault="003F60CB">
            <w:pPr>
              <w:pStyle w:val="LagtextIndrag"/>
            </w:pPr>
            <w:r w:rsidRPr="004D7F2E">
              <w:t>Den som med våld eller</w:t>
            </w:r>
            <w:r w:rsidRPr="004D7F2E">
              <w:rPr>
                <w:i/>
              </w:rPr>
              <w:t xml:space="preserve"> </w:t>
            </w:r>
            <w:r w:rsidRPr="004D7F2E">
              <w:t xml:space="preserve">hot om våld angriper någon för att denne gjort anmälan, fört talan, avlagt vittnesmål eller annars vid förhör avgett utsaga hos en domstol eller annan myndighet eller för att </w:t>
            </w:r>
            <w:r w:rsidRPr="004D7F2E">
              <w:br/>
              <w:t xml:space="preserve">hindra någon från en sådan åtgärd, döms för </w:t>
            </w:r>
            <w:r w:rsidRPr="004D7F2E">
              <w:rPr>
                <w:i/>
                <w:u w:val="single"/>
              </w:rPr>
              <w:t>övergrepp i rättssak</w:t>
            </w:r>
            <w:r w:rsidRPr="004D7F2E">
              <w:t xml:space="preserve"> </w:t>
            </w:r>
            <w:r w:rsidRPr="004D7F2E">
              <w:rPr>
                <w:i/>
              </w:rPr>
              <w:t>till fängelse i högst</w:t>
            </w:r>
            <w:r w:rsidRPr="004D7F2E">
              <w:t xml:space="preserve"> </w:t>
            </w:r>
            <w:r w:rsidRPr="004D7F2E">
              <w:rPr>
                <w:i/>
              </w:rPr>
              <w:t>fyra</w:t>
            </w:r>
            <w:r w:rsidRPr="004D7F2E">
              <w:t xml:space="preserve"> </w:t>
            </w:r>
            <w:r w:rsidRPr="004D7F2E">
              <w:rPr>
                <w:i/>
              </w:rPr>
              <w:t>år</w:t>
            </w:r>
            <w:r w:rsidRPr="004D7F2E">
              <w:t xml:space="preserve"> </w:t>
            </w:r>
            <w:r w:rsidRPr="004D7F2E">
              <w:rPr>
                <w:i/>
              </w:rPr>
              <w:t xml:space="preserve">eller, om brottet är ringa, till böter eller </w:t>
            </w:r>
            <w:r w:rsidRPr="004D7F2E">
              <w:rPr>
                <w:i/>
              </w:rPr>
              <w:br/>
              <w:t>fängelse i högst sex månader</w:t>
            </w:r>
            <w:r w:rsidRPr="004D7F2E">
              <w:t>. De</w:t>
            </w:r>
            <w:r w:rsidRPr="004D7F2E">
              <w:t>t</w:t>
            </w:r>
            <w:r w:rsidRPr="004D7F2E">
              <w:t>samma skall gälla, om man med någon annan gärning, som medför lidande, skada eller olägenhet, eller med hot om en sådan gärning angr</w:t>
            </w:r>
            <w:r w:rsidRPr="004D7F2E">
              <w:t>i</w:t>
            </w:r>
            <w:r w:rsidRPr="004D7F2E">
              <w:t>per någon för att denne avla</w:t>
            </w:r>
            <w:r w:rsidRPr="004D7F2E">
              <w:t>gt vit</w:t>
            </w:r>
            <w:r w:rsidRPr="004D7F2E">
              <w:t>t</w:t>
            </w:r>
            <w:r w:rsidRPr="004D7F2E">
              <w:t>nesmål eller annars avgett utsaga vid förhör hos en myndighet eller för att hindra honom från att avge en sådan utsaga.</w:t>
            </w:r>
          </w:p>
          <w:p w:rsidR="003F60CB" w:rsidRPr="004D7F2E" w:rsidRDefault="003F60CB">
            <w:pPr>
              <w:pStyle w:val="LagtextIndrag"/>
            </w:pPr>
            <w:r w:rsidRPr="004D7F2E">
              <w:t>Är brottet grovt, döms till fäng</w:t>
            </w:r>
            <w:r w:rsidRPr="004D7F2E">
              <w:softHyphen/>
              <w:t xml:space="preserve">else, lägst </w:t>
            </w:r>
            <w:r w:rsidRPr="004D7F2E">
              <w:rPr>
                <w:i/>
              </w:rPr>
              <w:t>två</w:t>
            </w:r>
            <w:r w:rsidRPr="004D7F2E">
              <w:t xml:space="preserve"> och högst </w:t>
            </w:r>
            <w:r w:rsidRPr="004D7F2E">
              <w:rPr>
                <w:i/>
              </w:rPr>
              <w:t>åtta</w:t>
            </w:r>
            <w:r w:rsidRPr="004D7F2E">
              <w:t xml:space="preserve"> år.</w:t>
            </w:r>
          </w:p>
        </w:tc>
      </w:tr>
    </w:tbl>
    <w:p w:rsidR="003F60CB" w:rsidRPr="004D7F2E" w:rsidRDefault="003F60CB">
      <w:pPr>
        <w:pStyle w:val="Deltagare"/>
        <w:keepLines w:val="0"/>
        <w:spacing w:before="187" w:line="250" w:lineRule="atLeast"/>
        <w:rPr>
          <w:noProof w:val="0"/>
        </w:rPr>
      </w:pPr>
      <w:r w:rsidRPr="004D7F2E">
        <w:rPr>
          <w:noProof w:val="0"/>
        </w:rPr>
        <w:t xml:space="preserve">– – – – – – – – – – – – – – – – – – – – – – – – – – – – – – – – – – – – – – – – – – </w:t>
      </w:r>
    </w:p>
    <w:p w:rsidR="003F60CB" w:rsidRPr="004D7F2E" w:rsidRDefault="003F60CB">
      <w:r w:rsidRPr="004D7F2E">
        <w:rPr>
          <w:u w:val="single"/>
        </w:rPr>
        <w:t>                                     </w:t>
      </w:r>
    </w:p>
    <w:p w:rsidR="003F60CB" w:rsidRPr="004D7F2E" w:rsidRDefault="003F60CB"/>
    <w:p w:rsidR="003F60CB" w:rsidRPr="004D7F2E" w:rsidRDefault="003F60CB">
      <w:pPr>
        <w:pStyle w:val="Normaltindrag"/>
      </w:pPr>
      <w:r w:rsidRPr="004D7F2E">
        <w:t>Denna lag träder i kraft den 1 januari 2003 i fråga om 16 kap. 8 § och i ö</w:t>
      </w:r>
      <w:r w:rsidRPr="004D7F2E">
        <w:t>v</w:t>
      </w:r>
      <w:r w:rsidRPr="004D7F2E">
        <w:t>rigt den 1 juli 2002.</w:t>
      </w:r>
    </w:p>
    <w:p w:rsidR="003F60CB" w:rsidRPr="004D7F2E" w:rsidRDefault="003F60CB">
      <w:pPr>
        <w:pStyle w:val="Tryckort"/>
        <w:framePr w:wrap="around"/>
      </w:pPr>
      <w:r w:rsidRPr="004D7F2E">
        <w:t>Elanders Gotab, Stockholm  2002</w:t>
      </w:r>
    </w:p>
    <w:p w:rsidR="003F60CB" w:rsidRPr="004D7F2E" w:rsidRDefault="003F60CB">
      <w:pPr>
        <w:pStyle w:val="Normaltindrag"/>
      </w:pPr>
    </w:p>
    <w:p w:rsidR="003F60CB" w:rsidRPr="004D7F2E" w:rsidRDefault="003F60CB">
      <w:pPr>
        <w:pStyle w:val="Tryckort"/>
        <w:framePr w:wrap="around"/>
      </w:pPr>
      <w:r w:rsidRPr="004D7F2E">
        <w:t>Elanders Gotab, Stockholm  2002</w:t>
      </w:r>
    </w:p>
    <w:p w:rsidR="003F60CB" w:rsidRPr="004D7F2E" w:rsidRDefault="003F60CB">
      <w:pPr>
        <w:pStyle w:val="Normaltindrag"/>
        <w:spacing w:line="20" w:lineRule="exact"/>
        <w:ind w:firstLine="0"/>
      </w:pPr>
    </w:p>
    <w:sectPr w:rsidR="003F60CB" w:rsidRPr="004D7F2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0CB" w:rsidRPr="004D7F2E" w:rsidRDefault="003F60CB">
      <w:pPr>
        <w:spacing w:before="0" w:line="240" w:lineRule="auto"/>
      </w:pPr>
      <w:r w:rsidRPr="004D7F2E">
        <w:separator/>
      </w:r>
    </w:p>
  </w:endnote>
  <w:endnote w:type="continuationSeparator" w:id="0">
    <w:p w:rsidR="003F60CB" w:rsidRPr="004D7F2E" w:rsidRDefault="003F60CB">
      <w:pPr>
        <w:spacing w:before="0" w:line="240" w:lineRule="auto"/>
      </w:pPr>
      <w:r w:rsidRPr="004D7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2</w:t>
    </w:r>
    <w:r w:rsidRPr="004D7F2E">
      <w:fldChar w:fldCharType="end"/>
    </w:r>
  </w:p>
  <w:p w:rsidR="003F60CB" w:rsidRPr="004D7F2E" w:rsidRDefault="003F60C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6</w:t>
    </w:r>
    <w:r w:rsidRPr="004D7F2E">
      <w:fldChar w:fldCharType="end"/>
    </w:r>
  </w:p>
  <w:p w:rsidR="003F60CB" w:rsidRPr="004D7F2E" w:rsidRDefault="003F60C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7</w:t>
    </w:r>
    <w:r w:rsidRPr="004D7F2E">
      <w:fldChar w:fldCharType="end"/>
    </w:r>
  </w:p>
  <w:p w:rsidR="003F60CB" w:rsidRPr="004D7F2E" w:rsidRDefault="003F60C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4</w:instrText>
    </w:r>
    <w:r w:rsidRPr="004D7F2E">
      <w:fldChar w:fldCharType="end"/>
    </w:r>
    <w:r w:rsidRPr="004D7F2E">
      <w:instrText xml:space="preserve">/2 </w:instrText>
    </w:r>
    <w:r w:rsidRPr="004D7F2E">
      <w:fldChar w:fldCharType="separate"/>
    </w:r>
    <w:r w:rsidRPr="004D7F2E">
      <w:instrText>2</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4</w:instrText>
    </w:r>
    <w:r w:rsidRPr="004D7F2E">
      <w:fldChar w:fldCharType="end"/>
    </w:r>
    <w:r w:rsidRPr="004D7F2E">
      <w:instrText xml:space="preserve">/2) </w:instrText>
    </w:r>
    <w:r w:rsidRPr="004D7F2E">
      <w:fldChar w:fldCharType="separate"/>
    </w:r>
    <w:r w:rsidRPr="004D7F2E">
      <w:instrText>2</w:instrText>
    </w:r>
    <w:r w:rsidRPr="004D7F2E">
      <w:fldChar w:fldCharType="end"/>
    </w:r>
    <w:r w:rsidRPr="004D7F2E">
      <w:fldChar w:fldCharType="separate"/>
    </w:r>
    <w:r w:rsidRPr="004D7F2E">
      <w:instrText>0</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4</w:instrText>
    </w:r>
    <w:r w:rsidRPr="004D7F2E">
      <w:fldChar w:fldCharType="end"/>
    </w:r>
  </w:p>
  <w:p w:rsidR="003F60CB" w:rsidRPr="004D7F2E" w:rsidRDefault="003F60CB">
    <w:pPr>
      <w:pStyle w:val="SidfotV"/>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5</w:instrText>
    </w:r>
    <w:r w:rsidRPr="004D7F2E">
      <w:fldChar w:fldCharType="end"/>
    </w:r>
    <w:r w:rsidRPr="004D7F2E">
      <w:instrText>"</w:instrText>
    </w:r>
    <w:r w:rsidRPr="004D7F2E">
      <w:fldChar w:fldCharType="separate"/>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4</w:t>
    </w:r>
    <w:r w:rsidRPr="004D7F2E">
      <w:fldChar w:fldCharType="end"/>
    </w:r>
  </w:p>
  <w:p w:rsidR="003F60CB" w:rsidRPr="004D7F2E" w:rsidRDefault="003F60CB">
    <w:pPr>
      <w:pStyle w:val="SidfotH"/>
      <w:framePr w:w="8732" w:h="284" w:hRule="exact" w:hSpace="0" w:vSpace="0" w:wrap="around" w:xAlign="inside" w:y="13042" w:anchorLock="0"/>
    </w:pPr>
    <w:r w:rsidRPr="004D7F2E">
      <w:fldChar w:fldCharType="end"/>
    </w:r>
  </w:p>
  <w:p w:rsidR="003F60CB" w:rsidRPr="004D7F2E" w:rsidRDefault="003F60C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8</w:t>
    </w:r>
    <w:r w:rsidRPr="004D7F2E">
      <w:fldChar w:fldCharType="end"/>
    </w:r>
  </w:p>
  <w:p w:rsidR="003F60CB" w:rsidRPr="004D7F2E" w:rsidRDefault="003F60C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9</w:t>
    </w:r>
    <w:r w:rsidRPr="004D7F2E">
      <w:fldChar w:fldCharType="end"/>
    </w:r>
  </w:p>
  <w:p w:rsidR="003F60CB" w:rsidRPr="004D7F2E" w:rsidRDefault="003F60C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5</w:instrText>
    </w:r>
    <w:r w:rsidRPr="004D7F2E">
      <w:fldChar w:fldCharType="end"/>
    </w:r>
    <w:r w:rsidRPr="004D7F2E">
      <w:instrText xml:space="preserve">/2 </w:instrText>
    </w:r>
    <w:r w:rsidRPr="004D7F2E">
      <w:fldChar w:fldCharType="separate"/>
    </w:r>
    <w:r w:rsidRPr="004D7F2E">
      <w:instrText>2,5</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5</w:instrText>
    </w:r>
    <w:r w:rsidRPr="004D7F2E">
      <w:fldChar w:fldCharType="end"/>
    </w:r>
    <w:r w:rsidRPr="004D7F2E">
      <w:instrText xml:space="preserve">/2) </w:instrText>
    </w:r>
    <w:r w:rsidRPr="004D7F2E">
      <w:fldChar w:fldCharType="separate"/>
    </w:r>
    <w:r w:rsidRPr="004D7F2E">
      <w:instrText>2</w:instrText>
    </w:r>
    <w:r w:rsidRPr="004D7F2E">
      <w:fldChar w:fldCharType="end"/>
    </w:r>
    <w:r w:rsidRPr="004D7F2E">
      <w:fldChar w:fldCharType="separate"/>
    </w:r>
    <w:r w:rsidRPr="004D7F2E">
      <w:instrText>0,5</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6</w:instrText>
    </w:r>
    <w:r w:rsidRPr="004D7F2E">
      <w:fldChar w:fldCharType="end"/>
    </w:r>
  </w:p>
  <w:p w:rsidR="003F60CB" w:rsidRPr="004D7F2E" w:rsidRDefault="003F60CB">
    <w:pPr>
      <w:pStyle w:val="SidfotH"/>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5</w:instrText>
    </w:r>
    <w:r w:rsidRPr="004D7F2E">
      <w:fldChar w:fldCharType="end"/>
    </w:r>
    <w:r w:rsidRPr="004D7F2E">
      <w:instrText>"</w:instrText>
    </w:r>
    <w:r w:rsidRPr="004D7F2E">
      <w:fldChar w:fldCharType="separate"/>
    </w:r>
    <w:r w:rsidRPr="004D7F2E">
      <w:t>5</w:t>
    </w:r>
    <w:r w:rsidRPr="004D7F2E">
      <w:fldChar w:fldCharType="end"/>
    </w:r>
  </w:p>
  <w:p w:rsidR="003F60CB" w:rsidRPr="004D7F2E" w:rsidRDefault="003F60C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8</w:t>
    </w:r>
    <w:r w:rsidRPr="004D7F2E">
      <w:fldChar w:fldCharType="end"/>
    </w:r>
  </w:p>
  <w:p w:rsidR="003F60CB" w:rsidRPr="004D7F2E" w:rsidRDefault="003F60C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9</w:t>
    </w:r>
    <w:r w:rsidRPr="004D7F2E">
      <w:fldChar w:fldCharType="end"/>
    </w:r>
  </w:p>
  <w:p w:rsidR="003F60CB" w:rsidRPr="004D7F2E" w:rsidRDefault="003F60C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10</w:instrText>
    </w:r>
    <w:r w:rsidRPr="004D7F2E">
      <w:fldChar w:fldCharType="end"/>
    </w:r>
    <w:r w:rsidRPr="004D7F2E">
      <w:instrText xml:space="preserve">/2 </w:instrText>
    </w:r>
    <w:r w:rsidRPr="004D7F2E">
      <w:fldChar w:fldCharType="separate"/>
    </w:r>
    <w:r w:rsidRPr="004D7F2E">
      <w:instrText>5</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10</w:instrText>
    </w:r>
    <w:r w:rsidRPr="004D7F2E">
      <w:fldChar w:fldCharType="end"/>
    </w:r>
    <w:r w:rsidRPr="004D7F2E">
      <w:instrText xml:space="preserve">/2) </w:instrText>
    </w:r>
    <w:r w:rsidRPr="004D7F2E">
      <w:fldChar w:fldCharType="separate"/>
    </w:r>
    <w:r w:rsidRPr="004D7F2E">
      <w:instrText>5</w:instrText>
    </w:r>
    <w:r w:rsidRPr="004D7F2E">
      <w:fldChar w:fldCharType="end"/>
    </w:r>
    <w:r w:rsidRPr="004D7F2E">
      <w:fldChar w:fldCharType="separate"/>
    </w:r>
    <w:r w:rsidRPr="004D7F2E">
      <w:instrText>0</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10</w:instrText>
    </w:r>
    <w:r w:rsidRPr="004D7F2E">
      <w:fldChar w:fldCharType="end"/>
    </w:r>
  </w:p>
  <w:p w:rsidR="003F60CB" w:rsidRPr="004D7F2E" w:rsidRDefault="003F60CB">
    <w:pPr>
      <w:pStyle w:val="SidfotV"/>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5</w:instrText>
    </w:r>
    <w:r w:rsidRPr="004D7F2E">
      <w:fldChar w:fldCharType="end"/>
    </w:r>
    <w:r w:rsidRPr="004D7F2E">
      <w:instrText>"</w:instrText>
    </w:r>
    <w:r w:rsidRPr="004D7F2E">
      <w:fldChar w:fldCharType="separate"/>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10</w:t>
    </w:r>
    <w:r w:rsidRPr="004D7F2E">
      <w:fldChar w:fldCharType="end"/>
    </w:r>
  </w:p>
  <w:p w:rsidR="003F60CB" w:rsidRPr="004D7F2E" w:rsidRDefault="003F60CB">
    <w:pPr>
      <w:pStyle w:val="SidfotH"/>
      <w:framePr w:w="8732" w:h="284" w:hRule="exact" w:hSpace="0" w:vSpace="0" w:wrap="around" w:xAlign="inside" w:y="13042" w:anchorLock="0"/>
    </w:pPr>
    <w:r w:rsidRPr="004D7F2E">
      <w:fldChar w:fldCharType="end"/>
    </w:r>
  </w:p>
  <w:p w:rsidR="003F60CB" w:rsidRPr="004D7F2E" w:rsidRDefault="003F60C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12</w:t>
    </w:r>
    <w:r w:rsidRPr="004D7F2E">
      <w:fldChar w:fldCharType="end"/>
    </w:r>
  </w:p>
  <w:p w:rsidR="003F60CB" w:rsidRPr="004D7F2E" w:rsidRDefault="003F60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3</w:t>
    </w:r>
    <w:r w:rsidRPr="004D7F2E">
      <w:fldChar w:fldCharType="end"/>
    </w:r>
  </w:p>
  <w:p w:rsidR="003F60CB" w:rsidRPr="004D7F2E" w:rsidRDefault="003F60C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9</w:t>
    </w:r>
    <w:r w:rsidRPr="004D7F2E">
      <w:fldChar w:fldCharType="end"/>
    </w:r>
  </w:p>
  <w:p w:rsidR="003F60CB" w:rsidRPr="004D7F2E" w:rsidRDefault="003F60C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11</w:instrText>
    </w:r>
    <w:r w:rsidRPr="004D7F2E">
      <w:fldChar w:fldCharType="end"/>
    </w:r>
    <w:r w:rsidRPr="004D7F2E">
      <w:instrText xml:space="preserve">/2 </w:instrText>
    </w:r>
    <w:r w:rsidRPr="004D7F2E">
      <w:fldChar w:fldCharType="separate"/>
    </w:r>
    <w:r w:rsidRPr="004D7F2E">
      <w:instrText>5,5</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11</w:instrText>
    </w:r>
    <w:r w:rsidRPr="004D7F2E">
      <w:fldChar w:fldCharType="end"/>
    </w:r>
    <w:r w:rsidRPr="004D7F2E">
      <w:instrText xml:space="preserve">/2) </w:instrText>
    </w:r>
    <w:r w:rsidRPr="004D7F2E">
      <w:fldChar w:fldCharType="separate"/>
    </w:r>
    <w:r w:rsidRPr="004D7F2E">
      <w:instrText>5</w:instrText>
    </w:r>
    <w:r w:rsidRPr="004D7F2E">
      <w:fldChar w:fldCharType="end"/>
    </w:r>
    <w:r w:rsidRPr="004D7F2E">
      <w:fldChar w:fldCharType="separate"/>
    </w:r>
    <w:r w:rsidRPr="004D7F2E">
      <w:instrText>0,5</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6</w:instrText>
    </w:r>
    <w:r w:rsidRPr="004D7F2E">
      <w:fldChar w:fldCharType="end"/>
    </w:r>
  </w:p>
  <w:p w:rsidR="003F60CB" w:rsidRPr="004D7F2E" w:rsidRDefault="003F60CB">
    <w:pPr>
      <w:pStyle w:val="SidfotH"/>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11</w:instrText>
    </w:r>
    <w:r w:rsidRPr="004D7F2E">
      <w:fldChar w:fldCharType="end"/>
    </w:r>
    <w:r w:rsidRPr="004D7F2E">
      <w:instrText>"</w:instrText>
    </w:r>
    <w:r w:rsidRPr="004D7F2E">
      <w:fldChar w:fldCharType="separate"/>
    </w:r>
    <w:r w:rsidRPr="004D7F2E">
      <w:t>11</w:t>
    </w:r>
    <w:r w:rsidRPr="004D7F2E">
      <w:fldChar w:fldCharType="end"/>
    </w:r>
  </w:p>
  <w:p w:rsidR="003F60CB" w:rsidRPr="004D7F2E" w:rsidRDefault="003F60C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14</w:t>
    </w:r>
    <w:r w:rsidRPr="004D7F2E">
      <w:fldChar w:fldCharType="end"/>
    </w:r>
  </w:p>
  <w:p w:rsidR="003F60CB" w:rsidRPr="004D7F2E" w:rsidRDefault="003F60C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11</w:t>
    </w:r>
    <w:r w:rsidRPr="004D7F2E">
      <w:fldChar w:fldCharType="end"/>
    </w:r>
  </w:p>
  <w:p w:rsidR="003F60CB" w:rsidRPr="004D7F2E" w:rsidRDefault="003F60C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13</w:instrText>
    </w:r>
    <w:r w:rsidRPr="004D7F2E">
      <w:fldChar w:fldCharType="end"/>
    </w:r>
    <w:r w:rsidRPr="004D7F2E">
      <w:instrText xml:space="preserve">/2 </w:instrText>
    </w:r>
    <w:r w:rsidRPr="004D7F2E">
      <w:fldChar w:fldCharType="separate"/>
    </w:r>
    <w:r w:rsidRPr="004D7F2E">
      <w:instrText>6,5</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13</w:instrText>
    </w:r>
    <w:r w:rsidRPr="004D7F2E">
      <w:fldChar w:fldCharType="end"/>
    </w:r>
    <w:r w:rsidRPr="004D7F2E">
      <w:instrText xml:space="preserve">/2) </w:instrText>
    </w:r>
    <w:r w:rsidRPr="004D7F2E">
      <w:fldChar w:fldCharType="separate"/>
    </w:r>
    <w:r w:rsidRPr="004D7F2E">
      <w:instrText>6</w:instrText>
    </w:r>
    <w:r w:rsidRPr="004D7F2E">
      <w:fldChar w:fldCharType="end"/>
    </w:r>
    <w:r w:rsidRPr="004D7F2E">
      <w:fldChar w:fldCharType="separate"/>
    </w:r>
    <w:r w:rsidRPr="004D7F2E">
      <w:instrText>0,5</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14</w:instrText>
    </w:r>
    <w:r w:rsidRPr="004D7F2E">
      <w:fldChar w:fldCharType="end"/>
    </w:r>
  </w:p>
  <w:p w:rsidR="003F60CB" w:rsidRPr="004D7F2E" w:rsidRDefault="003F60CB">
    <w:pPr>
      <w:pStyle w:val="SidfotH"/>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13</w:instrText>
    </w:r>
    <w:r w:rsidRPr="004D7F2E">
      <w:fldChar w:fldCharType="end"/>
    </w:r>
    <w:r w:rsidRPr="004D7F2E">
      <w:instrText>"</w:instrText>
    </w:r>
    <w:r w:rsidRPr="004D7F2E">
      <w:fldChar w:fldCharType="separate"/>
    </w:r>
    <w:r w:rsidRPr="004D7F2E">
      <w:t>13</w:t>
    </w:r>
    <w:r w:rsidRPr="004D7F2E">
      <w:fldChar w:fldCharType="end"/>
    </w:r>
  </w:p>
  <w:p w:rsidR="003F60CB" w:rsidRPr="004D7F2E" w:rsidRDefault="003F60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004D7F2E">
      <w:rPr>
        <w:noProof/>
      </w:rPr>
      <w:instrText>1</w:instrText>
    </w:r>
    <w:r w:rsidRPr="004D7F2E">
      <w:fldChar w:fldCharType="end"/>
    </w:r>
    <w:r w:rsidRPr="004D7F2E">
      <w:instrText xml:space="preserve">/2 </w:instrText>
    </w:r>
    <w:r w:rsidRPr="004D7F2E">
      <w:fldChar w:fldCharType="separate"/>
    </w:r>
    <w:r w:rsidR="004D7F2E">
      <w:rPr>
        <w:noProof/>
      </w:rPr>
      <w:instrText>0,5</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004D7F2E">
      <w:rPr>
        <w:noProof/>
      </w:rPr>
      <w:instrText>1</w:instrText>
    </w:r>
    <w:r w:rsidRPr="004D7F2E">
      <w:fldChar w:fldCharType="end"/>
    </w:r>
    <w:r w:rsidRPr="004D7F2E">
      <w:instrText xml:space="preserve">/2) </w:instrText>
    </w:r>
    <w:r w:rsidRPr="004D7F2E">
      <w:fldChar w:fldCharType="separate"/>
    </w:r>
    <w:r w:rsidR="004D7F2E">
      <w:rPr>
        <w:noProof/>
      </w:rPr>
      <w:instrText>0</w:instrText>
    </w:r>
    <w:r w:rsidRPr="004D7F2E">
      <w:fldChar w:fldCharType="end"/>
    </w:r>
    <w:r w:rsidRPr="004D7F2E">
      <w:fldChar w:fldCharType="separate"/>
    </w:r>
    <w:r w:rsidR="004D7F2E">
      <w:rPr>
        <w:noProof/>
      </w:rPr>
      <w:instrText>0,5</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14</w:instrText>
    </w:r>
    <w:r w:rsidRPr="004D7F2E">
      <w:fldChar w:fldCharType="end"/>
    </w:r>
  </w:p>
  <w:p w:rsidR="003F60CB" w:rsidRPr="004D7F2E" w:rsidRDefault="003F60CB">
    <w:pPr>
      <w:pStyle w:val="SidfotH"/>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004D7F2E">
      <w:rPr>
        <w:noProof/>
      </w:rPr>
      <w:instrText>1</w:instrText>
    </w:r>
    <w:r w:rsidRPr="004D7F2E">
      <w:fldChar w:fldCharType="end"/>
    </w:r>
    <w:r w:rsidRPr="004D7F2E">
      <w:instrText>"</w:instrText>
    </w:r>
    <w:r w:rsidRPr="004D7F2E">
      <w:fldChar w:fldCharType="separate"/>
    </w:r>
    <w:r w:rsidR="004D7F2E">
      <w:rPr>
        <w:noProof/>
      </w:rPr>
      <w:t>1</w:t>
    </w:r>
    <w:r w:rsidRPr="004D7F2E">
      <w:fldChar w:fldCharType="end"/>
    </w:r>
  </w:p>
  <w:p w:rsidR="003F60CB" w:rsidRPr="004D7F2E" w:rsidRDefault="003F60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2</w:t>
    </w:r>
    <w:r w:rsidRPr="004D7F2E">
      <w:fldChar w:fldCharType="end"/>
    </w:r>
  </w:p>
  <w:p w:rsidR="003F60CB" w:rsidRPr="004D7F2E" w:rsidRDefault="003F60C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3</w:t>
    </w:r>
    <w:r w:rsidRPr="004D7F2E">
      <w:fldChar w:fldCharType="end"/>
    </w:r>
  </w:p>
  <w:p w:rsidR="003F60CB" w:rsidRPr="004D7F2E" w:rsidRDefault="003F60C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2</w:instrText>
    </w:r>
    <w:r w:rsidRPr="004D7F2E">
      <w:fldChar w:fldCharType="end"/>
    </w:r>
    <w:r w:rsidRPr="004D7F2E">
      <w:instrText xml:space="preserve">/2 </w:instrText>
    </w:r>
    <w:r w:rsidRPr="004D7F2E">
      <w:fldChar w:fldCharType="separate"/>
    </w:r>
    <w:r w:rsidRPr="004D7F2E">
      <w:instrText>1</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2</w:instrText>
    </w:r>
    <w:r w:rsidRPr="004D7F2E">
      <w:fldChar w:fldCharType="end"/>
    </w:r>
    <w:r w:rsidRPr="004D7F2E">
      <w:instrText xml:space="preserve">/2) </w:instrText>
    </w:r>
    <w:r w:rsidRPr="004D7F2E">
      <w:fldChar w:fldCharType="separate"/>
    </w:r>
    <w:r w:rsidRPr="004D7F2E">
      <w:instrText>1</w:instrText>
    </w:r>
    <w:r w:rsidRPr="004D7F2E">
      <w:fldChar w:fldCharType="end"/>
    </w:r>
    <w:r w:rsidRPr="004D7F2E">
      <w:fldChar w:fldCharType="separate"/>
    </w:r>
    <w:r w:rsidRPr="004D7F2E">
      <w:instrText>0</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2</w:instrText>
    </w:r>
    <w:r w:rsidRPr="004D7F2E">
      <w:fldChar w:fldCharType="end"/>
    </w:r>
  </w:p>
  <w:p w:rsidR="003F60CB" w:rsidRPr="004D7F2E" w:rsidRDefault="003F60CB">
    <w:pPr>
      <w:pStyle w:val="SidfotV"/>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1</w:instrText>
    </w:r>
    <w:r w:rsidRPr="004D7F2E">
      <w:fldChar w:fldCharType="end"/>
    </w:r>
    <w:r w:rsidRPr="004D7F2E">
      <w:instrText>"</w:instrText>
    </w:r>
    <w:r w:rsidRPr="004D7F2E">
      <w:fldChar w:fldCharType="separate"/>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2</w:t>
    </w:r>
    <w:r w:rsidRPr="004D7F2E">
      <w:fldChar w:fldCharType="end"/>
    </w:r>
  </w:p>
  <w:p w:rsidR="003F60CB" w:rsidRPr="004D7F2E" w:rsidRDefault="003F60CB">
    <w:pPr>
      <w:pStyle w:val="SidfotH"/>
      <w:framePr w:w="8732" w:h="284" w:hRule="exact" w:hSpace="0" w:vSpace="0" w:wrap="around" w:xAlign="inside" w:y="13042" w:anchorLock="0"/>
    </w:pPr>
    <w:r w:rsidRPr="004D7F2E">
      <w:fldChar w:fldCharType="end"/>
    </w:r>
  </w:p>
  <w:p w:rsidR="003F60CB" w:rsidRPr="004D7F2E" w:rsidRDefault="003F60C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4</w:t>
    </w:r>
    <w:r w:rsidRPr="004D7F2E">
      <w:fldChar w:fldCharType="end"/>
    </w:r>
  </w:p>
  <w:p w:rsidR="003F60CB" w:rsidRPr="004D7F2E" w:rsidRDefault="003F60C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H"/>
      <w:framePr w:w="8732" w:h="284" w:hRule="exact" w:hSpace="0" w:vSpace="0" w:wrap="around" w:xAlign="inside" w:y="13042" w:anchorLock="0"/>
    </w:pP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t>5</w:t>
    </w:r>
    <w:r w:rsidRPr="004D7F2E">
      <w:fldChar w:fldCharType="end"/>
    </w:r>
  </w:p>
  <w:p w:rsidR="003F60CB" w:rsidRPr="004D7F2E" w:rsidRDefault="003F60C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fotV"/>
      <w:framePr w:w="8732" w:h="284" w:hRule="exact" w:hSpace="0" w:vSpace="0" w:wrap="around" w:xAlign="inside" w:y="13042" w:anchorLock="0"/>
    </w:pPr>
    <w:r w:rsidRPr="004D7F2E">
      <w:fldChar w:fldCharType="begin" w:fldLock="1"/>
    </w:r>
    <w:r w:rsidRPr="004D7F2E">
      <w:instrText xml:space="preserve"> if </w:instrText>
    </w:r>
    <w:r w:rsidRPr="004D7F2E">
      <w:fldChar w:fldCharType="begin" w:fldLock="1"/>
    </w:r>
    <w:r w:rsidRPr="004D7F2E">
      <w:instrText xml:space="preserve"> = </w:instrText>
    </w:r>
    <w:r w:rsidRPr="004D7F2E">
      <w:fldChar w:fldCharType="begin" w:fldLock="1"/>
    </w:r>
    <w:r w:rsidRPr="004D7F2E">
      <w:instrText xml:space="preserve"> = </w:instrText>
    </w:r>
    <w:r w:rsidRPr="004D7F2E">
      <w:fldChar w:fldCharType="begin" w:fldLock="1"/>
    </w:r>
    <w:r w:rsidRPr="004D7F2E">
      <w:instrText xml:space="preserve"> page</w:instrText>
    </w:r>
    <w:r w:rsidRPr="004D7F2E">
      <w:fldChar w:fldCharType="separate"/>
    </w:r>
    <w:r w:rsidRPr="004D7F2E">
      <w:instrText>3</w:instrText>
    </w:r>
    <w:r w:rsidRPr="004D7F2E">
      <w:fldChar w:fldCharType="end"/>
    </w:r>
    <w:r w:rsidRPr="004D7F2E">
      <w:instrText xml:space="preserve">/2 </w:instrText>
    </w:r>
    <w:r w:rsidRPr="004D7F2E">
      <w:fldChar w:fldCharType="separate"/>
    </w:r>
    <w:r w:rsidRPr="004D7F2E">
      <w:instrText>1,5</w:instrText>
    </w:r>
    <w:r w:rsidRPr="004D7F2E">
      <w:fldChar w:fldCharType="end"/>
    </w:r>
    <w:r w:rsidRPr="004D7F2E">
      <w:instrText xml:space="preserve"> - </w:instrText>
    </w:r>
    <w:r w:rsidRPr="004D7F2E">
      <w:fldChar w:fldCharType="begin" w:fldLock="1"/>
    </w:r>
    <w:r w:rsidRPr="004D7F2E">
      <w:instrText xml:space="preserve"> = int(</w:instrText>
    </w:r>
    <w:r w:rsidRPr="004D7F2E">
      <w:fldChar w:fldCharType="begin" w:fldLock="1"/>
    </w:r>
    <w:r w:rsidRPr="004D7F2E">
      <w:instrText xml:space="preserve"> page</w:instrText>
    </w:r>
    <w:r w:rsidRPr="004D7F2E">
      <w:fldChar w:fldCharType="separate"/>
    </w:r>
    <w:r w:rsidRPr="004D7F2E">
      <w:instrText>3</w:instrText>
    </w:r>
    <w:r w:rsidRPr="004D7F2E">
      <w:fldChar w:fldCharType="end"/>
    </w:r>
    <w:r w:rsidRPr="004D7F2E">
      <w:instrText xml:space="preserve">/2) </w:instrText>
    </w:r>
    <w:r w:rsidRPr="004D7F2E">
      <w:fldChar w:fldCharType="separate"/>
    </w:r>
    <w:r w:rsidRPr="004D7F2E">
      <w:instrText>1</w:instrText>
    </w:r>
    <w:r w:rsidRPr="004D7F2E">
      <w:fldChar w:fldCharType="end"/>
    </w:r>
    <w:r w:rsidRPr="004D7F2E">
      <w:fldChar w:fldCharType="separate"/>
    </w:r>
    <w:r w:rsidRPr="004D7F2E">
      <w:instrText>0,5</w:instrText>
    </w:r>
    <w:r w:rsidRPr="004D7F2E">
      <w:fldChar w:fldCharType="end"/>
    </w:r>
    <w:r w:rsidRPr="004D7F2E">
      <w:instrText xml:space="preserve"> = 0 "</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4</w:instrText>
    </w:r>
    <w:r w:rsidRPr="004D7F2E">
      <w:fldChar w:fldCharType="end"/>
    </w:r>
  </w:p>
  <w:p w:rsidR="003F60CB" w:rsidRPr="004D7F2E" w:rsidRDefault="003F60CB">
    <w:pPr>
      <w:pStyle w:val="SidfotH"/>
      <w:framePr w:w="8732" w:h="284" w:hRule="exact" w:hSpace="0" w:vSpace="0" w:wrap="around" w:xAlign="inside" w:y="13042" w:anchorLock="0"/>
    </w:pPr>
    <w:r w:rsidRPr="004D7F2E">
      <w:instrText>""</w:instrText>
    </w:r>
    <w:r w:rsidRPr="004D7F2E">
      <w:fldChar w:fldCharType="begin" w:fldLock="1"/>
    </w:r>
    <w:r w:rsidRPr="004D7F2E">
      <w:instrText xml:space="preserve"> P</w:instrText>
    </w:r>
    <w:r w:rsidRPr="004D7F2E">
      <w:instrText>A</w:instrText>
    </w:r>
    <w:r w:rsidRPr="004D7F2E">
      <w:instrText xml:space="preserve">GE </w:instrText>
    </w:r>
    <w:r w:rsidRPr="004D7F2E">
      <w:fldChar w:fldCharType="separate"/>
    </w:r>
    <w:r w:rsidRPr="004D7F2E">
      <w:instrText>3</w:instrText>
    </w:r>
    <w:r w:rsidRPr="004D7F2E">
      <w:fldChar w:fldCharType="end"/>
    </w:r>
    <w:r w:rsidRPr="004D7F2E">
      <w:instrText>"</w:instrText>
    </w:r>
    <w:r w:rsidRPr="004D7F2E">
      <w:fldChar w:fldCharType="separate"/>
    </w:r>
    <w:r w:rsidRPr="004D7F2E">
      <w:t>3</w:t>
    </w:r>
    <w:r w:rsidRPr="004D7F2E">
      <w:fldChar w:fldCharType="end"/>
    </w:r>
  </w:p>
  <w:p w:rsidR="003F60CB" w:rsidRPr="004D7F2E" w:rsidRDefault="003F6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0CB" w:rsidRPr="004D7F2E" w:rsidRDefault="003F60CB">
      <w:pPr>
        <w:pStyle w:val="Sidfot"/>
      </w:pPr>
    </w:p>
  </w:footnote>
  <w:footnote w:type="continuationSeparator" w:id="0">
    <w:p w:rsidR="003F60CB" w:rsidRPr="004D7F2E" w:rsidRDefault="003F60CB">
      <w:pPr>
        <w:spacing w:before="0" w:line="240" w:lineRule="auto"/>
      </w:pPr>
      <w:r w:rsidRPr="004D7F2E">
        <w:continuationSeparator/>
      </w:r>
    </w:p>
  </w:footnote>
  <w:footnote w:id="1">
    <w:p w:rsidR="003F60CB" w:rsidRPr="004D7F2E" w:rsidRDefault="003F60CB">
      <w:pPr>
        <w:pStyle w:val="Fotnotstext"/>
      </w:pPr>
      <w:r w:rsidRPr="004D7F2E">
        <w:rPr>
          <w:rStyle w:val="Fotnotsreferens"/>
        </w:rPr>
        <w:t>2</w:t>
      </w:r>
      <w:r w:rsidRPr="004D7F2E">
        <w:t xml:space="preserve"> Senaste lydelse 1997:389.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 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BetänkandeNr</w:instrText>
    </w:r>
    <w:r w:rsidRPr="004D7F2E">
      <w:rPr>
        <w:rStyle w:val="SidhuvudUtskott"/>
      </w:rPr>
      <w:fldChar w:fldCharType="separate"/>
    </w:r>
    <w:r w:rsidRPr="004D7F2E">
      <w:rPr>
        <w:rStyle w:val="SidhuvudUtskott"/>
      </w:rPr>
      <w:t>12</w:t>
    </w:r>
    <w:r w:rsidRPr="004D7F2E">
      <w:rPr>
        <w:rStyle w:val="SidhuvudUtskott"/>
      </w:rPr>
      <w:fldChar w:fldCharType="end"/>
    </w:r>
    <w:r w:rsidRPr="004D7F2E">
      <w:t xml:space="preserve">     </w:t>
    </w:r>
    <w:r w:rsidRPr="004D7F2E">
      <w:rPr>
        <w:rStyle w:val="SidhuvudBilaga"/>
      </w:rPr>
      <w:t xml:space="preserve"> </w:t>
    </w: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Sammanfattning</w:t>
    </w:r>
    <w:r w:rsidRPr="004D7F2E">
      <w:rPr>
        <w:rStyle w:val="SidhuvudRubrikReferens"/>
      </w:rPr>
      <w:fldChar w:fldCharType="end"/>
    </w:r>
  </w:p>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Status</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    </w:instrText>
    </w:r>
    <w:r w:rsidRPr="004D7F2E">
      <w:rPr>
        <w:rStyle w:val="SidhuvudUtskott"/>
      </w:rPr>
      <w:fldChar w:fldCharType="begin" w:fldLock="1"/>
    </w:r>
    <w:r w:rsidRPr="004D7F2E">
      <w:rPr>
        <w:rStyle w:val="SidhuvudUtskott"/>
      </w:rPr>
      <w:instrText xml:space="preserve"> PRINTDATE \@ "yyyy-MM-dd HH.mm"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p>
  <w:p w:rsidR="003F60CB" w:rsidRPr="004D7F2E" w:rsidRDefault="003F60C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 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BetänkandeNr</w:instrText>
    </w:r>
    <w:r w:rsidRPr="004D7F2E">
      <w:rPr>
        <w:rStyle w:val="SidhuvudUtskott"/>
      </w:rPr>
      <w:fldChar w:fldCharType="separate"/>
    </w:r>
    <w:r w:rsidRPr="004D7F2E">
      <w:rPr>
        <w:rStyle w:val="SidhuvudUtskott"/>
      </w:rPr>
      <w:t>12</w:t>
    </w:r>
    <w:r w:rsidRPr="004D7F2E">
      <w:rPr>
        <w:rStyle w:val="SidhuvudUtskott"/>
      </w:rPr>
      <w:fldChar w:fldCharType="end"/>
    </w:r>
    <w:r w:rsidRPr="004D7F2E">
      <w:t xml:space="preserve">     </w:t>
    </w:r>
    <w:r w:rsidRPr="004D7F2E">
      <w:rPr>
        <w:rStyle w:val="SidhuvudBilaga"/>
      </w:rPr>
      <w:t xml:space="preserve"> </w:t>
    </w: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Utskottets förslag till riksdagsbeslut</w:t>
    </w:r>
    <w:r w:rsidRPr="004D7F2E">
      <w:rPr>
        <w:rStyle w:val="SidhuvudRubrikReferens"/>
      </w:rPr>
      <w:fldChar w:fldCharType="end"/>
    </w:r>
  </w:p>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Status</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    </w:instrText>
    </w:r>
    <w:r w:rsidRPr="004D7F2E">
      <w:rPr>
        <w:rStyle w:val="SidhuvudUtskott"/>
      </w:rPr>
      <w:fldChar w:fldCharType="begin" w:fldLock="1"/>
    </w:r>
    <w:r w:rsidRPr="004D7F2E">
      <w:rPr>
        <w:rStyle w:val="SidhuvudUtskott"/>
      </w:rPr>
      <w:instrText xml:space="preserve"> PRINTDATE \@ "yyyy-MM-dd HH.mm"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p>
  <w:p w:rsidR="003F60CB" w:rsidRPr="004D7F2E" w:rsidRDefault="003F60C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Utskottets förslag till riksdagsbeslut</w:t>
    </w:r>
    <w:r w:rsidRPr="004D7F2E">
      <w:rPr>
        <w:rStyle w:val="SidhuvudRubrikReferens"/>
      </w:rPr>
      <w:fldChar w:fldCharType="end"/>
    </w:r>
    <w:r w:rsidRPr="004D7F2E">
      <w:rPr>
        <w:rStyle w:val="SidhuvudBilaga"/>
      </w:rPr>
      <w:t xml:space="preserve">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t>2001/02:JuU12</w:t>
    </w:r>
    <w:r w:rsidRPr="004D7F2E">
      <w:t xml:space="preserve">    </w:t>
    </w:r>
  </w:p>
  <w:p w:rsidR="003F60CB" w:rsidRPr="004D7F2E" w:rsidRDefault="003F60CB">
    <w:pPr>
      <w:pStyle w:val="SidhuvudKantJmn"/>
      <w:framePr w:w="8732" w:h="567" w:hRule="exact" w:vSpace="0" w:wrap="around" w:vAnchor="page" w:y="341" w:anchorLock="0"/>
    </w:pPr>
  </w:p>
  <w:p w:rsidR="003F60CB" w:rsidRPr="004D7F2E" w:rsidRDefault="003F60CB">
    <w:pPr>
      <w:pStyle w:val="SidhuvudKantUdda"/>
      <w:framePr w:w="8732" w:h="567" w:hRule="exact" w:vSpace="0" w:wrap="around" w:vAnchor="page" w:y="341" w:anchorLock="0"/>
    </w:pPr>
    <w:r w:rsidRPr="004D7F2E">
      <w:rPr>
        <w:rStyle w:val="SidhuvudRubrikReferens"/>
        <w:smallCaps w:val="0"/>
        <w:spacing w:val="0"/>
        <w:sz w:val="19"/>
      </w:rPr>
      <w:t xml:space="preserve"> </w:t>
    </w:r>
  </w:p>
  <w:p w:rsidR="003F60CB" w:rsidRPr="004D7F2E" w:rsidRDefault="003F60C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t>2001/02:JuU12</w:t>
    </w:r>
    <w:r w:rsidRPr="004D7F2E">
      <w:t xml:space="preserve">     </w:t>
    </w:r>
    <w:r w:rsidRPr="004D7F2E">
      <w:rPr>
        <w:rStyle w:val="SidhuvudBilaga"/>
      </w:rPr>
      <w:t xml:space="preserve"> </w:t>
    </w:r>
    <w:r w:rsidRPr="004D7F2E">
      <w:rPr>
        <w:rStyle w:val="SidhuvudRubrikReferens"/>
      </w:rPr>
      <w:t>Utskottets överväganden</w:t>
    </w:r>
  </w:p>
  <w:p w:rsidR="003F60CB" w:rsidRPr="004D7F2E" w:rsidRDefault="003F60CB">
    <w:pPr>
      <w:pStyle w:val="SidhuvudKantJmn"/>
      <w:framePr w:w="8732" w:h="567" w:hRule="exact" w:vSpace="0" w:wrap="around" w:vAnchor="page" w:y="341" w:anchorLock="0"/>
    </w:pPr>
  </w:p>
  <w:p w:rsidR="003F60CB" w:rsidRPr="004D7F2E" w:rsidRDefault="003F60C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t>Utskottets överväganden</w:t>
    </w:r>
    <w:r w:rsidRPr="004D7F2E">
      <w:rPr>
        <w:rStyle w:val="SidhuvudBilaga"/>
      </w:rPr>
      <w:t xml:space="preserve"> </w:t>
    </w:r>
    <w:r w:rsidRPr="004D7F2E">
      <w:t xml:space="preserve">     </w:t>
    </w:r>
    <w:r w:rsidRPr="004D7F2E">
      <w:rPr>
        <w:rStyle w:val="SidhuvudUtskott"/>
      </w:rPr>
      <w:t>2001/02:JuU12</w:t>
    </w:r>
  </w:p>
  <w:p w:rsidR="003F60CB" w:rsidRPr="004D7F2E" w:rsidRDefault="003F60CB">
    <w:pPr>
      <w:pStyle w:val="SidhuvudKantUdda"/>
      <w:framePr w:w="8732" w:h="567" w:hRule="exact" w:vSpace="0" w:wrap="around" w:vAnchor="page" w:y="341" w:anchorLock="0"/>
    </w:pPr>
  </w:p>
  <w:p w:rsidR="003F60CB" w:rsidRPr="004D7F2E" w:rsidRDefault="003F60C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t xml:space="preserve">  </w:t>
    </w:r>
    <w:r w:rsidRPr="004D7F2E">
      <w:rPr>
        <w:rStyle w:val="SidhuvudUtskott"/>
      </w:rPr>
      <w:t>2001/02:JuU12</w:t>
    </w:r>
  </w:p>
  <w:p w:rsidR="003F60CB" w:rsidRPr="004D7F2E" w:rsidRDefault="003F60CB">
    <w:pPr>
      <w:pStyle w:val="SidhuvudKantUdda"/>
      <w:framePr w:w="8732" w:h="567" w:hRule="exact" w:vSpace="0" w:wrap="around" w:vAnchor="page" w:y="341" w:anchorLock="0"/>
    </w:pPr>
  </w:p>
  <w:p w:rsidR="003F60CB" w:rsidRPr="004D7F2E" w:rsidRDefault="003F60C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 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BetänkandeNr</w:instrText>
    </w:r>
    <w:r w:rsidRPr="004D7F2E">
      <w:rPr>
        <w:rStyle w:val="SidhuvudUtskott"/>
      </w:rPr>
      <w:fldChar w:fldCharType="separate"/>
    </w:r>
    <w:r w:rsidRPr="004D7F2E">
      <w:rPr>
        <w:rStyle w:val="SidhuvudUtskott"/>
      </w:rPr>
      <w:t>12</w:t>
    </w:r>
    <w:r w:rsidRPr="004D7F2E">
      <w:rPr>
        <w:rStyle w:val="SidhuvudUtskott"/>
      </w:rPr>
      <w:fldChar w:fldCharType="end"/>
    </w:r>
    <w:r w:rsidRPr="004D7F2E">
      <w:t xml:space="preserve">     </w:t>
    </w:r>
    <w:r w:rsidRPr="004D7F2E">
      <w:rPr>
        <w:rStyle w:val="SidhuvudBilaga"/>
      </w:rPr>
      <w:t xml:space="preserve"> </w:t>
    </w: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Utskottets överväganden</w:t>
    </w:r>
    <w:r w:rsidRPr="004D7F2E">
      <w:rPr>
        <w:rStyle w:val="SidhuvudRubrikReferens"/>
      </w:rPr>
      <w:fldChar w:fldCharType="end"/>
    </w:r>
  </w:p>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Status</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    </w:instrText>
    </w:r>
    <w:r w:rsidRPr="004D7F2E">
      <w:rPr>
        <w:rStyle w:val="SidhuvudUtskott"/>
      </w:rPr>
      <w:fldChar w:fldCharType="begin" w:fldLock="1"/>
    </w:r>
    <w:r w:rsidRPr="004D7F2E">
      <w:rPr>
        <w:rStyle w:val="SidhuvudUtskott"/>
      </w:rPr>
      <w:instrText xml:space="preserve"> PRINTDATE \@ "yyyy-MM-dd HH.mm"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p>
  <w:p w:rsidR="003F60CB" w:rsidRPr="004D7F2E" w:rsidRDefault="003F60C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Utskottets överväganden</w:t>
    </w:r>
    <w:r w:rsidRPr="004D7F2E">
      <w:rPr>
        <w:rStyle w:val="SidhuvudRubrikReferens"/>
      </w:rPr>
      <w:fldChar w:fldCharType="end"/>
    </w:r>
    <w:r w:rsidRPr="004D7F2E">
      <w:rPr>
        <w:rStyle w:val="SidhuvudBilaga"/>
      </w:rPr>
      <w:t xml:space="preserve">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t>2001/02:JuU12</w:t>
    </w:r>
    <w:r w:rsidRPr="004D7F2E">
      <w:t xml:space="preserve">    </w:t>
    </w:r>
  </w:p>
  <w:p w:rsidR="003F60CB" w:rsidRPr="004D7F2E" w:rsidRDefault="003F60CB">
    <w:pPr>
      <w:pStyle w:val="SidhuvudKantJmn"/>
      <w:framePr w:w="8732" w:h="567" w:hRule="exact" w:vSpace="0" w:wrap="around" w:vAnchor="page" w:y="341" w:anchorLock="0"/>
    </w:pPr>
  </w:p>
  <w:p w:rsidR="003F60CB" w:rsidRPr="004D7F2E" w:rsidRDefault="003F60CB">
    <w:pPr>
      <w:pStyle w:val="SidhuvudKantUdda"/>
      <w:framePr w:w="8732" w:h="567" w:hRule="exact" w:vSpace="0" w:wrap="around" w:vAnchor="page" w:y="341" w:anchorLock="0"/>
    </w:pPr>
    <w:r w:rsidRPr="004D7F2E">
      <w:rPr>
        <w:rStyle w:val="SidhuvudRubrikReferens"/>
        <w:smallCaps w:val="0"/>
        <w:spacing w:val="0"/>
        <w:sz w:val="19"/>
      </w:rPr>
      <w:t xml:space="preserve"> </w:t>
    </w:r>
  </w:p>
  <w:p w:rsidR="003F60CB" w:rsidRPr="004D7F2E" w:rsidRDefault="003F60C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t>2001/02:JuU12</w:t>
    </w:r>
    <w:r w:rsidRPr="004D7F2E">
      <w:t xml:space="preserve">     </w:t>
    </w:r>
    <w:r w:rsidRPr="004D7F2E">
      <w:rPr>
        <w:rStyle w:val="SidhuvudBilaga"/>
      </w:rPr>
      <w:t xml:space="preserve"> </w:t>
    </w:r>
    <w:r w:rsidRPr="004D7F2E">
      <w:rPr>
        <w:rStyle w:val="SidhuvudRubrikReferens"/>
      </w:rPr>
      <w:t>Förteckning över behandlade förslag</w:t>
    </w:r>
    <w:r w:rsidRPr="004D7F2E">
      <w:rPr>
        <w:rStyle w:val="SidhuvudRubrikReferens"/>
      </w:rPr>
      <w:t xml:space="preserve"> bilaga 1</w:t>
    </w:r>
  </w:p>
  <w:p w:rsidR="003F60CB" w:rsidRPr="004D7F2E" w:rsidRDefault="003F60CB">
    <w:pPr>
      <w:pStyle w:val="SidhuvudKantJmn"/>
      <w:framePr w:w="8732" w:h="567" w:hRule="exact" w:vSpace="0" w:wrap="around" w:vAnchor="page" w:y="341" w:anchorLock="0"/>
    </w:pPr>
  </w:p>
  <w:p w:rsidR="003F60CB" w:rsidRPr="004D7F2E" w:rsidRDefault="003F60C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Sammanfattning</w:t>
    </w:r>
    <w:r w:rsidRPr="004D7F2E">
      <w:rPr>
        <w:rStyle w:val="SidhuvudRubrikReferens"/>
      </w:rPr>
      <w:fldChar w:fldCharType="end"/>
    </w:r>
    <w:r w:rsidRPr="004D7F2E">
      <w:rPr>
        <w:rStyle w:val="SidhuvudBilaga"/>
      </w:rPr>
      <w:t xml:space="preserve">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Särskilt yttrande</w:t>
    </w:r>
    <w:r w:rsidRPr="004D7F2E">
      <w:rPr>
        <w:rStyle w:val="SidhuvudRubrikReferens"/>
      </w:rPr>
      <w:fldChar w:fldCharType="end"/>
    </w:r>
    <w:r w:rsidRPr="004D7F2E">
      <w:rPr>
        <w:rStyle w:val="SidhuvudBilaga"/>
      </w:rPr>
      <w:t xml:space="preserve">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t xml:space="preserve">  </w:t>
    </w:r>
    <w:r w:rsidRPr="004D7F2E">
      <w:rPr>
        <w:rStyle w:val="SidhuvudUtskott"/>
      </w:rPr>
      <w:t>2001/02:JuU12</w:t>
    </w:r>
  </w:p>
  <w:p w:rsidR="003F60CB" w:rsidRPr="004D7F2E" w:rsidRDefault="003F60CB">
    <w:pPr>
      <w:pStyle w:val="SidhuvudKantUdda"/>
      <w:framePr w:w="8732" w:h="567" w:hRule="exact" w:vSpace="0" w:wrap="around" w:vAnchor="page" w:y="341" w:anchorLock="0"/>
    </w:pPr>
  </w:p>
  <w:p w:rsidR="003F60CB" w:rsidRPr="004D7F2E" w:rsidRDefault="003F60C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 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BetänkandeNr</w:instrText>
    </w:r>
    <w:r w:rsidRPr="004D7F2E">
      <w:rPr>
        <w:rStyle w:val="SidhuvudUtskott"/>
      </w:rPr>
      <w:fldChar w:fldCharType="separate"/>
    </w:r>
    <w:r w:rsidRPr="004D7F2E">
      <w:rPr>
        <w:rStyle w:val="SidhuvudUtskott"/>
      </w:rPr>
      <w:t>12</w:t>
    </w:r>
    <w:r w:rsidRPr="004D7F2E">
      <w:rPr>
        <w:rStyle w:val="SidhuvudUtskott"/>
      </w:rPr>
      <w:fldChar w:fldCharType="end"/>
    </w:r>
    <w:r w:rsidRPr="004D7F2E">
      <w:t xml:space="preserve">     </w:t>
    </w:r>
    <w:r w:rsidRPr="004D7F2E">
      <w:rPr>
        <w:rStyle w:val="SidhuvudBilaga"/>
      </w:rPr>
      <w:t xml:space="preserve"> Bilaga 1   </w:t>
    </w: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Förteckning över behandlade förslag</w:t>
    </w:r>
    <w:r w:rsidRPr="004D7F2E">
      <w:rPr>
        <w:rStyle w:val="SidhuvudRubrikReferens"/>
      </w:rPr>
      <w:fldChar w:fldCharType="end"/>
    </w:r>
  </w:p>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Status</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    </w:instrText>
    </w:r>
    <w:r w:rsidRPr="004D7F2E">
      <w:rPr>
        <w:rStyle w:val="SidhuvudUtskott"/>
      </w:rPr>
      <w:fldChar w:fldCharType="begin" w:fldLock="1"/>
    </w:r>
    <w:r w:rsidRPr="004D7F2E">
      <w:rPr>
        <w:rStyle w:val="SidhuvudUtskott"/>
      </w:rPr>
      <w:instrText xml:space="preserve"> PRINTDATE \@ "yyyy-MM-dd HH.mm"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p>
  <w:p w:rsidR="003F60CB" w:rsidRPr="004D7F2E" w:rsidRDefault="003F60C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Förteckning över behandlade förslag</w:t>
    </w:r>
    <w:r w:rsidRPr="004D7F2E">
      <w:rPr>
        <w:rStyle w:val="SidhuvudRubrikReferens"/>
      </w:rPr>
      <w:fldChar w:fldCharType="end"/>
    </w:r>
    <w:r w:rsidRPr="004D7F2E">
      <w:rPr>
        <w:rStyle w:val="SidhuvudBilaga"/>
      </w:rPr>
      <w:t xml:space="preserve">   Bilaga 1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w:instrText>
    </w:r>
    <w:r w:rsidRPr="004D7F2E">
      <w:rPr>
        <w:rStyle w:val="SidhuvudUtskott"/>
      </w:rPr>
      <w:instrText>C</w:instrText>
    </w:r>
    <w:r w:rsidRPr="004D7F2E">
      <w:rPr>
        <w:rStyle w:val="SidhuvudUtskott"/>
      </w:rPr>
      <w:instrText>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t xml:space="preserve">  </w:t>
    </w:r>
    <w:r w:rsidRPr="004D7F2E">
      <w:rPr>
        <w:rStyle w:val="SidhuvudUtskott"/>
      </w:rPr>
      <w:t>2001/02:JuU12</w:t>
    </w:r>
  </w:p>
  <w:p w:rsidR="003F60CB" w:rsidRPr="004D7F2E" w:rsidRDefault="003F60CB">
    <w:pPr>
      <w:pStyle w:val="SidhuvudKantUdda"/>
      <w:framePr w:w="8732" w:h="567" w:hRule="exact" w:vSpace="0" w:wrap="around" w:vAnchor="page" w:y="341" w:anchorLock="0"/>
    </w:pPr>
  </w:p>
  <w:p w:rsidR="003F60CB" w:rsidRPr="004D7F2E" w:rsidRDefault="003F60C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t xml:space="preserve"> </w:t>
    </w:r>
  </w:p>
  <w:p w:rsidR="003F60CB" w:rsidRPr="004D7F2E" w:rsidRDefault="003F60C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 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BetänkandeNr</w:instrText>
    </w:r>
    <w:r w:rsidRPr="004D7F2E">
      <w:rPr>
        <w:rStyle w:val="SidhuvudUtskott"/>
      </w:rPr>
      <w:fldChar w:fldCharType="separate"/>
    </w:r>
    <w:r w:rsidRPr="004D7F2E">
      <w:rPr>
        <w:rStyle w:val="SidhuvudUtskott"/>
      </w:rPr>
      <w:t>12</w:t>
    </w:r>
    <w:r w:rsidRPr="004D7F2E">
      <w:rPr>
        <w:rStyle w:val="SidhuvudUtskott"/>
      </w:rPr>
      <w:fldChar w:fldCharType="end"/>
    </w:r>
    <w:r w:rsidRPr="004D7F2E">
      <w:t xml:space="preserve">     </w:t>
    </w:r>
    <w:r w:rsidRPr="004D7F2E">
      <w:rPr>
        <w:rStyle w:val="SidhuvudBilaga"/>
      </w:rPr>
      <w:t xml:space="preserve"> </w:t>
    </w: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Sammanfattning</w:t>
    </w:r>
    <w:r w:rsidRPr="004D7F2E">
      <w:rPr>
        <w:rStyle w:val="SidhuvudRubrikReferens"/>
      </w:rPr>
      <w:fldChar w:fldCharType="end"/>
    </w:r>
  </w:p>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Status</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    </w:instrText>
    </w:r>
    <w:r w:rsidRPr="004D7F2E">
      <w:rPr>
        <w:rStyle w:val="SidhuvudUtskott"/>
      </w:rPr>
      <w:fldChar w:fldCharType="begin" w:fldLock="1"/>
    </w:r>
    <w:r w:rsidRPr="004D7F2E">
      <w:rPr>
        <w:rStyle w:val="SidhuvudUtskott"/>
      </w:rPr>
      <w:instrText xml:space="preserve"> PRINTDATE \@ "yyyy-MM-dd HH.mm"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p>
  <w:p w:rsidR="003F60CB" w:rsidRPr="004D7F2E" w:rsidRDefault="003F60C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Sammanfattning</w:t>
    </w:r>
    <w:r w:rsidRPr="004D7F2E">
      <w:rPr>
        <w:rStyle w:val="SidhuvudRubrikReferens"/>
      </w:rPr>
      <w:fldChar w:fldCharType="end"/>
    </w:r>
    <w:r w:rsidRPr="004D7F2E">
      <w:rPr>
        <w:rStyle w:val="SidhuvudBilaga"/>
      </w:rPr>
      <w:t xml:space="preserve">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t>2001/02:JuU12</w:t>
    </w:r>
    <w:r w:rsidRPr="004D7F2E">
      <w:t xml:space="preserve">    </w:t>
    </w:r>
  </w:p>
  <w:p w:rsidR="003F60CB" w:rsidRPr="004D7F2E" w:rsidRDefault="003F60CB">
    <w:pPr>
      <w:pStyle w:val="SidhuvudKantJmn"/>
      <w:framePr w:w="8732" w:h="567" w:hRule="exact" w:vSpace="0" w:wrap="around" w:vAnchor="page" w:y="341" w:anchorLock="0"/>
    </w:pPr>
  </w:p>
  <w:p w:rsidR="003F60CB" w:rsidRPr="004D7F2E" w:rsidRDefault="003F60CB">
    <w:pPr>
      <w:pStyle w:val="SidhuvudKantUdda"/>
      <w:framePr w:w="8732" w:h="567" w:hRule="exact" w:vSpace="0" w:wrap="around" w:vAnchor="page" w:y="341" w:anchorLock="0"/>
    </w:pPr>
    <w:r w:rsidRPr="004D7F2E">
      <w:rPr>
        <w:rStyle w:val="SidhuvudRubrikReferens"/>
        <w:smallCaps w:val="0"/>
        <w:spacing w:val="0"/>
        <w:sz w:val="19"/>
      </w:rPr>
      <w:t xml:space="preserve"> </w:t>
    </w:r>
  </w:p>
  <w:p w:rsidR="003F60CB" w:rsidRPr="004D7F2E" w:rsidRDefault="003F60C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 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BetänkandeNr</w:instrText>
    </w:r>
    <w:r w:rsidRPr="004D7F2E">
      <w:rPr>
        <w:rStyle w:val="SidhuvudUtskott"/>
      </w:rPr>
      <w:fldChar w:fldCharType="separate"/>
    </w:r>
    <w:r w:rsidRPr="004D7F2E">
      <w:rPr>
        <w:rStyle w:val="SidhuvudUtskott"/>
      </w:rPr>
      <w:t>12</w:t>
    </w:r>
    <w:r w:rsidRPr="004D7F2E">
      <w:rPr>
        <w:rStyle w:val="SidhuvudUtskott"/>
      </w:rPr>
      <w:fldChar w:fldCharType="end"/>
    </w:r>
    <w:r w:rsidRPr="004D7F2E">
      <w:t xml:space="preserve">     </w:t>
    </w:r>
    <w:r w:rsidRPr="004D7F2E">
      <w:rPr>
        <w:rStyle w:val="SidhuvudBilaga"/>
      </w:rPr>
      <w:t xml:space="preserve"> </w:t>
    </w: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Innehållsförteckning</w:t>
    </w:r>
    <w:r w:rsidRPr="004D7F2E">
      <w:rPr>
        <w:rStyle w:val="SidhuvudRubrikReferens"/>
      </w:rPr>
      <w:fldChar w:fldCharType="end"/>
    </w:r>
  </w:p>
  <w:p w:rsidR="003F60CB" w:rsidRPr="004D7F2E" w:rsidRDefault="003F60CB">
    <w:pPr>
      <w:pStyle w:val="SidhuvudKantJmn"/>
      <w:framePr w:w="8732" w:h="567" w:hRule="exact" w:vSpace="0" w:wrap="around" w:vAnchor="page" w:y="341" w:anchorLock="0"/>
    </w:pPr>
    <w:r w:rsidRPr="004D7F2E">
      <w:rPr>
        <w:rStyle w:val="SidhuvudUtskott"/>
      </w:rPr>
      <w:fldChar w:fldCharType="begin" w:fldLock="1"/>
    </w:r>
    <w:r w:rsidRPr="004D7F2E">
      <w:rPr>
        <w:rStyle w:val="SidhuvudUtskott"/>
      </w:rPr>
      <w:instrText xml:space="preserve"> DOCPROPERTY Status</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    </w:instrText>
    </w:r>
    <w:r w:rsidRPr="004D7F2E">
      <w:rPr>
        <w:rStyle w:val="SidhuvudUtskott"/>
      </w:rPr>
      <w:fldChar w:fldCharType="begin" w:fldLock="1"/>
    </w:r>
    <w:r w:rsidRPr="004D7F2E">
      <w:rPr>
        <w:rStyle w:val="SidhuvudUtskott"/>
      </w:rPr>
      <w:instrText xml:space="preserve"> PRINTDATE \@ "yyyy-MM-dd HH.mm"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p>
  <w:p w:rsidR="003F60CB" w:rsidRPr="004D7F2E" w:rsidRDefault="003F60C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rPr>
        <w:rStyle w:val="SidhuvudRubrikReferens"/>
      </w:rPr>
      <w:fldChar w:fldCharType="begin" w:fldLock="1"/>
    </w:r>
    <w:r w:rsidRPr="004D7F2E">
      <w:rPr>
        <w:rStyle w:val="SidhuvudRubrikReferens"/>
      </w:rPr>
      <w:instrText xml:space="preserve"> StyleREF "Rubrik 1" </w:instrText>
    </w:r>
    <w:r w:rsidRPr="004D7F2E">
      <w:rPr>
        <w:rStyle w:val="SidhuvudRubrikReferens"/>
      </w:rPr>
      <w:fldChar w:fldCharType="separate"/>
    </w:r>
    <w:r w:rsidRPr="004D7F2E">
      <w:rPr>
        <w:rStyle w:val="SidhuvudRubrikReferens"/>
      </w:rPr>
      <w:t>Innehållsförteckning</w:t>
    </w:r>
    <w:r w:rsidRPr="004D7F2E">
      <w:rPr>
        <w:rStyle w:val="SidhuvudRubrikReferens"/>
      </w:rPr>
      <w:fldChar w:fldCharType="end"/>
    </w:r>
    <w:r w:rsidRPr="004D7F2E">
      <w:rPr>
        <w:rStyle w:val="SidhuvudBilaga"/>
      </w:rPr>
      <w:t xml:space="preserve"> </w:t>
    </w:r>
    <w:r w:rsidRPr="004D7F2E">
      <w:t xml:space="preserve">     </w:t>
    </w:r>
    <w:r w:rsidRPr="004D7F2E">
      <w:rPr>
        <w:rStyle w:val="SidhuvudUtskott"/>
      </w:rPr>
      <w:fldChar w:fldCharType="begin" w:fldLock="1"/>
    </w:r>
    <w:r w:rsidRPr="004D7F2E">
      <w:rPr>
        <w:rStyle w:val="SidhuvudUtskott"/>
      </w:rPr>
      <w:instrText xml:space="preserve"> DOCPROPERTY BetänkandeÅr</w:instrText>
    </w:r>
    <w:r w:rsidRPr="004D7F2E">
      <w:rPr>
        <w:rStyle w:val="SidhuvudUtskott"/>
      </w:rPr>
      <w:fldChar w:fldCharType="separate"/>
    </w:r>
    <w:r w:rsidRPr="004D7F2E">
      <w:rPr>
        <w:rStyle w:val="SidhuvudUtskott"/>
      </w:rPr>
      <w:t>2001/02</w:t>
    </w:r>
    <w:r w:rsidRPr="004D7F2E">
      <w:rPr>
        <w:rStyle w:val="SidhuvudUtskott"/>
      </w:rPr>
      <w:fldChar w:fldCharType="end"/>
    </w:r>
    <w:r w:rsidRPr="004D7F2E">
      <w:rPr>
        <w:rStyle w:val="SidhuvudUtskott"/>
      </w:rPr>
      <w:t>:</w:t>
    </w:r>
    <w:r w:rsidRPr="004D7F2E">
      <w:rPr>
        <w:rStyle w:val="SidhuvudUtskott"/>
      </w:rPr>
      <w:fldChar w:fldCharType="begin" w:fldLock="1"/>
    </w:r>
    <w:r w:rsidRPr="004D7F2E">
      <w:rPr>
        <w:rStyle w:val="SidhuvudUtskott"/>
      </w:rPr>
      <w:instrText xml:space="preserve"> DOCPROPERTY</w:instrText>
    </w:r>
    <w:r w:rsidRPr="004D7F2E">
      <w:instrText xml:space="preserve"> </w:instrText>
    </w:r>
    <w:r w:rsidRPr="004D7F2E">
      <w:rPr>
        <w:rStyle w:val="SidhuvudUtskott"/>
      </w:rPr>
      <w:instrText>Utskott</w:instrText>
    </w:r>
    <w:r w:rsidRPr="004D7F2E">
      <w:rPr>
        <w:rStyle w:val="SidhuvudUtskott"/>
      </w:rPr>
      <w:fldChar w:fldCharType="separate"/>
    </w:r>
    <w:r w:rsidRPr="004D7F2E">
      <w:rPr>
        <w:rStyle w:val="SidhuvudUtskott"/>
      </w:rPr>
      <w:t>JuU</w: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DOCPROPERTY Betä</w:instrText>
    </w:r>
    <w:r w:rsidRPr="004D7F2E">
      <w:rPr>
        <w:rStyle w:val="SidhuvudUtskott"/>
      </w:rPr>
      <w:instrText>n</w:instrText>
    </w:r>
    <w:r w:rsidRPr="004D7F2E">
      <w:rPr>
        <w:rStyle w:val="SidhuvudUtskott"/>
      </w:rPr>
      <w:instrText>kandeNr</w:instrText>
    </w:r>
    <w:r w:rsidRPr="004D7F2E">
      <w:rPr>
        <w:rStyle w:val="SidhuvudUtskott"/>
      </w:rPr>
      <w:fldChar w:fldCharType="separate"/>
    </w:r>
    <w:r w:rsidRPr="004D7F2E">
      <w:rPr>
        <w:rStyle w:val="SidhuvudUtskott"/>
      </w:rPr>
      <w:t>12</w:t>
    </w:r>
    <w:r w:rsidRPr="004D7F2E">
      <w:rPr>
        <w:rStyle w:val="SidhuvudUtskott"/>
      </w:rPr>
      <w:fldChar w:fldCharType="end"/>
    </w:r>
  </w:p>
  <w:p w:rsidR="003F60CB" w:rsidRPr="004D7F2E" w:rsidRDefault="003F60CB">
    <w:pPr>
      <w:pStyle w:val="SidhuvudKantUdda"/>
      <w:framePr w:w="8732" w:h="567" w:hRule="exact" w:vSpace="0" w:wrap="around" w:vAnchor="page" w:y="341" w:anchorLock="0"/>
    </w:pPr>
    <w:r w:rsidRPr="004D7F2E">
      <w:rPr>
        <w:rStyle w:val="SidhuvudUtskott"/>
      </w:rPr>
      <w:fldChar w:fldCharType="begin" w:fldLock="1"/>
    </w:r>
    <w:r w:rsidRPr="004D7F2E">
      <w:rPr>
        <w:rStyle w:val="SidhuvudUtskott"/>
      </w:rPr>
      <w:instrText xml:space="preserve"> if </w:instrText>
    </w:r>
    <w:r w:rsidRPr="004D7F2E">
      <w:rPr>
        <w:rStyle w:val="SidhuvudUtskott"/>
      </w:rPr>
      <w:fldChar w:fldCharType="begin" w:fldLock="1"/>
    </w:r>
    <w:r w:rsidRPr="004D7F2E">
      <w:rPr>
        <w:rStyle w:val="SidhuvudUtskott"/>
      </w:rPr>
      <w:instrText xml:space="preserve"> DOCPROPERTY "UtkastDatum"</w:instrText>
    </w:r>
    <w:r w:rsidRPr="004D7F2E">
      <w:rPr>
        <w:rStyle w:val="SidhuvudUtskott"/>
      </w:rPr>
      <w:fldChar w:fldCharType="separate"/>
    </w:r>
    <w:r w:rsidRPr="004D7F2E">
      <w:rPr>
        <w:rStyle w:val="SidhuvudUtskott"/>
      </w:rPr>
      <w:instrText>Nej</w:instrText>
    </w:r>
    <w:r w:rsidRPr="004D7F2E">
      <w:rPr>
        <w:rStyle w:val="SidhuvudUtskott"/>
      </w:rPr>
      <w:fldChar w:fldCharType="end"/>
    </w:r>
    <w:r w:rsidRPr="004D7F2E">
      <w:rPr>
        <w:rStyle w:val="SidhuvudUtskott"/>
      </w:rPr>
      <w:instrText xml:space="preserve"> = "Ja" "</w:instrText>
    </w:r>
    <w:r w:rsidRPr="004D7F2E">
      <w:rPr>
        <w:rStyle w:val="SidhuvudUtskott"/>
      </w:rPr>
      <w:fldChar w:fldCharType="begin" w:fldLock="1"/>
    </w:r>
    <w:r w:rsidRPr="004D7F2E">
      <w:rPr>
        <w:rStyle w:val="SidhuvudUtskott"/>
      </w:rPr>
      <w:instrText xml:space="preserve"> PRINTDATE \@ "yyyy-MM-dd HH.mm    " </w:instrText>
    </w:r>
    <w:r w:rsidRPr="004D7F2E">
      <w:rPr>
        <w:rStyle w:val="SidhuvudUtskott"/>
      </w:rPr>
      <w:fldChar w:fldCharType="separate"/>
    </w:r>
    <w:r w:rsidRPr="004D7F2E">
      <w:rPr>
        <w:rStyle w:val="SidhuvudUtskott"/>
      </w:rPr>
      <w:instrText>2000-08-11 16.42</w:instrText>
    </w:r>
    <w:r w:rsidRPr="004D7F2E">
      <w:rPr>
        <w:rStyle w:val="SidhuvudUtskott"/>
      </w:rPr>
      <w:fldChar w:fldCharType="end"/>
    </w:r>
    <w:r w:rsidRPr="004D7F2E">
      <w:rPr>
        <w:rStyle w:val="SidhuvudUtskott"/>
      </w:rPr>
      <w:instrText xml:space="preserve">" </w:instrText>
    </w:r>
    <w:r w:rsidRPr="004D7F2E">
      <w:rPr>
        <w:rStyle w:val="SidhuvudUtskott"/>
      </w:rPr>
      <w:fldChar w:fldCharType="end"/>
    </w:r>
    <w:r w:rsidRPr="004D7F2E">
      <w:rPr>
        <w:rStyle w:val="SidhuvudUtskott"/>
      </w:rPr>
      <w:fldChar w:fldCharType="begin" w:fldLock="1"/>
    </w:r>
    <w:r w:rsidRPr="004D7F2E">
      <w:rPr>
        <w:rStyle w:val="SidhuvudUtskott"/>
      </w:rPr>
      <w:instrText xml:space="preserve"> DOCPR</w:instrText>
    </w:r>
    <w:r w:rsidRPr="004D7F2E">
      <w:rPr>
        <w:rStyle w:val="SidhuvudUtskott"/>
      </w:rPr>
      <w:instrText>O</w:instrText>
    </w:r>
    <w:r w:rsidRPr="004D7F2E">
      <w:rPr>
        <w:rStyle w:val="SidhuvudUtskott"/>
      </w:rPr>
      <w:instrText>PERTY Status</w:instrText>
    </w:r>
    <w:r w:rsidRPr="004D7F2E">
      <w:rPr>
        <w:rStyle w:val="SidhuvudUtskott"/>
      </w:rPr>
      <w:fldChar w:fldCharType="end"/>
    </w:r>
  </w:p>
  <w:p w:rsidR="003F60CB" w:rsidRPr="004D7F2E" w:rsidRDefault="003F60C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CB" w:rsidRPr="004D7F2E" w:rsidRDefault="003F60CB">
    <w:pPr>
      <w:pStyle w:val="SidhuvudKantUdda"/>
      <w:framePr w:w="8732" w:h="567" w:hRule="exact" w:vSpace="0" w:wrap="around" w:vAnchor="page" w:y="341" w:anchorLock="0"/>
    </w:pPr>
    <w:r w:rsidRPr="004D7F2E">
      <w:t xml:space="preserve">  </w:t>
    </w:r>
    <w:r w:rsidRPr="004D7F2E">
      <w:rPr>
        <w:rStyle w:val="SidhuvudUtskott"/>
      </w:rPr>
      <w:t>2001/02:JuU12</w:t>
    </w:r>
  </w:p>
  <w:p w:rsidR="003F60CB" w:rsidRPr="004D7F2E" w:rsidRDefault="003F60CB">
    <w:pPr>
      <w:pStyle w:val="SidhuvudKantUdda"/>
      <w:framePr w:w="8732" w:h="567" w:hRule="exact" w:vSpace="0" w:wrap="around" w:vAnchor="page" w:y="341" w:anchorLock="0"/>
    </w:pPr>
  </w:p>
  <w:p w:rsidR="003F60CB" w:rsidRPr="004D7F2E" w:rsidRDefault="003F60C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B9C1237"/>
    <w:multiLevelType w:val="singleLevel"/>
    <w:tmpl w:val="08A0390C"/>
    <w:lvl w:ilvl="0">
      <w:start w:val="2"/>
      <w:numFmt w:val="bullet"/>
      <w:lvlText w:val="–"/>
      <w:lvlJc w:val="left"/>
      <w:pPr>
        <w:tabs>
          <w:tab w:val="num" w:pos="218"/>
        </w:tabs>
        <w:ind w:left="218" w:hanging="360"/>
      </w:pPr>
      <w:rPr>
        <w:rFonts w:hint="default"/>
      </w:rPr>
    </w:lvl>
  </w:abstractNum>
  <w:abstractNum w:abstractNumId="2" w15:restartNumberingAfterBreak="0">
    <w:nsid w:val="57AE66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A8E6724"/>
    <w:multiLevelType w:val="multilevel"/>
    <w:tmpl w:val="38B2917E"/>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7551866">
    <w:abstractNumId w:val="0"/>
  </w:num>
  <w:num w:numId="2" w16cid:durableId="1415594281">
    <w:abstractNumId w:val="2"/>
  </w:num>
  <w:num w:numId="3" w16cid:durableId="254170522">
    <w:abstractNumId w:val="3"/>
  </w:num>
  <w:num w:numId="4" w16cid:durableId="84281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B04366"/>
    <w:rsid w:val="003F60CB"/>
    <w:rsid w:val="004D7F2E"/>
    <w:rsid w:val="00B043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C501C-5D38-45BA-B9C3-5239DDE2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Knormal">
    <w:name w:val="RKnormal"/>
    <w:basedOn w:val="Normal"/>
    <w:pPr>
      <w:tabs>
        <w:tab w:val="left" w:pos="1134"/>
        <w:tab w:val="right" w:pos="7370"/>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3169</Words>
  <Characters>18731</Characters>
  <Application>Microsoft Office Word</Application>
  <DocSecurity>4</DocSecurity>
  <Lines>416</Lines>
  <Paragraphs>151</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Justitieutskottets betänkande</vt:lpstr>
      <vt:lpstr>Sammanfattning</vt:lpstr>
      <vt:lpstr>Innehållsförteckning</vt:lpstr>
      <vt:lpstr>Utskottets förslag till riksdagsbeslut</vt:lpstr>
      <vt:lpstr>1.	Övergrepp i rättssak</vt:lpstr>
      <vt:lpstr>2.	Brott mot homo-, bi- och transsexuella</vt:lpstr>
      <vt:lpstr>3.	Myndighetsåtgärder</vt:lpstr>
      <vt:lpstr>4.	Registrering</vt:lpstr>
      <vt:lpstr>Stockholm den 19 februari 2002</vt:lpstr>
      <vt:lpstr>Fredrik Reinfeldt </vt:lpstr>
      <vt:lpstr>Redogörelse för ärendet</vt:lpstr>
      <vt:lpstr>    Ärendet och dess beredning</vt:lpstr>
      <vt:lpstr>    Propositionens huvudsakliga innehåll, m.m. </vt:lpstr>
      <vt:lpstr>Utskottets överväganden</vt:lpstr>
      <vt:lpstr>    Propositionen</vt:lpstr>
      <vt:lpstr>    Övriga frågor</vt:lpstr>
      <vt:lpstr>        Brott mot homo-, bi- och transsexuella </vt:lpstr>
      <vt:lpstr>        Myndighetsåtgärder</vt:lpstr>
      <vt:lpstr>        Registrering</vt:lpstr>
      <vt:lpstr>Särskilt yttrande</vt:lpstr>
      <vt:lpstr>Insatser inom rättsväsendet rörande homo-, bi- och transsexuella </vt:lpstr>
      <vt:lpstr>Förteckning över behandlade förslag</vt:lpstr>
      <vt:lpstr>    Propositionen</vt:lpstr>
      <vt:lpstr>    Följdmotion</vt:lpstr>
      <vt:lpstr>    Motioner från allmänna motionstiden </vt:lpstr>
      <vt:lpstr>Regeringens lagförslag</vt:lpstr>
      <vt:lpstr>    2.2 	Förslag till lag om ändring i brottsbalken</vt:lpstr>
    </vt:vector>
  </TitlesOfParts>
  <Company>Riksdagen</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2002-02-26T11:45:00Z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