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3618F0" w:rsidRDefault="002962E8">
      <w:pPr>
        <w:spacing w:line="300" w:lineRule="exact"/>
        <w:jc w:val="both"/>
        <w:rPr>
          <w:color w:val="000000"/>
          <w:sz w:val="22"/>
        </w:rPr>
      </w:pPr>
      <w:r w:rsidRPr="003618F0">
        <w:rPr>
          <w:b/>
          <w:bCs/>
          <w:color w:val="000000"/>
          <w:sz w:val="22"/>
        </w:rPr>
        <w:t>REGERINGSKANSLIET</w:t>
      </w:r>
      <w:r w:rsidRPr="003618F0">
        <w:rPr>
          <w:color w:val="000000"/>
          <w:sz w:val="22"/>
        </w:rPr>
        <w:tab/>
      </w:r>
      <w:r w:rsidRPr="003618F0">
        <w:rPr>
          <w:color w:val="000000"/>
          <w:sz w:val="22"/>
        </w:rPr>
        <w:tab/>
      </w:r>
      <w:r w:rsidRPr="003618F0">
        <w:rPr>
          <w:color w:val="000000"/>
          <w:sz w:val="22"/>
        </w:rPr>
        <w:tab/>
      </w:r>
      <w:r w:rsidRPr="003618F0">
        <w:rPr>
          <w:color w:val="000000"/>
          <w:sz w:val="22"/>
        </w:rPr>
        <w:tab/>
        <w:t>Kommenterad dagordning</w:t>
      </w:r>
    </w:p>
    <w:p w:rsidR="002962E8" w:rsidRPr="003618F0" w:rsidRDefault="002962E8">
      <w:pPr>
        <w:spacing w:line="300" w:lineRule="exact"/>
        <w:jc w:val="both"/>
        <w:rPr>
          <w:color w:val="000000"/>
          <w:sz w:val="22"/>
        </w:rPr>
      </w:pPr>
      <w:r w:rsidRPr="003618F0">
        <w:rPr>
          <w:color w:val="000000"/>
          <w:sz w:val="22"/>
        </w:rPr>
        <w:t>Utrikesdepartementet</w:t>
      </w:r>
      <w:r w:rsidRPr="003618F0">
        <w:rPr>
          <w:color w:val="000000"/>
          <w:sz w:val="22"/>
        </w:rPr>
        <w:tab/>
      </w:r>
      <w:r w:rsidRPr="003618F0">
        <w:rPr>
          <w:color w:val="000000"/>
          <w:sz w:val="22"/>
        </w:rPr>
        <w:tab/>
      </w:r>
      <w:r w:rsidRPr="003618F0">
        <w:rPr>
          <w:color w:val="000000"/>
          <w:sz w:val="22"/>
        </w:rPr>
        <w:tab/>
      </w:r>
      <w:r w:rsidRPr="003618F0">
        <w:rPr>
          <w:color w:val="000000"/>
          <w:sz w:val="22"/>
        </w:rPr>
        <w:tab/>
      </w:r>
      <w:r w:rsidRPr="003618F0">
        <w:rPr>
          <w:color w:val="000000"/>
          <w:sz w:val="22"/>
        </w:rPr>
        <w:tab/>
        <w:t>Ministerrådet</w:t>
      </w:r>
    </w:p>
    <w:p w:rsidR="002962E8" w:rsidRPr="003618F0" w:rsidRDefault="002962E8">
      <w:pPr>
        <w:spacing w:line="300" w:lineRule="exact"/>
        <w:jc w:val="both"/>
        <w:rPr>
          <w:color w:val="000000"/>
        </w:rPr>
      </w:pPr>
    </w:p>
    <w:p w:rsidR="002962E8" w:rsidRPr="003618F0" w:rsidRDefault="002962E8">
      <w:pPr>
        <w:spacing w:line="300" w:lineRule="exact"/>
        <w:jc w:val="both"/>
        <w:rPr>
          <w:color w:val="000000"/>
        </w:rPr>
      </w:pPr>
      <w:r w:rsidRPr="003618F0">
        <w:rPr>
          <w:color w:val="000000"/>
        </w:rPr>
        <w:tab/>
      </w:r>
      <w:r w:rsidRPr="003618F0">
        <w:rPr>
          <w:color w:val="000000"/>
        </w:rPr>
        <w:tab/>
      </w:r>
      <w:r w:rsidRPr="003618F0">
        <w:rPr>
          <w:color w:val="000000"/>
        </w:rPr>
        <w:tab/>
      </w:r>
      <w:r w:rsidRPr="003618F0">
        <w:rPr>
          <w:color w:val="000000"/>
        </w:rPr>
        <w:tab/>
      </w:r>
      <w:r w:rsidRPr="003618F0">
        <w:rPr>
          <w:color w:val="000000"/>
        </w:rPr>
        <w:tab/>
      </w:r>
      <w:r w:rsidRPr="003618F0">
        <w:rPr>
          <w:color w:val="000000"/>
        </w:rPr>
        <w:tab/>
      </w:r>
      <w:r w:rsidRPr="003618F0">
        <w:rPr>
          <w:color w:val="000000"/>
        </w:rPr>
        <w:tab/>
      </w:r>
      <w:r w:rsidRPr="003618F0">
        <w:rPr>
          <w:color w:val="000000"/>
        </w:rPr>
        <w:fldChar w:fldCharType="begin" w:fldLock="1"/>
      </w:r>
      <w:r w:rsidRPr="003618F0">
        <w:rPr>
          <w:color w:val="000000"/>
        </w:rPr>
        <w:instrText xml:space="preserve"> DATE \@ "yyyy-MM-dd" </w:instrText>
      </w:r>
      <w:r w:rsidRPr="003618F0">
        <w:rPr>
          <w:color w:val="000000"/>
        </w:rPr>
        <w:fldChar w:fldCharType="separate"/>
      </w:r>
      <w:r w:rsidR="003618F0" w:rsidRPr="003618F0">
        <w:rPr>
          <w:color w:val="000000"/>
        </w:rPr>
        <w:t>2025-12-17</w:t>
      </w:r>
      <w:r w:rsidRPr="003618F0">
        <w:rPr>
          <w:color w:val="000000"/>
        </w:rPr>
        <w:fldChar w:fldCharType="end"/>
      </w:r>
    </w:p>
    <w:p w:rsidR="002962E8" w:rsidRPr="003618F0" w:rsidRDefault="002962E8">
      <w:pPr>
        <w:spacing w:line="300" w:lineRule="exact"/>
        <w:jc w:val="both"/>
        <w:rPr>
          <w:color w:val="000000"/>
          <w:sz w:val="18"/>
        </w:rPr>
      </w:pPr>
      <w:r w:rsidRPr="003618F0">
        <w:rPr>
          <w:color w:val="000000"/>
          <w:sz w:val="18"/>
        </w:rPr>
        <w:t>Enheten för Europeiska unionen</w:t>
      </w:r>
    </w:p>
    <w:p w:rsidR="002962E8" w:rsidRPr="003618F0" w:rsidRDefault="002962E8">
      <w:pPr>
        <w:spacing w:line="300" w:lineRule="exact"/>
        <w:jc w:val="both"/>
        <w:rPr>
          <w:color w:val="000000"/>
        </w:rPr>
      </w:pPr>
    </w:p>
    <w:p w:rsidR="002962E8" w:rsidRPr="003618F0" w:rsidRDefault="002962E8">
      <w:pPr>
        <w:spacing w:line="300" w:lineRule="exact"/>
        <w:jc w:val="both"/>
        <w:rPr>
          <w:color w:val="000000"/>
        </w:rPr>
      </w:pPr>
    </w:p>
    <w:p w:rsidR="002962E8" w:rsidRPr="003618F0" w:rsidRDefault="002962E8">
      <w:pPr>
        <w:spacing w:line="300" w:lineRule="exact"/>
        <w:jc w:val="both"/>
        <w:rPr>
          <w:color w:val="000000"/>
        </w:rPr>
      </w:pPr>
    </w:p>
    <w:p w:rsidR="002962E8" w:rsidRPr="003618F0" w:rsidRDefault="002962E8">
      <w:pPr>
        <w:spacing w:line="300" w:lineRule="exact"/>
        <w:ind w:left="1418"/>
        <w:jc w:val="both"/>
        <w:rPr>
          <w:color w:val="000000"/>
          <w:sz w:val="24"/>
        </w:rPr>
      </w:pPr>
    </w:p>
    <w:p w:rsidR="002962E8" w:rsidRPr="003618F0" w:rsidRDefault="002962E8">
      <w:pPr>
        <w:spacing w:line="300" w:lineRule="exact"/>
        <w:ind w:left="1418"/>
        <w:jc w:val="both"/>
        <w:rPr>
          <w:color w:val="000000"/>
          <w:sz w:val="24"/>
        </w:rPr>
      </w:pPr>
    </w:p>
    <w:p w:rsidR="002962E8" w:rsidRPr="003618F0" w:rsidRDefault="002962E8">
      <w:pPr>
        <w:spacing w:line="300" w:lineRule="exact"/>
        <w:ind w:left="1418"/>
        <w:jc w:val="both"/>
        <w:rPr>
          <w:color w:val="000000"/>
          <w:sz w:val="24"/>
        </w:rPr>
      </w:pPr>
    </w:p>
    <w:p w:rsidR="002962E8" w:rsidRPr="003618F0" w:rsidRDefault="002962E8">
      <w:pPr>
        <w:spacing w:line="300" w:lineRule="exact"/>
        <w:ind w:left="1418"/>
        <w:jc w:val="both"/>
        <w:rPr>
          <w:color w:val="000000"/>
          <w:sz w:val="24"/>
        </w:rPr>
      </w:pPr>
    </w:p>
    <w:p w:rsidR="002962E8" w:rsidRPr="003618F0" w:rsidRDefault="002962E8">
      <w:pPr>
        <w:tabs>
          <w:tab w:val="left" w:pos="5103"/>
        </w:tabs>
        <w:spacing w:line="300" w:lineRule="exact"/>
        <w:jc w:val="both"/>
        <w:rPr>
          <w:rFonts w:ascii="Garamond" w:hAnsi="Garamond"/>
          <w:b/>
          <w:sz w:val="28"/>
          <w:u w:val="single"/>
        </w:rPr>
      </w:pPr>
    </w:p>
    <w:p w:rsidR="002962E8" w:rsidRPr="003618F0" w:rsidRDefault="002962E8">
      <w:pPr>
        <w:tabs>
          <w:tab w:val="left" w:pos="5103"/>
        </w:tabs>
        <w:spacing w:line="300" w:lineRule="exact"/>
        <w:jc w:val="both"/>
        <w:rPr>
          <w:rFonts w:ascii="Garamond" w:hAnsi="Garamond"/>
          <w:b/>
          <w:sz w:val="28"/>
          <w:u w:val="single"/>
        </w:rPr>
      </w:pPr>
    </w:p>
    <w:p w:rsidR="002962E8" w:rsidRPr="003618F0" w:rsidRDefault="002962E8">
      <w:pPr>
        <w:pStyle w:val="UDrubrik"/>
        <w:ind w:left="1418"/>
        <w:rPr>
          <w:sz w:val="24"/>
          <w:u w:val="single"/>
        </w:rPr>
      </w:pPr>
      <w:r w:rsidRPr="003618F0">
        <w:rPr>
          <w:sz w:val="24"/>
          <w:u w:val="single"/>
        </w:rPr>
        <w:t xml:space="preserve">Kommenterad dagordning för rådet för allmänna frågor och yttre förbindelser den </w:t>
      </w:r>
      <w:r w:rsidR="00CF4DB1" w:rsidRPr="003618F0">
        <w:rPr>
          <w:sz w:val="24"/>
          <w:u w:val="single"/>
        </w:rPr>
        <w:t>12 februari</w:t>
      </w:r>
      <w:r w:rsidRPr="003618F0">
        <w:rPr>
          <w:sz w:val="24"/>
          <w:u w:val="single"/>
        </w:rPr>
        <w:t xml:space="preserve"> 200</w:t>
      </w:r>
      <w:r w:rsidR="000A53A0" w:rsidRPr="003618F0">
        <w:rPr>
          <w:sz w:val="24"/>
          <w:u w:val="single"/>
        </w:rPr>
        <w:t>7</w:t>
      </w:r>
    </w:p>
    <w:p w:rsidR="002962E8" w:rsidRPr="003618F0" w:rsidRDefault="002962E8">
      <w:pPr>
        <w:pStyle w:val="Rubrik1"/>
        <w:ind w:left="1418"/>
        <w:rPr>
          <w:sz w:val="28"/>
        </w:rPr>
      </w:pPr>
      <w:bookmarkStart w:id="0" w:name="_Toc128393594"/>
    </w:p>
    <w:p w:rsidR="002962E8" w:rsidRPr="003618F0" w:rsidRDefault="002962E8">
      <w:pPr>
        <w:pStyle w:val="Rubrik1"/>
        <w:spacing w:before="60"/>
        <w:ind w:left="1418"/>
        <w:rPr>
          <w:sz w:val="28"/>
        </w:rPr>
      </w:pPr>
      <w:r w:rsidRPr="003618F0">
        <w:rPr>
          <w:sz w:val="28"/>
        </w:rPr>
        <w:t>ALLMÄNNA RÅDET</w:t>
      </w:r>
      <w:bookmarkEnd w:id="0"/>
    </w:p>
    <w:p w:rsidR="002962E8" w:rsidRPr="003618F0" w:rsidRDefault="002962E8">
      <w:pPr>
        <w:rPr>
          <w:rFonts w:ascii="Garamond" w:hAnsi="Garamond"/>
          <w:b/>
          <w:bCs/>
          <w:sz w:val="24"/>
        </w:rPr>
      </w:pPr>
    </w:p>
    <w:p w:rsidR="0057795B" w:rsidRPr="003618F0" w:rsidRDefault="0057795B" w:rsidP="0057795B">
      <w:pPr>
        <w:ind w:left="698" w:firstLine="720"/>
        <w:rPr>
          <w:rFonts w:ascii="Garamond" w:hAnsi="Garamond"/>
          <w:sz w:val="24"/>
        </w:rPr>
      </w:pPr>
      <w:bookmarkStart w:id="1" w:name="_Toc128393595"/>
      <w:bookmarkStart w:id="2" w:name="_Toc150242347"/>
      <w:r w:rsidRPr="003618F0">
        <w:rPr>
          <w:rFonts w:ascii="Garamond" w:hAnsi="Garamond"/>
          <w:b/>
          <w:bCs/>
          <w:sz w:val="24"/>
        </w:rPr>
        <w:t>1. Godkännande av den preliminära dagordningen</w:t>
      </w:r>
      <w:bookmarkEnd w:id="2"/>
    </w:p>
    <w:p w:rsidR="0057795B" w:rsidRPr="003618F0" w:rsidRDefault="0057795B" w:rsidP="0057795B">
      <w:pPr>
        <w:rPr>
          <w:rFonts w:ascii="Garamond" w:hAnsi="Garamond"/>
          <w:sz w:val="24"/>
        </w:rPr>
      </w:pPr>
    </w:p>
    <w:p w:rsidR="0057795B" w:rsidRPr="003618F0" w:rsidRDefault="0057795B" w:rsidP="0057795B">
      <w:pPr>
        <w:ind w:left="698" w:firstLine="720"/>
        <w:rPr>
          <w:rFonts w:ascii="Garamond" w:hAnsi="Garamond"/>
          <w:b/>
          <w:bCs/>
          <w:sz w:val="24"/>
        </w:rPr>
      </w:pPr>
      <w:bookmarkStart w:id="3" w:name="_Toc150242348"/>
      <w:r w:rsidRPr="003618F0">
        <w:rPr>
          <w:rFonts w:ascii="Garamond" w:hAnsi="Garamond"/>
          <w:b/>
          <w:bCs/>
          <w:sz w:val="24"/>
        </w:rPr>
        <w:t>2. Godkännande av A-punkterna</w:t>
      </w:r>
      <w:bookmarkEnd w:id="3"/>
    </w:p>
    <w:p w:rsidR="0057795B" w:rsidRPr="003618F0" w:rsidRDefault="0057795B" w:rsidP="0057795B">
      <w:pPr>
        <w:rPr>
          <w:rFonts w:ascii="Garamond" w:hAnsi="Garamond"/>
          <w:sz w:val="24"/>
        </w:rPr>
      </w:pPr>
    </w:p>
    <w:p w:rsidR="0057795B" w:rsidRPr="003618F0" w:rsidRDefault="0057795B" w:rsidP="0057795B">
      <w:pPr>
        <w:ind w:left="1440"/>
        <w:rPr>
          <w:rFonts w:ascii="Garamond" w:hAnsi="Garamond"/>
          <w:sz w:val="24"/>
        </w:rPr>
      </w:pPr>
      <w:r w:rsidRPr="003618F0">
        <w:rPr>
          <w:rFonts w:ascii="Garamond" w:hAnsi="Garamond"/>
          <w:b/>
          <w:bCs/>
          <w:sz w:val="24"/>
        </w:rPr>
        <w:t>3. Resolutioner och beslut antagna av Europaparlamentet</w:t>
      </w:r>
    </w:p>
    <w:p w:rsidR="0057795B" w:rsidRPr="003618F0" w:rsidRDefault="0057795B" w:rsidP="0057795B">
      <w:pPr>
        <w:ind w:left="1440"/>
        <w:rPr>
          <w:rFonts w:ascii="Garamond" w:hAnsi="Garamond"/>
          <w:sz w:val="24"/>
        </w:rPr>
      </w:pPr>
    </w:p>
    <w:p w:rsidR="0057795B" w:rsidRPr="003618F0" w:rsidRDefault="0057795B" w:rsidP="0057795B">
      <w:pPr>
        <w:ind w:left="1440"/>
        <w:rPr>
          <w:rFonts w:ascii="OrigGarmnd BT" w:hAnsi="OrigGarmnd BT" w:cs="Helv"/>
          <w:color w:val="000000"/>
          <w:sz w:val="24"/>
          <w:szCs w:val="24"/>
          <w:lang w:eastAsia="sv-SE"/>
        </w:rPr>
      </w:pPr>
      <w:r w:rsidRPr="003618F0">
        <w:rPr>
          <w:rFonts w:ascii="OrigGarmnd BT" w:hAnsi="OrigGarmnd BT" w:cs="Helv"/>
          <w:color w:val="000000"/>
          <w:sz w:val="24"/>
          <w:szCs w:val="24"/>
          <w:lang w:eastAsia="sv-SE"/>
        </w:rPr>
        <w:t>Dagordningspunkten är en standardpunkt för anmälan av beslut m.m. från Europaparlamentets sessioner. Punkten avser sammanträdesperioden 15-18 januari 2007 och omfattar bl.a. Europaparlamentets och rådets sjunde och åttonde årliga rapport om vapenexport och rättegången mot fem bulgariska sjuksköterskor och en palestinsk läkare.</w:t>
      </w:r>
    </w:p>
    <w:p w:rsidR="0057795B" w:rsidRPr="003618F0" w:rsidRDefault="0057795B" w:rsidP="0057795B">
      <w:pPr>
        <w:ind w:left="1440"/>
        <w:rPr>
          <w:rFonts w:ascii="Garamond" w:hAnsi="Garamond"/>
          <w:sz w:val="24"/>
        </w:rPr>
      </w:pPr>
    </w:p>
    <w:p w:rsidR="0057795B" w:rsidRPr="003618F0" w:rsidRDefault="0057795B" w:rsidP="0057795B">
      <w:pPr>
        <w:ind w:left="1440"/>
        <w:rPr>
          <w:rFonts w:ascii="Garamond" w:hAnsi="Garamond"/>
          <w:b/>
          <w:bCs/>
          <w:sz w:val="24"/>
        </w:rPr>
      </w:pPr>
      <w:r w:rsidRPr="003618F0">
        <w:rPr>
          <w:rFonts w:ascii="Garamond" w:hAnsi="Garamond"/>
          <w:b/>
          <w:bCs/>
          <w:sz w:val="24"/>
        </w:rPr>
        <w:t>4. Inför Europeiska rådet 8-9 mars 2007 – första utkast till annoterad dagordning</w:t>
      </w:r>
    </w:p>
    <w:p w:rsidR="0057795B" w:rsidRPr="003618F0" w:rsidRDefault="0057795B" w:rsidP="0057795B">
      <w:pPr>
        <w:ind w:left="1440"/>
        <w:rPr>
          <w:rFonts w:ascii="Garamond" w:hAnsi="Garamond"/>
          <w:b/>
          <w:bCs/>
          <w:sz w:val="24"/>
        </w:rPr>
      </w:pPr>
    </w:p>
    <w:p w:rsidR="0057795B" w:rsidRPr="003618F0" w:rsidRDefault="0057795B" w:rsidP="0057795B">
      <w:pPr>
        <w:spacing w:line="240" w:lineRule="atLeast"/>
        <w:ind w:left="1440"/>
        <w:rPr>
          <w:rFonts w:ascii="OrigGarmnd BT" w:hAnsi="OrigGarmnd BT"/>
          <w:i/>
          <w:iCs/>
          <w:color w:val="000000"/>
          <w:sz w:val="24"/>
          <w:szCs w:val="24"/>
        </w:rPr>
      </w:pPr>
      <w:r w:rsidRPr="003618F0">
        <w:rPr>
          <w:rFonts w:ascii="OrigGarmnd BT" w:hAnsi="OrigGarmnd BT"/>
          <w:i/>
          <w:iCs/>
          <w:color w:val="000000"/>
          <w:sz w:val="24"/>
          <w:szCs w:val="24"/>
        </w:rPr>
        <w:t>Diskussionspunkt</w:t>
      </w:r>
    </w:p>
    <w:p w:rsidR="0057795B" w:rsidRPr="003618F0" w:rsidRDefault="0057795B" w:rsidP="0057795B">
      <w:pPr>
        <w:spacing w:line="240" w:lineRule="atLeast"/>
        <w:ind w:left="1440"/>
        <w:rPr>
          <w:rFonts w:ascii="OrigGarmnd BT" w:hAnsi="OrigGarmnd BT"/>
          <w:i/>
          <w:iCs/>
          <w:color w:val="000000"/>
          <w:sz w:val="24"/>
          <w:szCs w:val="24"/>
        </w:rPr>
      </w:pPr>
    </w:p>
    <w:p w:rsidR="0057795B" w:rsidRPr="003618F0" w:rsidRDefault="0057795B" w:rsidP="0057795B">
      <w:pPr>
        <w:spacing w:line="240" w:lineRule="atLeast"/>
        <w:ind w:left="1440"/>
        <w:rPr>
          <w:rFonts w:ascii="OrigGarmnd BT" w:hAnsi="OrigGarmnd BT"/>
          <w:color w:val="000000"/>
          <w:sz w:val="24"/>
          <w:szCs w:val="24"/>
        </w:rPr>
      </w:pPr>
      <w:r w:rsidRPr="003618F0">
        <w:rPr>
          <w:rFonts w:ascii="OrigGarmnd BT" w:hAnsi="OrigGarmnd BT"/>
          <w:color w:val="000000"/>
          <w:sz w:val="24"/>
          <w:szCs w:val="24"/>
        </w:rPr>
        <w:t>En första diskussion om dagordningen för Europeiska rådets vårtoppmöte den 8-9 mars kommer att äga rum. Utöver sedvanlig uppföljning av Lissabonstrategin väntas framför allt energi- och klimatfrågor och åtgärder för att minska företagens administrativa börda (regelförbättring) stå i fokus. Aktuella utrikespolitiska frågor kommer också att behandlas.</w:t>
      </w:r>
    </w:p>
    <w:p w:rsidR="0057795B" w:rsidRPr="003618F0" w:rsidRDefault="0057795B" w:rsidP="0057795B">
      <w:pPr>
        <w:spacing w:line="240" w:lineRule="atLeast"/>
        <w:ind w:left="1440"/>
        <w:rPr>
          <w:rFonts w:ascii="OrigGarmnd BT" w:hAnsi="OrigGarmnd BT"/>
          <w:color w:val="000000"/>
          <w:sz w:val="24"/>
          <w:szCs w:val="24"/>
        </w:rPr>
      </w:pPr>
    </w:p>
    <w:p w:rsidR="0057795B" w:rsidRPr="003618F0" w:rsidRDefault="0057795B" w:rsidP="0057795B">
      <w:pPr>
        <w:spacing w:line="240" w:lineRule="atLeast"/>
        <w:ind w:left="1440"/>
        <w:rPr>
          <w:rFonts w:ascii="OrigGarmnd BT" w:hAnsi="OrigGarmnd BT"/>
          <w:color w:val="000000"/>
          <w:sz w:val="24"/>
          <w:szCs w:val="24"/>
        </w:rPr>
      </w:pPr>
      <w:r w:rsidRPr="003618F0">
        <w:rPr>
          <w:rFonts w:ascii="OrigGarmnd BT" w:hAnsi="OrigGarmnd BT"/>
          <w:color w:val="000000"/>
          <w:sz w:val="24"/>
          <w:szCs w:val="24"/>
        </w:rPr>
        <w:t>Ordförandeskapet presenterar den 2 februari ett utkast till annoterad dagordning med rubriker för toppmötesslutsatser. Behandlingen av dagordningen kommer därefter att fortsätta i Coreper och Allmänna rådet med siktet inställt på att rådet den 5 mars fastställer en preliminär kommenterad dagordning inför Europeiska rådet.</w:t>
      </w:r>
    </w:p>
    <w:p w:rsidR="002962E8" w:rsidRPr="003618F0" w:rsidRDefault="002962E8"/>
    <w:p w:rsidR="002962E8" w:rsidRPr="003618F0" w:rsidRDefault="002962E8">
      <w:pPr>
        <w:pStyle w:val="Rubrik1"/>
        <w:ind w:left="720" w:firstLine="720"/>
        <w:rPr>
          <w:sz w:val="28"/>
        </w:rPr>
      </w:pPr>
      <w:r w:rsidRPr="003618F0">
        <w:rPr>
          <w:sz w:val="28"/>
        </w:rPr>
        <w:t>RÅDET FÖR YTTRE FÖRBINDELSER</w:t>
      </w:r>
    </w:p>
    <w:p w:rsidR="002962E8" w:rsidRPr="003618F0" w:rsidRDefault="002962E8">
      <w:pPr>
        <w:rPr>
          <w:rFonts w:ascii="Garamond" w:hAnsi="Garamond"/>
          <w:sz w:val="24"/>
        </w:rPr>
      </w:pPr>
    </w:p>
    <w:p w:rsidR="002962E8" w:rsidRPr="003618F0" w:rsidRDefault="002962E8">
      <w:pPr>
        <w:ind w:left="720" w:firstLine="720"/>
        <w:rPr>
          <w:rFonts w:ascii="Garamond" w:hAnsi="Garamond"/>
          <w:b/>
          <w:bCs/>
          <w:sz w:val="24"/>
        </w:rPr>
      </w:pPr>
      <w:bookmarkStart w:id="4" w:name="_Toc150232148"/>
      <w:bookmarkStart w:id="5" w:name="_Toc150242355"/>
      <w:r w:rsidRPr="003618F0">
        <w:rPr>
          <w:rFonts w:ascii="Garamond" w:hAnsi="Garamond"/>
          <w:b/>
          <w:bCs/>
          <w:sz w:val="24"/>
        </w:rPr>
        <w:t>1. Godkännande av den preliminära dagordningen</w:t>
      </w:r>
      <w:bookmarkEnd w:id="4"/>
      <w:bookmarkEnd w:id="5"/>
    </w:p>
    <w:p w:rsidR="002962E8" w:rsidRPr="003618F0" w:rsidRDefault="002962E8">
      <w:pPr>
        <w:rPr>
          <w:rFonts w:ascii="Garamond" w:hAnsi="Garamond"/>
          <w:sz w:val="24"/>
        </w:rPr>
      </w:pPr>
      <w:r w:rsidRPr="003618F0">
        <w:rPr>
          <w:rFonts w:ascii="Garamond" w:hAnsi="Garamond"/>
          <w:sz w:val="24"/>
        </w:rPr>
        <w:tab/>
      </w:r>
      <w:r w:rsidRPr="003618F0">
        <w:rPr>
          <w:rFonts w:ascii="Garamond" w:hAnsi="Garamond"/>
          <w:sz w:val="24"/>
        </w:rPr>
        <w:tab/>
      </w:r>
    </w:p>
    <w:p w:rsidR="002962E8" w:rsidRPr="003618F0" w:rsidRDefault="002962E8">
      <w:pPr>
        <w:ind w:left="720" w:firstLine="720"/>
        <w:rPr>
          <w:rFonts w:ascii="Garamond" w:hAnsi="Garamond"/>
          <w:b/>
          <w:bCs/>
          <w:sz w:val="24"/>
        </w:rPr>
      </w:pPr>
      <w:bookmarkStart w:id="6" w:name="_Toc150232149"/>
      <w:bookmarkStart w:id="7" w:name="_Toc150242356"/>
      <w:r w:rsidRPr="003618F0">
        <w:rPr>
          <w:rFonts w:ascii="Garamond" w:hAnsi="Garamond"/>
          <w:b/>
          <w:bCs/>
          <w:sz w:val="24"/>
        </w:rPr>
        <w:t xml:space="preserve">2. </w:t>
      </w:r>
      <w:bookmarkEnd w:id="6"/>
      <w:bookmarkEnd w:id="7"/>
      <w:r w:rsidR="00FB1CF2" w:rsidRPr="003618F0">
        <w:rPr>
          <w:rFonts w:ascii="Garamond" w:hAnsi="Garamond"/>
          <w:b/>
          <w:bCs/>
          <w:sz w:val="24"/>
        </w:rPr>
        <w:t>WTO - DDA</w:t>
      </w:r>
    </w:p>
    <w:p w:rsidR="00D14420" w:rsidRPr="003618F0" w:rsidRDefault="00D14420">
      <w:pPr>
        <w:ind w:left="720" w:firstLine="720"/>
        <w:rPr>
          <w:rFonts w:ascii="Garamond" w:hAnsi="Garamond"/>
          <w:b/>
          <w:bCs/>
          <w:sz w:val="24"/>
        </w:rPr>
      </w:pPr>
    </w:p>
    <w:p w:rsidR="00737D55" w:rsidRPr="003618F0" w:rsidRDefault="00737D55" w:rsidP="00737D55">
      <w:pPr>
        <w:ind w:left="698" w:firstLine="720"/>
        <w:rPr>
          <w:rFonts w:ascii="Garamond" w:hAnsi="Garamond"/>
          <w:bCs/>
          <w:sz w:val="24"/>
        </w:rPr>
      </w:pPr>
      <w:r w:rsidRPr="003618F0">
        <w:rPr>
          <w:rFonts w:ascii="Garamond" w:hAnsi="Garamond"/>
          <w:bCs/>
          <w:sz w:val="24"/>
        </w:rPr>
        <w:t xml:space="preserve">- Diskussionspunkt </w:t>
      </w:r>
    </w:p>
    <w:p w:rsidR="00737D55" w:rsidRPr="003618F0" w:rsidRDefault="00737D55" w:rsidP="00737D55">
      <w:pPr>
        <w:ind w:left="698" w:firstLine="720"/>
        <w:rPr>
          <w:rFonts w:ascii="Garamond" w:hAnsi="Garamond"/>
          <w:bCs/>
          <w:sz w:val="24"/>
        </w:rPr>
      </w:pPr>
    </w:p>
    <w:p w:rsidR="00737D55" w:rsidRPr="003618F0" w:rsidRDefault="00737D55" w:rsidP="00737D55">
      <w:pPr>
        <w:ind w:left="698" w:firstLine="720"/>
        <w:rPr>
          <w:rFonts w:ascii="Garamond" w:hAnsi="Garamond"/>
          <w:bCs/>
          <w:sz w:val="24"/>
        </w:rPr>
      </w:pPr>
      <w:r w:rsidRPr="003618F0">
        <w:rPr>
          <w:rFonts w:ascii="Garamond" w:hAnsi="Garamond"/>
          <w:bCs/>
          <w:sz w:val="24"/>
        </w:rPr>
        <w:t xml:space="preserve">Doharundan suspenderades sommaren 2006 eftersom förhandlingarna </w:t>
      </w:r>
      <w:r w:rsidRPr="003618F0">
        <w:rPr>
          <w:rFonts w:ascii="Garamond" w:hAnsi="Garamond"/>
          <w:bCs/>
          <w:sz w:val="24"/>
        </w:rPr>
        <w:tab/>
      </w:r>
      <w:r w:rsidRPr="003618F0">
        <w:rPr>
          <w:rFonts w:ascii="Garamond" w:hAnsi="Garamond"/>
          <w:bCs/>
          <w:sz w:val="24"/>
        </w:rPr>
        <w:tab/>
        <w:t xml:space="preserve">hade strandat. Informella diskussioner inleddes före årsskiftet och nu har  </w:t>
      </w:r>
      <w:r w:rsidRPr="003618F0">
        <w:rPr>
          <w:rFonts w:ascii="Garamond" w:hAnsi="Garamond"/>
          <w:bCs/>
          <w:sz w:val="24"/>
        </w:rPr>
        <w:tab/>
      </w:r>
      <w:r w:rsidRPr="003618F0">
        <w:rPr>
          <w:rFonts w:ascii="Garamond" w:hAnsi="Garamond"/>
          <w:bCs/>
          <w:sz w:val="24"/>
        </w:rPr>
        <w:tab/>
        <w:t xml:space="preserve">förhandlingarna återupptagits. Vid World Economic Forum i </w:t>
      </w:r>
      <w:r w:rsidRPr="003618F0">
        <w:rPr>
          <w:rFonts w:ascii="Garamond" w:hAnsi="Garamond"/>
          <w:bCs/>
          <w:sz w:val="24"/>
        </w:rPr>
        <w:tab/>
      </w:r>
      <w:r w:rsidRPr="003618F0">
        <w:rPr>
          <w:rFonts w:ascii="Garamond" w:hAnsi="Garamond"/>
          <w:bCs/>
          <w:sz w:val="24"/>
        </w:rPr>
        <w:tab/>
      </w:r>
      <w:r w:rsidRPr="003618F0">
        <w:rPr>
          <w:rFonts w:ascii="Garamond" w:hAnsi="Garamond"/>
          <w:bCs/>
          <w:sz w:val="24"/>
        </w:rPr>
        <w:tab/>
      </w:r>
      <w:r w:rsidRPr="003618F0">
        <w:rPr>
          <w:rFonts w:ascii="Garamond" w:hAnsi="Garamond"/>
          <w:bCs/>
          <w:sz w:val="24"/>
        </w:rPr>
        <w:tab/>
        <w:t xml:space="preserve">Davos 24-28 januari möttes handelministrar från en rad av WTO:s </w:t>
      </w:r>
      <w:r w:rsidRPr="003618F0">
        <w:rPr>
          <w:rFonts w:ascii="Garamond" w:hAnsi="Garamond"/>
          <w:bCs/>
          <w:sz w:val="24"/>
        </w:rPr>
        <w:tab/>
      </w:r>
      <w:r w:rsidRPr="003618F0">
        <w:rPr>
          <w:rFonts w:ascii="Garamond" w:hAnsi="Garamond"/>
          <w:bCs/>
          <w:sz w:val="24"/>
        </w:rPr>
        <w:tab/>
      </w:r>
      <w:r w:rsidRPr="003618F0">
        <w:rPr>
          <w:rFonts w:ascii="Garamond" w:hAnsi="Garamond"/>
          <w:bCs/>
          <w:sz w:val="24"/>
        </w:rPr>
        <w:tab/>
        <w:t xml:space="preserve">nyckelländer och signalerade att man var redo att börja förhandla igen. </w:t>
      </w:r>
      <w:r w:rsidRPr="003618F0">
        <w:rPr>
          <w:rFonts w:ascii="Garamond" w:hAnsi="Garamond"/>
          <w:bCs/>
          <w:sz w:val="24"/>
        </w:rPr>
        <w:tab/>
      </w:r>
      <w:r w:rsidRPr="003618F0">
        <w:rPr>
          <w:rFonts w:ascii="Garamond" w:hAnsi="Garamond"/>
          <w:bCs/>
          <w:sz w:val="24"/>
        </w:rPr>
        <w:tab/>
        <w:t>T</w:t>
      </w:r>
      <w:r w:rsidR="00C67DF1" w:rsidRPr="003618F0">
        <w:rPr>
          <w:rFonts w:ascii="Garamond" w:hAnsi="Garamond"/>
          <w:bCs/>
          <w:sz w:val="24"/>
        </w:rPr>
        <w:t>iden är knapp. Den amerikanske p</w:t>
      </w:r>
      <w:r w:rsidRPr="003618F0">
        <w:rPr>
          <w:rFonts w:ascii="Garamond" w:hAnsi="Garamond"/>
          <w:bCs/>
          <w:sz w:val="24"/>
        </w:rPr>
        <w:t xml:space="preserve">residentens förhandlingsmandat, </w:t>
      </w:r>
      <w:r w:rsidRPr="003618F0">
        <w:rPr>
          <w:rFonts w:ascii="Garamond" w:hAnsi="Garamond"/>
          <w:bCs/>
          <w:sz w:val="24"/>
        </w:rPr>
        <w:tab/>
      </w:r>
      <w:r w:rsidRPr="003618F0">
        <w:rPr>
          <w:rFonts w:ascii="Garamond" w:hAnsi="Garamond"/>
          <w:bCs/>
          <w:sz w:val="24"/>
        </w:rPr>
        <w:tab/>
      </w:r>
      <w:r w:rsidRPr="003618F0">
        <w:rPr>
          <w:rFonts w:ascii="Garamond" w:hAnsi="Garamond"/>
          <w:bCs/>
          <w:sz w:val="24"/>
        </w:rPr>
        <w:tab/>
        <w:t xml:space="preserve">TPA, löper ut till sommaren och om det ska finnas någon chans att få det </w:t>
      </w:r>
      <w:r w:rsidRPr="003618F0">
        <w:rPr>
          <w:rFonts w:ascii="Garamond" w:hAnsi="Garamond"/>
          <w:bCs/>
          <w:sz w:val="24"/>
        </w:rPr>
        <w:tab/>
      </w:r>
      <w:r w:rsidRPr="003618F0">
        <w:rPr>
          <w:rFonts w:ascii="Garamond" w:hAnsi="Garamond"/>
          <w:bCs/>
          <w:sz w:val="24"/>
        </w:rPr>
        <w:tab/>
        <w:t>förlängt behövs ett genombrott i förhandlingarna under våren.</w:t>
      </w:r>
    </w:p>
    <w:p w:rsidR="00737D55" w:rsidRPr="003618F0" w:rsidRDefault="00737D55" w:rsidP="00737D55">
      <w:pPr>
        <w:ind w:left="698" w:firstLine="720"/>
        <w:rPr>
          <w:rFonts w:ascii="Garamond" w:hAnsi="Garamond"/>
          <w:bCs/>
          <w:sz w:val="24"/>
        </w:rPr>
      </w:pPr>
    </w:p>
    <w:p w:rsidR="00737D55" w:rsidRPr="003618F0" w:rsidRDefault="00737D55" w:rsidP="00C67DF1">
      <w:pPr>
        <w:ind w:left="1418"/>
        <w:rPr>
          <w:rFonts w:ascii="Garamond" w:hAnsi="Garamond"/>
          <w:bCs/>
          <w:sz w:val="24"/>
        </w:rPr>
      </w:pPr>
      <w:r w:rsidRPr="003618F0">
        <w:rPr>
          <w:rFonts w:ascii="Garamond" w:hAnsi="Garamond"/>
          <w:bCs/>
          <w:sz w:val="24"/>
        </w:rPr>
        <w:t>På fransk begäran kommer Komm</w:t>
      </w:r>
      <w:r w:rsidR="00C67DF1" w:rsidRPr="003618F0">
        <w:rPr>
          <w:rFonts w:ascii="Garamond" w:hAnsi="Garamond"/>
          <w:bCs/>
          <w:sz w:val="24"/>
        </w:rPr>
        <w:t xml:space="preserve">issionen att rapportera från </w:t>
      </w:r>
      <w:r w:rsidR="00C67DF1" w:rsidRPr="003618F0">
        <w:rPr>
          <w:rFonts w:ascii="Garamond" w:hAnsi="Garamond"/>
          <w:bCs/>
          <w:sz w:val="24"/>
        </w:rPr>
        <w:tab/>
      </w:r>
      <w:r w:rsidR="00C67DF1" w:rsidRPr="003618F0">
        <w:rPr>
          <w:rFonts w:ascii="Garamond" w:hAnsi="Garamond"/>
          <w:bCs/>
          <w:sz w:val="24"/>
        </w:rPr>
        <w:tab/>
      </w:r>
      <w:r w:rsidRPr="003618F0">
        <w:rPr>
          <w:rFonts w:ascii="Garamond" w:hAnsi="Garamond"/>
          <w:bCs/>
          <w:sz w:val="24"/>
        </w:rPr>
        <w:t>förhandlingsläget och MS ges möjlig</w:t>
      </w:r>
      <w:r w:rsidR="00C67DF1" w:rsidRPr="003618F0">
        <w:rPr>
          <w:rFonts w:ascii="Garamond" w:hAnsi="Garamond"/>
          <w:bCs/>
          <w:sz w:val="24"/>
        </w:rPr>
        <w:t xml:space="preserve">het att kommentera. Eftersom </w:t>
      </w:r>
      <w:r w:rsidR="00C67DF1" w:rsidRPr="003618F0">
        <w:rPr>
          <w:rFonts w:ascii="Garamond" w:hAnsi="Garamond"/>
          <w:bCs/>
          <w:sz w:val="24"/>
        </w:rPr>
        <w:tab/>
      </w:r>
      <w:r w:rsidR="00C67DF1" w:rsidRPr="003618F0">
        <w:rPr>
          <w:rFonts w:ascii="Garamond" w:hAnsi="Garamond"/>
          <w:bCs/>
          <w:sz w:val="24"/>
        </w:rPr>
        <w:tab/>
      </w:r>
      <w:r w:rsidRPr="003618F0">
        <w:rPr>
          <w:rFonts w:ascii="Garamond" w:hAnsi="Garamond"/>
          <w:bCs/>
          <w:sz w:val="24"/>
        </w:rPr>
        <w:t>punkten även står på den informella h</w:t>
      </w:r>
      <w:r w:rsidR="00C67DF1" w:rsidRPr="003618F0">
        <w:rPr>
          <w:rFonts w:ascii="Garamond" w:hAnsi="Garamond"/>
          <w:bCs/>
          <w:sz w:val="24"/>
        </w:rPr>
        <w:t xml:space="preserve">andelsministermiddagen den 11 </w:t>
      </w:r>
      <w:r w:rsidR="00C67DF1" w:rsidRPr="003618F0">
        <w:rPr>
          <w:rFonts w:ascii="Garamond" w:hAnsi="Garamond"/>
          <w:bCs/>
          <w:sz w:val="24"/>
        </w:rPr>
        <w:tab/>
      </w:r>
      <w:r w:rsidRPr="003618F0">
        <w:rPr>
          <w:rFonts w:ascii="Garamond" w:hAnsi="Garamond"/>
          <w:bCs/>
          <w:sz w:val="24"/>
        </w:rPr>
        <w:t>februari, blir diskussionen sannolikt av övergripande kar</w:t>
      </w:r>
      <w:r w:rsidR="00C67DF1" w:rsidRPr="003618F0">
        <w:rPr>
          <w:rFonts w:ascii="Garamond" w:hAnsi="Garamond"/>
          <w:bCs/>
          <w:sz w:val="24"/>
        </w:rPr>
        <w:t>aktär. Regeringen är mycket positiv</w:t>
      </w:r>
      <w:r w:rsidRPr="003618F0">
        <w:rPr>
          <w:rFonts w:ascii="Garamond" w:hAnsi="Garamond"/>
          <w:bCs/>
          <w:sz w:val="24"/>
        </w:rPr>
        <w:t xml:space="preserve"> till att f</w:t>
      </w:r>
      <w:r w:rsidR="00C67DF1" w:rsidRPr="003618F0">
        <w:rPr>
          <w:rFonts w:ascii="Garamond" w:hAnsi="Garamond"/>
          <w:bCs/>
          <w:sz w:val="24"/>
        </w:rPr>
        <w:t xml:space="preserve">örhandlingarna återupptas och </w:t>
      </w:r>
      <w:r w:rsidRPr="003618F0">
        <w:rPr>
          <w:rFonts w:ascii="Garamond" w:hAnsi="Garamond"/>
          <w:bCs/>
          <w:sz w:val="24"/>
        </w:rPr>
        <w:t>kommer fortsatt verka för att ett genombrott kan ske under våren.</w:t>
      </w:r>
    </w:p>
    <w:p w:rsidR="00D733B3" w:rsidRPr="003618F0" w:rsidRDefault="00D733B3" w:rsidP="00D733B3">
      <w:pPr>
        <w:rPr>
          <w:rFonts w:ascii="Garamond" w:hAnsi="Garamond"/>
          <w:bCs/>
          <w:sz w:val="24"/>
        </w:rPr>
      </w:pPr>
    </w:p>
    <w:p w:rsidR="002962E8" w:rsidRPr="003618F0" w:rsidRDefault="002962E8">
      <w:pPr>
        <w:ind w:left="720" w:firstLine="720"/>
        <w:rPr>
          <w:rFonts w:ascii="Garamond" w:hAnsi="Garamond"/>
          <w:b/>
          <w:bCs/>
          <w:sz w:val="24"/>
        </w:rPr>
      </w:pPr>
      <w:bookmarkStart w:id="8" w:name="_Toc150232150"/>
      <w:bookmarkStart w:id="9" w:name="_Toc150242357"/>
      <w:r w:rsidRPr="003618F0">
        <w:rPr>
          <w:rFonts w:ascii="Garamond" w:hAnsi="Garamond"/>
          <w:b/>
          <w:bCs/>
          <w:sz w:val="24"/>
        </w:rPr>
        <w:t xml:space="preserve">3. </w:t>
      </w:r>
      <w:bookmarkEnd w:id="8"/>
      <w:bookmarkEnd w:id="9"/>
      <w:r w:rsidR="00FB1CF2" w:rsidRPr="003618F0">
        <w:rPr>
          <w:rFonts w:ascii="Garamond" w:hAnsi="Garamond"/>
          <w:b/>
          <w:bCs/>
          <w:sz w:val="24"/>
        </w:rPr>
        <w:t>WTO - GPA</w:t>
      </w:r>
    </w:p>
    <w:p w:rsidR="002962E8" w:rsidRPr="003618F0" w:rsidRDefault="002962E8">
      <w:pPr>
        <w:rPr>
          <w:rFonts w:ascii="Garamond" w:hAnsi="Garamond"/>
          <w:sz w:val="24"/>
        </w:rPr>
      </w:pPr>
    </w:p>
    <w:p w:rsidR="00737D55" w:rsidRPr="003618F0" w:rsidRDefault="00737D55" w:rsidP="00737D55">
      <w:pPr>
        <w:ind w:left="1418"/>
        <w:rPr>
          <w:rFonts w:ascii="Garamond" w:hAnsi="Garamond"/>
          <w:sz w:val="24"/>
          <w:szCs w:val="24"/>
        </w:rPr>
      </w:pPr>
      <w:bookmarkStart w:id="10" w:name="_Toc150232151"/>
      <w:bookmarkStart w:id="11" w:name="_Toc150242358"/>
      <w:r w:rsidRPr="003618F0">
        <w:rPr>
          <w:rFonts w:ascii="Garamond" w:hAnsi="Garamond"/>
          <w:sz w:val="24"/>
          <w:szCs w:val="24"/>
        </w:rPr>
        <w:t>- Besluts- och diskussionspunkt.</w:t>
      </w:r>
    </w:p>
    <w:p w:rsidR="00737D55" w:rsidRPr="003618F0" w:rsidRDefault="00737D55" w:rsidP="00737D55">
      <w:pPr>
        <w:rPr>
          <w:rFonts w:ascii="Garamond" w:hAnsi="Garamond"/>
          <w:sz w:val="24"/>
          <w:szCs w:val="24"/>
        </w:rPr>
      </w:pPr>
    </w:p>
    <w:p w:rsidR="00737D55" w:rsidRPr="003618F0" w:rsidRDefault="00737D55" w:rsidP="00737D55">
      <w:pPr>
        <w:rPr>
          <w:rFonts w:ascii="Garamond" w:hAnsi="Garamond"/>
          <w:sz w:val="24"/>
          <w:szCs w:val="24"/>
        </w:rPr>
      </w:pPr>
      <w:r w:rsidRPr="003618F0">
        <w:rPr>
          <w:rFonts w:ascii="Garamond" w:hAnsi="Garamond"/>
          <w:iCs/>
          <w:color w:val="000000"/>
          <w:sz w:val="24"/>
          <w:szCs w:val="24"/>
        </w:rPr>
        <w:tab/>
      </w:r>
      <w:r w:rsidRPr="003618F0">
        <w:rPr>
          <w:rFonts w:ascii="Garamond" w:hAnsi="Garamond"/>
          <w:iCs/>
          <w:color w:val="000000"/>
          <w:sz w:val="24"/>
          <w:szCs w:val="24"/>
        </w:rPr>
        <w:tab/>
        <w:t xml:space="preserve">FR vill under denna punkt diskutera sitt förslag om att EU, i ett </w:t>
      </w:r>
      <w:r w:rsidRPr="003618F0">
        <w:rPr>
          <w:rFonts w:ascii="Garamond" w:hAnsi="Garamond"/>
          <w:iCs/>
          <w:color w:val="000000"/>
          <w:sz w:val="24"/>
          <w:szCs w:val="24"/>
        </w:rPr>
        <w:tab/>
      </w:r>
      <w:r w:rsidRPr="003618F0">
        <w:rPr>
          <w:rFonts w:ascii="Garamond" w:hAnsi="Garamond"/>
          <w:iCs/>
          <w:color w:val="000000"/>
          <w:sz w:val="24"/>
          <w:szCs w:val="24"/>
        </w:rPr>
        <w:tab/>
      </w:r>
      <w:r w:rsidRPr="003618F0">
        <w:rPr>
          <w:rFonts w:ascii="Garamond" w:hAnsi="Garamond"/>
          <w:iCs/>
          <w:color w:val="000000"/>
          <w:sz w:val="24"/>
          <w:szCs w:val="24"/>
        </w:rPr>
        <w:tab/>
        <w:t xml:space="preserve">kommande förhandlingsbud inom ramen för omförhandlingen av WTO:s </w:t>
      </w:r>
      <w:r w:rsidRPr="003618F0">
        <w:rPr>
          <w:rFonts w:ascii="Garamond" w:hAnsi="Garamond"/>
          <w:iCs/>
          <w:color w:val="000000"/>
          <w:sz w:val="24"/>
          <w:szCs w:val="24"/>
        </w:rPr>
        <w:tab/>
      </w:r>
      <w:r w:rsidRPr="003618F0">
        <w:rPr>
          <w:rFonts w:ascii="Garamond" w:hAnsi="Garamond"/>
          <w:iCs/>
          <w:color w:val="000000"/>
          <w:sz w:val="24"/>
          <w:szCs w:val="24"/>
        </w:rPr>
        <w:tab/>
        <w:t xml:space="preserve">avtal om offentlig upphandling (GPA), skulle begära ett införande av </w:t>
      </w:r>
      <w:r w:rsidRPr="003618F0">
        <w:rPr>
          <w:rFonts w:ascii="Garamond" w:hAnsi="Garamond"/>
          <w:iCs/>
          <w:color w:val="000000"/>
          <w:sz w:val="24"/>
          <w:szCs w:val="24"/>
        </w:rPr>
        <w:tab/>
      </w:r>
      <w:r w:rsidRPr="003618F0">
        <w:rPr>
          <w:rFonts w:ascii="Garamond" w:hAnsi="Garamond"/>
          <w:iCs/>
          <w:color w:val="000000"/>
          <w:sz w:val="24"/>
          <w:szCs w:val="24"/>
        </w:rPr>
        <w:tab/>
      </w:r>
      <w:r w:rsidRPr="003618F0">
        <w:rPr>
          <w:rFonts w:ascii="Garamond" w:hAnsi="Garamond"/>
          <w:iCs/>
          <w:color w:val="000000"/>
          <w:sz w:val="24"/>
          <w:szCs w:val="24"/>
        </w:rPr>
        <w:tab/>
        <w:t xml:space="preserve">positiv särbehandling för små och medelstora företag (SME). </w:t>
      </w:r>
      <w:r w:rsidRPr="003618F0">
        <w:rPr>
          <w:rFonts w:ascii="Garamond" w:hAnsi="Garamond"/>
          <w:iCs/>
          <w:color w:val="000000"/>
          <w:sz w:val="24"/>
          <w:szCs w:val="24"/>
        </w:rPr>
        <w:tab/>
      </w:r>
      <w:r w:rsidRPr="003618F0">
        <w:rPr>
          <w:rFonts w:ascii="Garamond" w:hAnsi="Garamond"/>
          <w:iCs/>
          <w:color w:val="000000"/>
          <w:sz w:val="24"/>
          <w:szCs w:val="24"/>
        </w:rPr>
        <w:tab/>
      </w:r>
      <w:r w:rsidRPr="003618F0">
        <w:rPr>
          <w:rFonts w:ascii="Garamond" w:hAnsi="Garamond"/>
          <w:iCs/>
          <w:color w:val="000000"/>
          <w:sz w:val="24"/>
          <w:szCs w:val="24"/>
        </w:rPr>
        <w:tab/>
      </w:r>
      <w:r w:rsidRPr="003618F0">
        <w:rPr>
          <w:rFonts w:ascii="Garamond" w:hAnsi="Garamond"/>
          <w:iCs/>
          <w:color w:val="000000"/>
          <w:sz w:val="24"/>
          <w:szCs w:val="24"/>
        </w:rPr>
        <w:tab/>
        <w:t xml:space="preserve">Motsvarande särbehandling fick USA, Kanada, Sydkorea och Japan redan </w:t>
      </w:r>
      <w:r w:rsidRPr="003618F0">
        <w:rPr>
          <w:rFonts w:ascii="Garamond" w:hAnsi="Garamond"/>
          <w:iCs/>
          <w:color w:val="000000"/>
          <w:sz w:val="24"/>
          <w:szCs w:val="24"/>
        </w:rPr>
        <w:tab/>
      </w:r>
      <w:r w:rsidRPr="003618F0">
        <w:rPr>
          <w:rFonts w:ascii="Garamond" w:hAnsi="Garamond"/>
          <w:iCs/>
          <w:color w:val="000000"/>
          <w:sz w:val="24"/>
          <w:szCs w:val="24"/>
        </w:rPr>
        <w:tab/>
        <w:t xml:space="preserve">med avtalets ingående. FR anser att situationen därför är obalanserad. </w:t>
      </w:r>
      <w:r w:rsidRPr="003618F0">
        <w:rPr>
          <w:rFonts w:ascii="Garamond" w:hAnsi="Garamond"/>
          <w:iCs/>
          <w:color w:val="000000"/>
          <w:sz w:val="24"/>
          <w:szCs w:val="24"/>
        </w:rPr>
        <w:tab/>
      </w:r>
      <w:r w:rsidRPr="003618F0">
        <w:rPr>
          <w:rFonts w:ascii="Garamond" w:hAnsi="Garamond"/>
          <w:iCs/>
          <w:color w:val="000000"/>
          <w:sz w:val="24"/>
          <w:szCs w:val="24"/>
        </w:rPr>
        <w:tab/>
      </w:r>
      <w:r w:rsidRPr="003618F0">
        <w:rPr>
          <w:rFonts w:ascii="Garamond" w:hAnsi="Garamond"/>
          <w:iCs/>
          <w:sz w:val="24"/>
          <w:szCs w:val="24"/>
        </w:rPr>
        <w:t xml:space="preserve">Förslaget </w:t>
      </w:r>
      <w:r w:rsidRPr="003618F0">
        <w:rPr>
          <w:rFonts w:ascii="Garamond" w:hAnsi="Garamond"/>
          <w:color w:val="000000"/>
          <w:sz w:val="24"/>
          <w:szCs w:val="24"/>
          <w:lang w:eastAsia="sv-SE"/>
        </w:rPr>
        <w:t xml:space="preserve">skulle även få effekt mellan EU-länder och påverka den inre </w:t>
      </w:r>
      <w:r w:rsidRPr="003618F0">
        <w:rPr>
          <w:rFonts w:ascii="Garamond" w:hAnsi="Garamond"/>
          <w:color w:val="000000"/>
          <w:sz w:val="24"/>
          <w:szCs w:val="24"/>
          <w:lang w:eastAsia="sv-SE"/>
        </w:rPr>
        <w:tab/>
      </w:r>
      <w:r w:rsidRPr="003618F0">
        <w:rPr>
          <w:rFonts w:ascii="Garamond" w:hAnsi="Garamond"/>
          <w:color w:val="000000"/>
          <w:sz w:val="24"/>
          <w:szCs w:val="24"/>
          <w:lang w:eastAsia="sv-SE"/>
        </w:rPr>
        <w:tab/>
        <w:t>marknaden</w:t>
      </w:r>
      <w:r w:rsidRPr="003618F0">
        <w:rPr>
          <w:rFonts w:ascii="Garamond" w:hAnsi="Garamond"/>
          <w:sz w:val="24"/>
          <w:szCs w:val="24"/>
        </w:rPr>
        <w:t xml:space="preserve">. </w:t>
      </w:r>
    </w:p>
    <w:p w:rsidR="00737D55" w:rsidRPr="003618F0" w:rsidRDefault="00737D55" w:rsidP="00737D55">
      <w:pPr>
        <w:rPr>
          <w:rFonts w:ascii="Garamond" w:hAnsi="Garamond"/>
          <w:iCs/>
          <w:color w:val="000000"/>
          <w:sz w:val="24"/>
          <w:szCs w:val="24"/>
        </w:rPr>
      </w:pPr>
    </w:p>
    <w:p w:rsidR="00737D55" w:rsidRPr="003618F0" w:rsidRDefault="003370C4" w:rsidP="003370C4">
      <w:pPr>
        <w:ind w:left="1418"/>
        <w:rPr>
          <w:rFonts w:ascii="Garamond" w:hAnsi="Garamond"/>
          <w:color w:val="000000"/>
          <w:sz w:val="24"/>
          <w:szCs w:val="24"/>
          <w:lang w:eastAsia="sv-SE"/>
        </w:rPr>
      </w:pPr>
      <w:r w:rsidRPr="003618F0">
        <w:rPr>
          <w:rFonts w:ascii="Garamond" w:hAnsi="Garamond"/>
          <w:sz w:val="24"/>
          <w:szCs w:val="24"/>
        </w:rPr>
        <w:tab/>
      </w:r>
      <w:r w:rsidR="00A8122F" w:rsidRPr="003618F0">
        <w:rPr>
          <w:rFonts w:ascii="Garamond" w:hAnsi="Garamond"/>
          <w:sz w:val="24"/>
          <w:szCs w:val="24"/>
        </w:rPr>
        <w:t>R</w:t>
      </w:r>
      <w:r w:rsidR="00737D55" w:rsidRPr="003618F0">
        <w:rPr>
          <w:rFonts w:ascii="Garamond" w:hAnsi="Garamond"/>
          <w:sz w:val="24"/>
          <w:szCs w:val="24"/>
        </w:rPr>
        <w:t>egeringen instämmer i vikten av att främja våra små och medelstor</w:t>
      </w:r>
      <w:r w:rsidR="00A8122F" w:rsidRPr="003618F0">
        <w:rPr>
          <w:rFonts w:ascii="Garamond" w:hAnsi="Garamond"/>
          <w:sz w:val="24"/>
          <w:szCs w:val="24"/>
        </w:rPr>
        <w:t>a företag men är inte övertygad</w:t>
      </w:r>
      <w:r w:rsidR="00737D55" w:rsidRPr="003618F0">
        <w:rPr>
          <w:rFonts w:ascii="Garamond" w:hAnsi="Garamond"/>
          <w:sz w:val="24"/>
          <w:szCs w:val="24"/>
        </w:rPr>
        <w:t xml:space="preserve"> om den föreslagna metoden för att åstadkomma detta. </w:t>
      </w:r>
      <w:r w:rsidR="00A8122F" w:rsidRPr="003618F0">
        <w:rPr>
          <w:rFonts w:ascii="Garamond" w:hAnsi="Garamond"/>
          <w:color w:val="000000"/>
          <w:sz w:val="24"/>
          <w:szCs w:val="24"/>
        </w:rPr>
        <w:t>Regeringen</w:t>
      </w:r>
      <w:r w:rsidR="00737D55" w:rsidRPr="003618F0">
        <w:rPr>
          <w:rFonts w:ascii="Garamond" w:hAnsi="Garamond"/>
          <w:color w:val="000000"/>
          <w:sz w:val="24"/>
          <w:szCs w:val="24"/>
        </w:rPr>
        <w:t xml:space="preserve"> anser det inte motiverat att </w:t>
      </w:r>
      <w:r w:rsidR="00737D55" w:rsidRPr="003618F0">
        <w:rPr>
          <w:rFonts w:ascii="Garamond" w:hAnsi="Garamond"/>
          <w:sz w:val="24"/>
          <w:szCs w:val="24"/>
        </w:rPr>
        <w:t xml:space="preserve">inskränka </w:t>
      </w:r>
      <w:r w:rsidRPr="003618F0">
        <w:rPr>
          <w:rFonts w:ascii="Garamond" w:hAnsi="Garamond"/>
          <w:sz w:val="24"/>
          <w:szCs w:val="24"/>
        </w:rPr>
        <w:tab/>
      </w:r>
      <w:r w:rsidRPr="003618F0">
        <w:rPr>
          <w:rFonts w:ascii="Garamond" w:hAnsi="Garamond"/>
          <w:sz w:val="24"/>
          <w:szCs w:val="24"/>
        </w:rPr>
        <w:tab/>
      </w:r>
      <w:r w:rsidR="00737D55" w:rsidRPr="003618F0">
        <w:rPr>
          <w:rFonts w:ascii="Garamond" w:hAnsi="Garamond"/>
          <w:sz w:val="24"/>
          <w:szCs w:val="24"/>
        </w:rPr>
        <w:t xml:space="preserve">existerande öppna upphandlingsregler genom att </w:t>
      </w:r>
      <w:r w:rsidR="00737D55" w:rsidRPr="003618F0">
        <w:rPr>
          <w:rFonts w:ascii="Garamond" w:hAnsi="Garamond"/>
          <w:color w:val="000000"/>
          <w:sz w:val="24"/>
          <w:szCs w:val="24"/>
        </w:rPr>
        <w:t xml:space="preserve">införa särskilda </w:t>
      </w:r>
      <w:r w:rsidRPr="003618F0">
        <w:rPr>
          <w:rFonts w:ascii="Garamond" w:hAnsi="Garamond"/>
          <w:color w:val="000000"/>
          <w:sz w:val="24"/>
          <w:szCs w:val="24"/>
        </w:rPr>
        <w:tab/>
      </w:r>
      <w:r w:rsidRPr="003618F0">
        <w:rPr>
          <w:rFonts w:ascii="Garamond" w:hAnsi="Garamond"/>
          <w:color w:val="000000"/>
          <w:sz w:val="24"/>
          <w:szCs w:val="24"/>
        </w:rPr>
        <w:tab/>
      </w:r>
      <w:r w:rsidR="00737D55" w:rsidRPr="003618F0">
        <w:rPr>
          <w:rFonts w:ascii="Garamond" w:hAnsi="Garamond"/>
          <w:color w:val="000000"/>
          <w:sz w:val="24"/>
          <w:szCs w:val="24"/>
        </w:rPr>
        <w:t xml:space="preserve">restriktioner och undantag för SMEs. </w:t>
      </w:r>
      <w:r w:rsidR="00737D55" w:rsidRPr="003618F0">
        <w:rPr>
          <w:rFonts w:ascii="Garamond" w:hAnsi="Garamond"/>
          <w:bCs/>
          <w:sz w:val="24"/>
          <w:szCs w:val="24"/>
        </w:rPr>
        <w:t xml:space="preserve">Diskriminering av företag med </w:t>
      </w:r>
      <w:r w:rsidRPr="003618F0">
        <w:rPr>
          <w:rFonts w:ascii="Garamond" w:hAnsi="Garamond"/>
          <w:bCs/>
          <w:sz w:val="24"/>
          <w:szCs w:val="24"/>
        </w:rPr>
        <w:tab/>
      </w:r>
      <w:r w:rsidRPr="003618F0">
        <w:rPr>
          <w:rFonts w:ascii="Garamond" w:hAnsi="Garamond"/>
          <w:bCs/>
          <w:sz w:val="24"/>
          <w:szCs w:val="24"/>
        </w:rPr>
        <w:tab/>
      </w:r>
      <w:r w:rsidR="00737D55" w:rsidRPr="003618F0">
        <w:rPr>
          <w:rFonts w:ascii="Garamond" w:hAnsi="Garamond"/>
          <w:bCs/>
          <w:sz w:val="24"/>
          <w:szCs w:val="24"/>
        </w:rPr>
        <w:t xml:space="preserve">hänsyn till företagsstorlek strider mot EU:s upphandlingsdirektiv, </w:t>
      </w:r>
      <w:r w:rsidRPr="003618F0">
        <w:rPr>
          <w:rFonts w:ascii="Garamond" w:hAnsi="Garamond"/>
          <w:bCs/>
          <w:sz w:val="24"/>
          <w:szCs w:val="24"/>
        </w:rPr>
        <w:tab/>
      </w:r>
      <w:r w:rsidRPr="003618F0">
        <w:rPr>
          <w:rFonts w:ascii="Garamond" w:hAnsi="Garamond"/>
          <w:bCs/>
          <w:sz w:val="24"/>
          <w:szCs w:val="24"/>
        </w:rPr>
        <w:tab/>
      </w:r>
      <w:r w:rsidR="00737D55" w:rsidRPr="003618F0">
        <w:rPr>
          <w:rFonts w:ascii="Garamond" w:hAnsi="Garamond"/>
          <w:bCs/>
          <w:sz w:val="24"/>
          <w:szCs w:val="24"/>
        </w:rPr>
        <w:t xml:space="preserve">försämrar konkurrensen och har </w:t>
      </w:r>
      <w:r w:rsidR="00737D55" w:rsidRPr="003618F0">
        <w:rPr>
          <w:rFonts w:ascii="Garamond" w:hAnsi="Garamond"/>
          <w:color w:val="000000"/>
          <w:sz w:val="24"/>
          <w:szCs w:val="24"/>
        </w:rPr>
        <w:t xml:space="preserve">negativa ekonomiska effekter i form av ökat krångel och kostnader. </w:t>
      </w:r>
      <w:r w:rsidR="00737D55" w:rsidRPr="003618F0">
        <w:rPr>
          <w:rFonts w:ascii="Garamond" w:hAnsi="Garamond"/>
          <w:color w:val="000000"/>
          <w:sz w:val="24"/>
          <w:szCs w:val="24"/>
          <w:lang w:eastAsia="sv-SE"/>
        </w:rPr>
        <w:t xml:space="preserve">EU har i GPA-förhandlingarna hittills arbetat </w:t>
      </w:r>
      <w:r w:rsidRPr="003618F0">
        <w:rPr>
          <w:rFonts w:ascii="Garamond" w:hAnsi="Garamond"/>
          <w:color w:val="000000"/>
          <w:sz w:val="24"/>
          <w:szCs w:val="24"/>
          <w:lang w:eastAsia="sv-SE"/>
        </w:rPr>
        <w:tab/>
      </w:r>
      <w:r w:rsidR="00737D55" w:rsidRPr="003618F0">
        <w:rPr>
          <w:rFonts w:ascii="Garamond" w:hAnsi="Garamond"/>
          <w:color w:val="000000"/>
          <w:sz w:val="24"/>
          <w:szCs w:val="24"/>
          <w:lang w:eastAsia="sv-SE"/>
        </w:rPr>
        <w:t xml:space="preserve">enligt linjen att istället få bort </w:t>
      </w:r>
      <w:r w:rsidRPr="003618F0">
        <w:rPr>
          <w:rFonts w:ascii="Garamond" w:hAnsi="Garamond"/>
          <w:color w:val="000000"/>
          <w:sz w:val="24"/>
          <w:szCs w:val="24"/>
          <w:lang w:eastAsia="sv-SE"/>
        </w:rPr>
        <w:t xml:space="preserve">de </w:t>
      </w:r>
      <w:r w:rsidR="00737D55" w:rsidRPr="003618F0">
        <w:rPr>
          <w:rFonts w:ascii="Garamond" w:hAnsi="Garamond"/>
          <w:color w:val="000000"/>
          <w:sz w:val="24"/>
          <w:szCs w:val="24"/>
          <w:lang w:eastAsia="sv-SE"/>
        </w:rPr>
        <w:t xml:space="preserve">tidigare beviljade undantagen för USA, </w:t>
      </w:r>
      <w:r w:rsidRPr="003618F0">
        <w:rPr>
          <w:rFonts w:ascii="Garamond" w:hAnsi="Garamond"/>
          <w:color w:val="000000"/>
          <w:sz w:val="24"/>
          <w:szCs w:val="24"/>
          <w:lang w:eastAsia="sv-SE"/>
        </w:rPr>
        <w:tab/>
      </w:r>
      <w:r w:rsidR="00737D55" w:rsidRPr="003618F0">
        <w:rPr>
          <w:rFonts w:ascii="Garamond" w:hAnsi="Garamond"/>
          <w:color w:val="000000"/>
          <w:sz w:val="24"/>
          <w:szCs w:val="24"/>
          <w:lang w:eastAsia="sv-SE"/>
        </w:rPr>
        <w:t xml:space="preserve">Kanada m.fl. och så många undantag som möjligt. FRs förslag skulle gå </w:t>
      </w:r>
      <w:r w:rsidRPr="003618F0">
        <w:rPr>
          <w:rFonts w:ascii="Garamond" w:hAnsi="Garamond"/>
          <w:color w:val="000000"/>
          <w:sz w:val="24"/>
          <w:szCs w:val="24"/>
          <w:lang w:eastAsia="sv-SE"/>
        </w:rPr>
        <w:tab/>
      </w:r>
      <w:r w:rsidR="00737D55" w:rsidRPr="003618F0">
        <w:rPr>
          <w:rFonts w:ascii="Garamond" w:hAnsi="Garamond"/>
          <w:color w:val="000000"/>
          <w:sz w:val="24"/>
          <w:szCs w:val="24"/>
          <w:lang w:eastAsia="sv-SE"/>
        </w:rPr>
        <w:t xml:space="preserve">tvärtemot den linjen och skulle framtvinga krav på </w:t>
      </w:r>
      <w:r w:rsidR="00737D55" w:rsidRPr="003618F0">
        <w:rPr>
          <w:rFonts w:ascii="Garamond" w:hAnsi="Garamond"/>
          <w:bCs/>
          <w:sz w:val="24"/>
          <w:szCs w:val="24"/>
        </w:rPr>
        <w:t xml:space="preserve">liknande undantag </w:t>
      </w:r>
      <w:r w:rsidRPr="003618F0">
        <w:rPr>
          <w:rFonts w:ascii="Garamond" w:hAnsi="Garamond"/>
          <w:bCs/>
          <w:sz w:val="24"/>
          <w:szCs w:val="24"/>
        </w:rPr>
        <w:tab/>
      </w:r>
      <w:r w:rsidR="00737D55" w:rsidRPr="003618F0">
        <w:rPr>
          <w:rFonts w:ascii="Garamond" w:hAnsi="Garamond"/>
          <w:bCs/>
          <w:sz w:val="24"/>
          <w:szCs w:val="24"/>
        </w:rPr>
        <w:t xml:space="preserve">från andra GPA-medlemmar samt strida </w:t>
      </w:r>
      <w:r w:rsidR="00737D55" w:rsidRPr="003618F0">
        <w:rPr>
          <w:rFonts w:ascii="Garamond" w:hAnsi="Garamond"/>
          <w:color w:val="000000"/>
          <w:sz w:val="24"/>
          <w:szCs w:val="24"/>
          <w:lang w:eastAsia="sv-SE"/>
        </w:rPr>
        <w:t xml:space="preserve">mot EU:s nuvarande åtaganden i </w:t>
      </w:r>
      <w:r w:rsidRPr="003618F0">
        <w:rPr>
          <w:rFonts w:ascii="Garamond" w:hAnsi="Garamond"/>
          <w:color w:val="000000"/>
          <w:sz w:val="24"/>
          <w:szCs w:val="24"/>
          <w:lang w:eastAsia="sv-SE"/>
        </w:rPr>
        <w:tab/>
      </w:r>
      <w:r w:rsidR="00737D55" w:rsidRPr="003618F0">
        <w:rPr>
          <w:rFonts w:ascii="Garamond" w:hAnsi="Garamond"/>
          <w:color w:val="000000"/>
          <w:sz w:val="24"/>
          <w:szCs w:val="24"/>
          <w:lang w:eastAsia="sv-SE"/>
        </w:rPr>
        <w:t>GPA.</w:t>
      </w:r>
    </w:p>
    <w:p w:rsidR="00737D55" w:rsidRPr="003618F0" w:rsidRDefault="00737D55" w:rsidP="00737D55">
      <w:pPr>
        <w:rPr>
          <w:rFonts w:ascii="Garamond" w:hAnsi="Garamond"/>
          <w:sz w:val="24"/>
          <w:szCs w:val="24"/>
        </w:rPr>
      </w:pPr>
    </w:p>
    <w:p w:rsidR="00737D55" w:rsidRPr="003618F0" w:rsidRDefault="00737D55" w:rsidP="00737D55">
      <w:pPr>
        <w:rPr>
          <w:rFonts w:ascii="Garamond" w:hAnsi="Garamond"/>
          <w:sz w:val="24"/>
          <w:szCs w:val="24"/>
        </w:rPr>
      </w:pPr>
      <w:r w:rsidRPr="003618F0">
        <w:rPr>
          <w:rFonts w:ascii="Garamond" w:hAnsi="Garamond"/>
          <w:sz w:val="24"/>
          <w:szCs w:val="24"/>
        </w:rPr>
        <w:tab/>
      </w:r>
      <w:r w:rsidRPr="003618F0">
        <w:rPr>
          <w:rFonts w:ascii="Garamond" w:hAnsi="Garamond"/>
          <w:sz w:val="24"/>
          <w:szCs w:val="24"/>
        </w:rPr>
        <w:tab/>
        <w:t xml:space="preserve">Rådet förmodas anta slutsatser som välkomnar ett främjande av små och </w:t>
      </w:r>
      <w:r w:rsidRPr="003618F0">
        <w:rPr>
          <w:rFonts w:ascii="Garamond" w:hAnsi="Garamond"/>
          <w:sz w:val="24"/>
          <w:szCs w:val="24"/>
        </w:rPr>
        <w:tab/>
      </w:r>
      <w:r w:rsidRPr="003618F0">
        <w:rPr>
          <w:rFonts w:ascii="Garamond" w:hAnsi="Garamond"/>
          <w:sz w:val="24"/>
          <w:szCs w:val="24"/>
        </w:rPr>
        <w:tab/>
        <w:t xml:space="preserve">medelstora företag men inte ett undantag </w:t>
      </w:r>
      <w:r w:rsidRPr="003618F0">
        <w:rPr>
          <w:rFonts w:ascii="Garamond" w:hAnsi="Garamond"/>
          <w:iCs/>
          <w:color w:val="000000"/>
          <w:sz w:val="24"/>
          <w:szCs w:val="24"/>
        </w:rPr>
        <w:t xml:space="preserve">för SMEs inom ramen för </w:t>
      </w:r>
      <w:r w:rsidRPr="003618F0">
        <w:rPr>
          <w:rFonts w:ascii="Garamond" w:hAnsi="Garamond"/>
          <w:iCs/>
          <w:color w:val="000000"/>
          <w:sz w:val="24"/>
          <w:szCs w:val="24"/>
        </w:rPr>
        <w:tab/>
      </w:r>
      <w:r w:rsidRPr="003618F0">
        <w:rPr>
          <w:rFonts w:ascii="Garamond" w:hAnsi="Garamond"/>
          <w:iCs/>
          <w:color w:val="000000"/>
          <w:sz w:val="24"/>
          <w:szCs w:val="24"/>
        </w:rPr>
        <w:tab/>
      </w:r>
      <w:r w:rsidRPr="003618F0">
        <w:rPr>
          <w:rFonts w:ascii="Garamond" w:hAnsi="Garamond"/>
          <w:iCs/>
          <w:color w:val="000000"/>
          <w:sz w:val="24"/>
          <w:szCs w:val="24"/>
        </w:rPr>
        <w:tab/>
        <w:t>omförhandlingen av GPA</w:t>
      </w:r>
      <w:r w:rsidRPr="003618F0">
        <w:rPr>
          <w:rFonts w:ascii="Garamond" w:hAnsi="Garamond"/>
          <w:sz w:val="24"/>
          <w:szCs w:val="24"/>
        </w:rPr>
        <w:t>.</w:t>
      </w:r>
    </w:p>
    <w:p w:rsidR="00737D55" w:rsidRPr="003618F0" w:rsidRDefault="00737D55">
      <w:pPr>
        <w:ind w:left="720" w:firstLine="720"/>
        <w:rPr>
          <w:rFonts w:ascii="Garamond" w:hAnsi="Garamond"/>
          <w:b/>
          <w:bCs/>
          <w:sz w:val="24"/>
        </w:rPr>
      </w:pPr>
    </w:p>
    <w:p w:rsidR="002962E8" w:rsidRPr="003618F0" w:rsidRDefault="002962E8">
      <w:pPr>
        <w:ind w:left="720" w:firstLine="720"/>
        <w:rPr>
          <w:rFonts w:ascii="Garamond" w:hAnsi="Garamond"/>
          <w:b/>
          <w:bCs/>
          <w:sz w:val="24"/>
        </w:rPr>
      </w:pPr>
      <w:r w:rsidRPr="003618F0">
        <w:rPr>
          <w:rFonts w:ascii="Garamond" w:hAnsi="Garamond"/>
          <w:b/>
          <w:bCs/>
          <w:sz w:val="24"/>
        </w:rPr>
        <w:t xml:space="preserve">4. </w:t>
      </w:r>
      <w:bookmarkEnd w:id="10"/>
      <w:bookmarkEnd w:id="11"/>
      <w:r w:rsidR="00FB1CF2" w:rsidRPr="003618F0">
        <w:rPr>
          <w:rFonts w:ascii="Garamond" w:hAnsi="Garamond"/>
          <w:b/>
          <w:bCs/>
          <w:sz w:val="24"/>
        </w:rPr>
        <w:t>Relationerna med västra Balkan</w:t>
      </w:r>
    </w:p>
    <w:p w:rsidR="0023574B" w:rsidRPr="003618F0" w:rsidRDefault="0023574B" w:rsidP="00BD328B">
      <w:pPr>
        <w:ind w:left="1418"/>
        <w:rPr>
          <w:rFonts w:ascii="Garamond" w:hAnsi="Garamond"/>
          <w:sz w:val="24"/>
        </w:rPr>
      </w:pPr>
    </w:p>
    <w:p w:rsidR="002E6E42" w:rsidRPr="003618F0" w:rsidRDefault="002E6E42" w:rsidP="002E6E42">
      <w:pPr>
        <w:ind w:left="1418"/>
        <w:rPr>
          <w:rFonts w:ascii="Garamond" w:hAnsi="Garamond"/>
          <w:sz w:val="24"/>
          <w:szCs w:val="24"/>
        </w:rPr>
      </w:pPr>
      <w:r w:rsidRPr="003618F0">
        <w:rPr>
          <w:rFonts w:ascii="Garamond" w:hAnsi="Garamond"/>
          <w:sz w:val="24"/>
          <w:szCs w:val="24"/>
        </w:rPr>
        <w:t>Besluts- och diskussionspunkt</w:t>
      </w:r>
    </w:p>
    <w:p w:rsidR="002E6E42" w:rsidRPr="003618F0" w:rsidRDefault="002E6E42" w:rsidP="002E6E42">
      <w:pPr>
        <w:ind w:left="1418"/>
        <w:rPr>
          <w:rFonts w:ascii="Garamond" w:hAnsi="Garamond"/>
          <w:sz w:val="24"/>
          <w:szCs w:val="24"/>
        </w:rPr>
      </w:pPr>
    </w:p>
    <w:p w:rsidR="002E6E42" w:rsidRPr="003618F0" w:rsidRDefault="002E6E42" w:rsidP="002E6E42">
      <w:pPr>
        <w:ind w:left="1418"/>
        <w:rPr>
          <w:rFonts w:ascii="Garamond" w:hAnsi="Garamond"/>
          <w:sz w:val="24"/>
          <w:szCs w:val="24"/>
        </w:rPr>
      </w:pPr>
      <w:r w:rsidRPr="003618F0">
        <w:rPr>
          <w:rFonts w:ascii="Garamond" w:hAnsi="Garamond"/>
          <w:sz w:val="24"/>
          <w:szCs w:val="24"/>
        </w:rPr>
        <w:t xml:space="preserve">I skrivande stund har ännu inget utkast till rådsslutsatser distribuerats men ordföranden har aviserat att slutsatser om Serbien och Kosovo kommer att föreslås med beaktande av ministertrojkans besök </w:t>
      </w:r>
      <w:r w:rsidR="00D45234" w:rsidRPr="003618F0">
        <w:rPr>
          <w:rFonts w:ascii="Garamond" w:hAnsi="Garamond"/>
          <w:sz w:val="24"/>
          <w:szCs w:val="24"/>
        </w:rPr>
        <w:t xml:space="preserve">i </w:t>
      </w:r>
      <w:r w:rsidRPr="003618F0">
        <w:rPr>
          <w:rFonts w:ascii="Garamond" w:hAnsi="Garamond"/>
          <w:sz w:val="24"/>
          <w:szCs w:val="24"/>
        </w:rPr>
        <w:t xml:space="preserve">Belgrad i veckan före GAERC. Texten om Serbien kommer att beröra det serbiska valresultatet och de pågående komplicerade regeringsförhandlingarna. Troligen kommer slutsatserna om Serbien även understryka EU:s beredskap att aktivt stödja landets fortsatta EU-närmande. Beträffande Kosovo kommer slutsatserna att beröra FN-förhandlaren Ahtisaaris förslag till statuslösning. Rådet kan förväntas uttrycka stöd för dennes arbete och den fortsatta processen. </w:t>
      </w:r>
    </w:p>
    <w:p w:rsidR="002E6E42" w:rsidRPr="003618F0" w:rsidRDefault="002E6E42" w:rsidP="002E6E42">
      <w:pPr>
        <w:ind w:left="1418"/>
        <w:rPr>
          <w:rFonts w:ascii="Garamond" w:hAnsi="Garamond"/>
          <w:sz w:val="24"/>
          <w:szCs w:val="24"/>
        </w:rPr>
      </w:pPr>
    </w:p>
    <w:p w:rsidR="002E6E42" w:rsidRPr="003618F0" w:rsidRDefault="002E6E42" w:rsidP="002E6E42">
      <w:pPr>
        <w:ind w:left="1418"/>
        <w:rPr>
          <w:rFonts w:ascii="Garamond" w:hAnsi="Garamond"/>
          <w:sz w:val="24"/>
          <w:szCs w:val="24"/>
        </w:rPr>
      </w:pPr>
      <w:r w:rsidRPr="003618F0">
        <w:rPr>
          <w:rFonts w:ascii="Garamond" w:hAnsi="Garamond"/>
          <w:sz w:val="24"/>
          <w:szCs w:val="24"/>
        </w:rPr>
        <w:t xml:space="preserve">Diskussionen om Serbien och Kosovo kommer vid GAERC att äga rum i begränsat format. Ahtisaari förväntas delta i delar av diskussionen och kommer att redogöra för sitt utkast till statusuppgörelse samt för den fortsatta processen fram till överlämnandet av det slutliga statusförslaget till FN:s säkerhetsråd. </w:t>
      </w:r>
    </w:p>
    <w:p w:rsidR="002E6E42" w:rsidRPr="003618F0" w:rsidRDefault="002E6E42" w:rsidP="002E6E42">
      <w:pPr>
        <w:ind w:left="1418"/>
        <w:rPr>
          <w:rFonts w:ascii="Garamond" w:hAnsi="Garamond"/>
          <w:sz w:val="24"/>
          <w:szCs w:val="24"/>
        </w:rPr>
      </w:pPr>
    </w:p>
    <w:p w:rsidR="002962E8" w:rsidRPr="003618F0" w:rsidRDefault="002E6E42" w:rsidP="002E6E42">
      <w:pPr>
        <w:ind w:left="1418"/>
        <w:rPr>
          <w:rFonts w:ascii="Garamond" w:hAnsi="Garamond"/>
          <w:sz w:val="24"/>
          <w:szCs w:val="24"/>
        </w:rPr>
      </w:pPr>
      <w:r w:rsidRPr="003618F0">
        <w:rPr>
          <w:rFonts w:ascii="Garamond" w:hAnsi="Garamond"/>
          <w:sz w:val="24"/>
          <w:szCs w:val="24"/>
        </w:rPr>
        <w:t>Regeringen kommer att verka för att rådet sänder en tydlig signal till Serbien om att EU står berett att stödja landet i dess fortsatta EU-närmande förutsatt att den nya serbiska regeringen uppvisar vilja och för</w:t>
      </w:r>
      <w:r w:rsidR="00366B6A" w:rsidRPr="003618F0">
        <w:rPr>
          <w:rFonts w:ascii="Garamond" w:hAnsi="Garamond"/>
          <w:sz w:val="24"/>
          <w:szCs w:val="24"/>
        </w:rPr>
        <w:t>måga att leva upp till åtagande</w:t>
      </w:r>
      <w:r w:rsidRPr="003618F0">
        <w:rPr>
          <w:rFonts w:ascii="Garamond" w:hAnsi="Garamond"/>
          <w:sz w:val="24"/>
          <w:szCs w:val="24"/>
        </w:rPr>
        <w:t xml:space="preserve">na inom integrationsprocessens ram, </w:t>
      </w:r>
      <w:r w:rsidR="007E2055" w:rsidRPr="003618F0">
        <w:rPr>
          <w:rFonts w:ascii="Garamond" w:hAnsi="Garamond"/>
          <w:sz w:val="24"/>
          <w:szCs w:val="24"/>
        </w:rPr>
        <w:t>tex.</w:t>
      </w:r>
      <w:r w:rsidRPr="003618F0">
        <w:rPr>
          <w:rFonts w:ascii="Garamond" w:hAnsi="Garamond"/>
          <w:sz w:val="24"/>
          <w:szCs w:val="24"/>
        </w:rPr>
        <w:t xml:space="preserve"> samarbete med ICTY. Rörande Kosovo kommer regeringen att driva att EU ger stöd till Ahtisaaris arbete och den av honom föreslagna processen.</w:t>
      </w:r>
    </w:p>
    <w:p w:rsidR="002E6E42" w:rsidRPr="003618F0" w:rsidRDefault="002E6E42" w:rsidP="002E6E42">
      <w:pPr>
        <w:ind w:left="1418"/>
        <w:rPr>
          <w:rFonts w:ascii="Garamond" w:hAnsi="Garamond"/>
          <w:sz w:val="24"/>
          <w:szCs w:val="24"/>
        </w:rPr>
      </w:pPr>
    </w:p>
    <w:p w:rsidR="002962E8" w:rsidRPr="003618F0" w:rsidRDefault="002962E8">
      <w:pPr>
        <w:ind w:left="720" w:firstLine="720"/>
        <w:rPr>
          <w:rFonts w:ascii="Garamond" w:hAnsi="Garamond"/>
          <w:b/>
          <w:bCs/>
          <w:sz w:val="24"/>
        </w:rPr>
      </w:pPr>
      <w:bookmarkStart w:id="12" w:name="_Toc150232152"/>
      <w:bookmarkStart w:id="13" w:name="_Toc150242359"/>
      <w:r w:rsidRPr="003618F0">
        <w:rPr>
          <w:rFonts w:ascii="Garamond" w:hAnsi="Garamond"/>
          <w:b/>
          <w:bCs/>
          <w:sz w:val="24"/>
        </w:rPr>
        <w:t xml:space="preserve">5. </w:t>
      </w:r>
      <w:bookmarkEnd w:id="12"/>
      <w:bookmarkEnd w:id="13"/>
      <w:r w:rsidR="00FB1CF2" w:rsidRPr="003618F0">
        <w:rPr>
          <w:rFonts w:ascii="Garamond" w:hAnsi="Garamond"/>
          <w:b/>
          <w:bCs/>
          <w:sz w:val="24"/>
        </w:rPr>
        <w:t>(ev.) Sudan</w:t>
      </w:r>
    </w:p>
    <w:p w:rsidR="00AD5D4A" w:rsidRPr="003618F0" w:rsidRDefault="00AD5D4A" w:rsidP="00D733B3">
      <w:pPr>
        <w:ind w:left="1418"/>
        <w:rPr>
          <w:rFonts w:ascii="Garamond" w:hAnsi="Garamond"/>
          <w:b/>
          <w:bCs/>
          <w:sz w:val="24"/>
        </w:rPr>
      </w:pPr>
    </w:p>
    <w:p w:rsidR="004857B7" w:rsidRPr="003618F0" w:rsidRDefault="004857B7" w:rsidP="004857B7">
      <w:pPr>
        <w:ind w:left="1418"/>
        <w:rPr>
          <w:rFonts w:ascii="Garamond" w:hAnsi="Garamond"/>
          <w:sz w:val="24"/>
        </w:rPr>
      </w:pPr>
      <w:r w:rsidRPr="003618F0">
        <w:rPr>
          <w:rFonts w:ascii="Garamond" w:hAnsi="Garamond"/>
          <w:sz w:val="24"/>
        </w:rPr>
        <w:t>Punkten Sudan</w:t>
      </w:r>
      <w:r w:rsidR="007F2E78" w:rsidRPr="003618F0">
        <w:rPr>
          <w:rFonts w:ascii="Garamond" w:hAnsi="Garamond"/>
          <w:sz w:val="24"/>
        </w:rPr>
        <w:t xml:space="preserve"> står när detta skrivs som even</w:t>
      </w:r>
      <w:r w:rsidRPr="003618F0">
        <w:rPr>
          <w:rFonts w:ascii="Garamond" w:hAnsi="Garamond"/>
          <w:sz w:val="24"/>
        </w:rPr>
        <w:t xml:space="preserve">tuell på dagordningen. Det finns ingen information om </w:t>
      </w:r>
      <w:r w:rsidR="007F2E78" w:rsidRPr="003618F0">
        <w:rPr>
          <w:rFonts w:ascii="Garamond" w:hAnsi="Garamond"/>
          <w:sz w:val="24"/>
        </w:rPr>
        <w:t xml:space="preserve">huruvida </w:t>
      </w:r>
      <w:r w:rsidRPr="003618F0">
        <w:rPr>
          <w:rFonts w:ascii="Garamond" w:hAnsi="Garamond"/>
          <w:sz w:val="24"/>
        </w:rPr>
        <w:t>slutsatser kommer antas.</w:t>
      </w:r>
    </w:p>
    <w:p w:rsidR="004857B7" w:rsidRPr="003618F0" w:rsidRDefault="004857B7" w:rsidP="004857B7">
      <w:pPr>
        <w:ind w:left="1418"/>
        <w:rPr>
          <w:rFonts w:ascii="Garamond" w:hAnsi="Garamond"/>
          <w:sz w:val="24"/>
        </w:rPr>
      </w:pPr>
    </w:p>
    <w:p w:rsidR="004857B7" w:rsidRPr="003618F0" w:rsidRDefault="004857B7" w:rsidP="004857B7">
      <w:pPr>
        <w:ind w:left="1418"/>
        <w:rPr>
          <w:rFonts w:ascii="Garamond" w:hAnsi="Garamond"/>
          <w:sz w:val="24"/>
        </w:rPr>
      </w:pPr>
      <w:r w:rsidRPr="003618F0">
        <w:rPr>
          <w:rFonts w:ascii="Garamond" w:hAnsi="Garamond"/>
          <w:sz w:val="24"/>
        </w:rPr>
        <w:t xml:space="preserve">Om Sudan blir en punkt för GAERC kan finansieringen av Afrikanska Unionens insats i Darfur, AMIS, förväntas stå i fokus. Läget i Darfur  är ytterst allvarligt och de humanitära behoven fortsätter att vara mycket omfattande. Det internationella samfundets ansträngningar för att hjälpa den utsatta civilbefolkningen försvåras av fortsatta  attacker mot internationella aktörer och hjälparbetare. </w:t>
      </w:r>
    </w:p>
    <w:p w:rsidR="004857B7" w:rsidRPr="003618F0" w:rsidRDefault="004857B7" w:rsidP="004857B7">
      <w:pPr>
        <w:ind w:left="1418"/>
        <w:rPr>
          <w:rFonts w:ascii="Garamond" w:hAnsi="Garamond"/>
          <w:sz w:val="24"/>
        </w:rPr>
      </w:pPr>
    </w:p>
    <w:p w:rsidR="004857B7" w:rsidRPr="003618F0" w:rsidRDefault="004857B7" w:rsidP="004857B7">
      <w:pPr>
        <w:ind w:left="1418"/>
        <w:rPr>
          <w:rFonts w:ascii="Garamond" w:hAnsi="Garamond"/>
          <w:sz w:val="24"/>
        </w:rPr>
      </w:pPr>
      <w:r w:rsidRPr="003618F0">
        <w:rPr>
          <w:rFonts w:ascii="Garamond" w:hAnsi="Garamond"/>
          <w:sz w:val="24"/>
        </w:rPr>
        <w:t>Regeringen betonar behovet av enhetlig uppslutning bakom AU och FN (Sändebuden Salim Salim och Jan Eliasson) i uppdraget att söka</w:t>
      </w:r>
      <w:r w:rsidR="00807008" w:rsidRPr="003618F0">
        <w:rPr>
          <w:rFonts w:ascii="Garamond" w:hAnsi="Garamond"/>
          <w:sz w:val="24"/>
        </w:rPr>
        <w:t xml:space="preserve"> v</w:t>
      </w:r>
      <w:r w:rsidRPr="003618F0">
        <w:rPr>
          <w:rFonts w:ascii="Garamond" w:hAnsi="Garamond"/>
          <w:sz w:val="24"/>
        </w:rPr>
        <w:t>erka för en politisk lösning på krisen i Darfur. Regeringen fortsätter stödja AMIS och utsträcka humanitärt stöd till befolkningen i Darfur.</w:t>
      </w:r>
    </w:p>
    <w:p w:rsidR="002962E8" w:rsidRPr="003618F0" w:rsidRDefault="002962E8">
      <w:pPr>
        <w:rPr>
          <w:rFonts w:ascii="Garamond" w:hAnsi="Garamond"/>
          <w:sz w:val="24"/>
        </w:rPr>
      </w:pPr>
    </w:p>
    <w:p w:rsidR="002962E8" w:rsidRPr="003618F0" w:rsidRDefault="002962E8">
      <w:pPr>
        <w:ind w:left="720" w:firstLine="720"/>
        <w:rPr>
          <w:rFonts w:ascii="Garamond" w:hAnsi="Garamond"/>
          <w:b/>
          <w:bCs/>
          <w:sz w:val="24"/>
        </w:rPr>
      </w:pPr>
      <w:bookmarkStart w:id="14" w:name="_Toc150232153"/>
      <w:bookmarkStart w:id="15" w:name="_Toc150242360"/>
      <w:r w:rsidRPr="003618F0">
        <w:rPr>
          <w:rFonts w:ascii="Garamond" w:hAnsi="Garamond"/>
          <w:b/>
          <w:bCs/>
          <w:sz w:val="24"/>
        </w:rPr>
        <w:t xml:space="preserve">6. </w:t>
      </w:r>
      <w:bookmarkEnd w:id="14"/>
      <w:bookmarkEnd w:id="15"/>
      <w:r w:rsidR="00FB1CF2" w:rsidRPr="003618F0">
        <w:rPr>
          <w:rFonts w:ascii="Garamond" w:hAnsi="Garamond"/>
          <w:b/>
          <w:bCs/>
          <w:sz w:val="24"/>
        </w:rPr>
        <w:t>(ev.) Somalia</w:t>
      </w:r>
    </w:p>
    <w:p w:rsidR="00CD6318" w:rsidRPr="003618F0" w:rsidRDefault="00CD6318">
      <w:pPr>
        <w:ind w:left="720" w:firstLine="720"/>
        <w:rPr>
          <w:rFonts w:ascii="Garamond" w:hAnsi="Garamond"/>
          <w:sz w:val="24"/>
        </w:rPr>
      </w:pPr>
    </w:p>
    <w:p w:rsidR="00E075D2" w:rsidRPr="003618F0" w:rsidRDefault="00E075D2" w:rsidP="00E075D2">
      <w:pPr>
        <w:ind w:left="1418"/>
        <w:rPr>
          <w:rFonts w:ascii="Garamond" w:hAnsi="Garamond"/>
          <w:sz w:val="24"/>
        </w:rPr>
      </w:pPr>
      <w:r w:rsidRPr="003618F0">
        <w:rPr>
          <w:rFonts w:ascii="Garamond" w:hAnsi="Garamond"/>
          <w:sz w:val="24"/>
        </w:rPr>
        <w:t xml:space="preserve">I skrivande stund oklart om Somalia blir diskussionspunkt eller A-punkt. </w:t>
      </w:r>
    </w:p>
    <w:p w:rsidR="00E075D2" w:rsidRPr="003618F0" w:rsidRDefault="00E075D2" w:rsidP="00E075D2">
      <w:pPr>
        <w:ind w:left="1418"/>
        <w:rPr>
          <w:rFonts w:ascii="Garamond" w:hAnsi="Garamond"/>
          <w:sz w:val="24"/>
        </w:rPr>
      </w:pPr>
    </w:p>
    <w:p w:rsidR="002962E8" w:rsidRPr="003618F0" w:rsidRDefault="00E075D2" w:rsidP="00E075D2">
      <w:pPr>
        <w:ind w:left="1418"/>
        <w:rPr>
          <w:rFonts w:ascii="Garamond" w:hAnsi="Garamond"/>
          <w:sz w:val="24"/>
        </w:rPr>
      </w:pPr>
      <w:r w:rsidRPr="003618F0">
        <w:rPr>
          <w:rFonts w:ascii="Garamond" w:hAnsi="Garamond"/>
          <w:sz w:val="24"/>
        </w:rPr>
        <w:t xml:space="preserve">Eventuella rådslutsatser </w:t>
      </w:r>
      <w:r w:rsidR="00B05570" w:rsidRPr="003618F0">
        <w:rPr>
          <w:rFonts w:ascii="Garamond" w:hAnsi="Garamond"/>
          <w:sz w:val="24"/>
        </w:rPr>
        <w:t xml:space="preserve">eller diskussion </w:t>
      </w:r>
      <w:r w:rsidRPr="003618F0">
        <w:rPr>
          <w:rFonts w:ascii="Garamond" w:hAnsi="Garamond"/>
          <w:sz w:val="24"/>
        </w:rPr>
        <w:t>förväntas fokusera på EU:s samlade möjligheter att bidra till en politisk lösning samt stöd till den Afrikanska Unionens stabilitetsstyrka, AMISOM. Ett gemensamt optionspapper från Rådssekretariatet och Kommissionen utgör underlag för EU:s överväganden.</w:t>
      </w:r>
    </w:p>
    <w:p w:rsidR="00E075D2" w:rsidRPr="003618F0" w:rsidRDefault="00E075D2">
      <w:pPr>
        <w:rPr>
          <w:rFonts w:ascii="Garamond" w:hAnsi="Garamond"/>
          <w:sz w:val="24"/>
        </w:rPr>
      </w:pPr>
    </w:p>
    <w:p w:rsidR="002962E8" w:rsidRPr="003618F0" w:rsidRDefault="002962E8" w:rsidP="0001213C">
      <w:pPr>
        <w:ind w:left="1701" w:hanging="261"/>
        <w:rPr>
          <w:rFonts w:ascii="Garamond" w:hAnsi="Garamond"/>
          <w:b/>
          <w:bCs/>
          <w:sz w:val="24"/>
        </w:rPr>
      </w:pPr>
      <w:bookmarkStart w:id="16" w:name="_Toc150232154"/>
      <w:bookmarkStart w:id="17" w:name="_Toc150242361"/>
      <w:r w:rsidRPr="003618F0">
        <w:rPr>
          <w:rFonts w:ascii="Garamond" w:hAnsi="Garamond"/>
          <w:b/>
          <w:bCs/>
          <w:sz w:val="24"/>
        </w:rPr>
        <w:t xml:space="preserve">7. </w:t>
      </w:r>
      <w:bookmarkEnd w:id="16"/>
      <w:bookmarkEnd w:id="17"/>
      <w:r w:rsidR="00FB1CF2" w:rsidRPr="003618F0">
        <w:rPr>
          <w:rFonts w:ascii="Garamond" w:hAnsi="Garamond"/>
          <w:b/>
          <w:bCs/>
          <w:sz w:val="24"/>
        </w:rPr>
        <w:t>Afghanistan</w:t>
      </w:r>
    </w:p>
    <w:p w:rsidR="002962E8" w:rsidRPr="003618F0" w:rsidRDefault="002962E8">
      <w:pPr>
        <w:ind w:left="720" w:firstLine="720"/>
        <w:rPr>
          <w:rFonts w:ascii="Garamond" w:hAnsi="Garamond"/>
          <w:sz w:val="24"/>
        </w:rPr>
      </w:pPr>
      <w:bookmarkStart w:id="18" w:name="_Toc150232155"/>
      <w:bookmarkStart w:id="19" w:name="_Toc150242362"/>
    </w:p>
    <w:p w:rsidR="00E94B97" w:rsidRPr="003618F0" w:rsidRDefault="00E94B97" w:rsidP="00E94B97">
      <w:pPr>
        <w:ind w:left="1418"/>
        <w:rPr>
          <w:rFonts w:ascii="Garamond" w:hAnsi="Garamond"/>
          <w:sz w:val="24"/>
        </w:rPr>
      </w:pPr>
      <w:r w:rsidRPr="003618F0">
        <w:rPr>
          <w:rFonts w:ascii="Garamond" w:hAnsi="Garamond"/>
          <w:sz w:val="24"/>
        </w:rPr>
        <w:t>GAERC väntas anta kr</w:t>
      </w:r>
      <w:r w:rsidR="0053396A" w:rsidRPr="003618F0">
        <w:rPr>
          <w:rFonts w:ascii="Garamond" w:hAnsi="Garamond"/>
          <w:sz w:val="24"/>
        </w:rPr>
        <w:t>ishanteringskoncept för en ESDP-</w:t>
      </w:r>
      <w:r w:rsidRPr="003618F0">
        <w:rPr>
          <w:rFonts w:ascii="Garamond" w:hAnsi="Garamond"/>
          <w:sz w:val="24"/>
        </w:rPr>
        <w:t xml:space="preserve">polisinsats i Afghanistan. </w:t>
      </w:r>
      <w:r w:rsidR="0053396A" w:rsidRPr="003618F0">
        <w:rPr>
          <w:rFonts w:ascii="Garamond" w:hAnsi="Garamond"/>
          <w:sz w:val="24"/>
        </w:rPr>
        <w:t>SG/</w:t>
      </w:r>
      <w:r w:rsidRPr="003618F0">
        <w:rPr>
          <w:rFonts w:ascii="Garamond" w:hAnsi="Garamond"/>
          <w:sz w:val="24"/>
        </w:rPr>
        <w:t xml:space="preserve">HR Solana </w:t>
      </w:r>
      <w:r w:rsidR="0053396A" w:rsidRPr="003618F0">
        <w:rPr>
          <w:rFonts w:ascii="Garamond" w:hAnsi="Garamond"/>
          <w:sz w:val="24"/>
        </w:rPr>
        <w:t>väntas</w:t>
      </w:r>
      <w:r w:rsidRPr="003618F0">
        <w:rPr>
          <w:rFonts w:ascii="Garamond" w:hAnsi="Garamond"/>
          <w:sz w:val="24"/>
        </w:rPr>
        <w:t xml:space="preserve"> på mötet ge sin syn på polisinsatsen </w:t>
      </w:r>
      <w:r w:rsidR="000231D1" w:rsidRPr="003618F0">
        <w:rPr>
          <w:rFonts w:ascii="Garamond" w:hAnsi="Garamond"/>
          <w:sz w:val="24"/>
        </w:rPr>
        <w:t>och Ordf väntas ange hur det</w:t>
      </w:r>
      <w:r w:rsidRPr="003618F0">
        <w:rPr>
          <w:rFonts w:ascii="Garamond" w:hAnsi="Garamond"/>
          <w:sz w:val="24"/>
        </w:rPr>
        <w:t xml:space="preserve"> fortsatta arbetet med denna insats ska läggas upp under våren. Ordf väntas rapportera från EU</w:t>
      </w:r>
      <w:r w:rsidR="006A6EF5" w:rsidRPr="003618F0">
        <w:rPr>
          <w:rFonts w:ascii="Garamond" w:hAnsi="Garamond"/>
          <w:sz w:val="24"/>
        </w:rPr>
        <w:t>-trojka</w:t>
      </w:r>
      <w:r w:rsidRPr="003618F0">
        <w:rPr>
          <w:rFonts w:ascii="Garamond" w:hAnsi="Garamond"/>
          <w:sz w:val="24"/>
        </w:rPr>
        <w:t>möte med Afghanistan</w:t>
      </w:r>
      <w:r w:rsidR="000231D1" w:rsidRPr="003618F0">
        <w:rPr>
          <w:rFonts w:ascii="Garamond" w:hAnsi="Garamond"/>
          <w:sz w:val="24"/>
        </w:rPr>
        <w:t>. Slutsatser väntas antas om EU:s engagemang för Afghanistan</w:t>
      </w:r>
      <w:r w:rsidRPr="003618F0">
        <w:rPr>
          <w:rFonts w:ascii="Garamond" w:hAnsi="Garamond"/>
          <w:sz w:val="24"/>
        </w:rPr>
        <w:t xml:space="preserve"> och den planerade ESDP polisinsatsen.</w:t>
      </w:r>
    </w:p>
    <w:p w:rsidR="00E94B97" w:rsidRPr="003618F0" w:rsidRDefault="00E94B97" w:rsidP="00E94B97">
      <w:pPr>
        <w:ind w:left="1418"/>
        <w:rPr>
          <w:rFonts w:ascii="Garamond" w:hAnsi="Garamond"/>
          <w:sz w:val="24"/>
        </w:rPr>
      </w:pPr>
    </w:p>
    <w:p w:rsidR="00912CDB" w:rsidRPr="003618F0" w:rsidRDefault="00E94B97" w:rsidP="00E94B97">
      <w:pPr>
        <w:ind w:left="1418"/>
        <w:rPr>
          <w:rFonts w:ascii="Garamond" w:hAnsi="Garamond"/>
          <w:sz w:val="24"/>
        </w:rPr>
      </w:pPr>
      <w:r w:rsidRPr="003618F0">
        <w:rPr>
          <w:rFonts w:ascii="Garamond" w:hAnsi="Garamond"/>
          <w:sz w:val="24"/>
        </w:rPr>
        <w:t xml:space="preserve">Säkerhetspolitiska skäl talar för ett ökat EU-engagemang i Afghanistan. Regeringen </w:t>
      </w:r>
      <w:r w:rsidR="000231D1" w:rsidRPr="003618F0">
        <w:rPr>
          <w:rFonts w:ascii="Garamond" w:hAnsi="Garamond"/>
          <w:sz w:val="24"/>
        </w:rPr>
        <w:t>ser positivt på en ESDP-</w:t>
      </w:r>
      <w:r w:rsidRPr="003618F0">
        <w:rPr>
          <w:rFonts w:ascii="Garamond" w:hAnsi="Garamond"/>
          <w:sz w:val="24"/>
        </w:rPr>
        <w:t>polisinsats i Afghanistan. Behoven i A</w:t>
      </w:r>
      <w:r w:rsidR="006A6EF5" w:rsidRPr="003618F0">
        <w:rPr>
          <w:rFonts w:ascii="Garamond" w:hAnsi="Garamond"/>
          <w:sz w:val="24"/>
        </w:rPr>
        <w:t>fghanistan är stora och en ESDP-p</w:t>
      </w:r>
      <w:r w:rsidRPr="003618F0">
        <w:rPr>
          <w:rFonts w:ascii="Garamond" w:hAnsi="Garamond"/>
          <w:sz w:val="24"/>
        </w:rPr>
        <w:t>olisinsats skulle komplettera Sveriges och andra EU-länders militära bidrag. En insats som samlar EU-ländernas resurser skulle kunna få den positiva effekten att EU får en ledande roll på polisområdet och att insatserna på området får en tydligare samordning.</w:t>
      </w:r>
    </w:p>
    <w:p w:rsidR="00E94B97" w:rsidRPr="003618F0" w:rsidRDefault="00E94B97" w:rsidP="00E94B97">
      <w:pPr>
        <w:ind w:left="720" w:firstLine="720"/>
        <w:rPr>
          <w:rFonts w:ascii="Garamond" w:hAnsi="Garamond"/>
          <w:b/>
          <w:bCs/>
          <w:sz w:val="24"/>
        </w:rPr>
      </w:pPr>
    </w:p>
    <w:p w:rsidR="00482159" w:rsidRPr="003618F0" w:rsidRDefault="00482159" w:rsidP="00482159">
      <w:pPr>
        <w:ind w:left="1701" w:hanging="261"/>
        <w:rPr>
          <w:rFonts w:ascii="Garamond" w:hAnsi="Garamond"/>
          <w:b/>
          <w:bCs/>
          <w:sz w:val="24"/>
        </w:rPr>
      </w:pPr>
      <w:r w:rsidRPr="003618F0">
        <w:rPr>
          <w:rFonts w:ascii="Garamond" w:hAnsi="Garamond"/>
          <w:b/>
          <w:bCs/>
          <w:sz w:val="24"/>
        </w:rPr>
        <w:t>8. Iran</w:t>
      </w:r>
    </w:p>
    <w:p w:rsidR="00482159" w:rsidRPr="003618F0" w:rsidRDefault="00482159" w:rsidP="00482159">
      <w:pPr>
        <w:ind w:left="720" w:firstLine="720"/>
        <w:rPr>
          <w:rFonts w:ascii="Garamond" w:hAnsi="Garamond"/>
          <w:sz w:val="24"/>
        </w:rPr>
      </w:pPr>
    </w:p>
    <w:p w:rsidR="00E00E17" w:rsidRPr="003618F0" w:rsidRDefault="00E00E17" w:rsidP="00E00E17">
      <w:pPr>
        <w:ind w:left="1418"/>
        <w:rPr>
          <w:rFonts w:ascii="Garamond" w:hAnsi="Garamond"/>
          <w:bCs/>
          <w:sz w:val="24"/>
        </w:rPr>
      </w:pPr>
      <w:r w:rsidRPr="003618F0">
        <w:rPr>
          <w:rFonts w:ascii="Garamond" w:hAnsi="Garamond"/>
          <w:bCs/>
          <w:sz w:val="24"/>
        </w:rPr>
        <w:t>Diskussionspunkt.</w:t>
      </w:r>
    </w:p>
    <w:p w:rsidR="00E00E17" w:rsidRPr="003618F0" w:rsidRDefault="00E00E17" w:rsidP="00E00E17">
      <w:pPr>
        <w:ind w:left="1418"/>
        <w:rPr>
          <w:rFonts w:ascii="Garamond" w:hAnsi="Garamond"/>
          <w:bCs/>
          <w:sz w:val="24"/>
        </w:rPr>
      </w:pPr>
    </w:p>
    <w:p w:rsidR="00482159" w:rsidRPr="003618F0" w:rsidRDefault="00D74E37" w:rsidP="00E00E17">
      <w:pPr>
        <w:ind w:left="1418"/>
        <w:rPr>
          <w:rFonts w:ascii="Garamond" w:hAnsi="Garamond"/>
          <w:bCs/>
          <w:sz w:val="24"/>
        </w:rPr>
      </w:pPr>
      <w:r w:rsidRPr="003618F0">
        <w:rPr>
          <w:rFonts w:ascii="Garamond" w:hAnsi="Garamond"/>
          <w:bCs/>
          <w:sz w:val="24"/>
        </w:rPr>
        <w:t>SG/</w:t>
      </w:r>
      <w:r w:rsidR="00E00E17" w:rsidRPr="003618F0">
        <w:rPr>
          <w:rFonts w:ascii="Garamond" w:hAnsi="Garamond"/>
          <w:bCs/>
          <w:sz w:val="24"/>
        </w:rPr>
        <w:t xml:space="preserve">HR Solana kommer att presentera ett reflektionspapper om EUs politik gentemot Iran. En bred diskussion om relationerna till Iran i sin helhet inklusive situationen för de mänskliga rättigheterna, landets regionala roll och den politiska och ekonomiska utvecklingen förutses. Syftet är att denna diskussion skall ge vägledning för formuleringen av policyrelevanta rådsslutsatser vid GAERC i mars. Ingen diskussion om utvecklingen i den nukleära frågan förutses i dagsläget. </w:t>
      </w:r>
      <w:r w:rsidR="007A3015" w:rsidRPr="003618F0">
        <w:rPr>
          <w:rFonts w:ascii="Garamond" w:hAnsi="Garamond"/>
          <w:bCs/>
          <w:sz w:val="24"/>
        </w:rPr>
        <w:t>(</w:t>
      </w:r>
      <w:r w:rsidR="00E00E17" w:rsidRPr="003618F0">
        <w:rPr>
          <w:rFonts w:ascii="Garamond" w:hAnsi="Garamond"/>
          <w:bCs/>
          <w:sz w:val="24"/>
        </w:rPr>
        <w:t>Diskussioner om EU:s implementering av FNs säkerhetsrådsresolution 1737 pågår i Relex-kommittén och förväntas inte tas upp på ministernivå.</w:t>
      </w:r>
      <w:r w:rsidR="00DE240B" w:rsidRPr="003618F0">
        <w:rPr>
          <w:rFonts w:ascii="Garamond" w:hAnsi="Garamond"/>
          <w:bCs/>
          <w:sz w:val="24"/>
        </w:rPr>
        <w:t>)</w:t>
      </w:r>
      <w:r w:rsidR="007A3015" w:rsidRPr="003618F0">
        <w:rPr>
          <w:rFonts w:ascii="Garamond" w:hAnsi="Garamond"/>
          <w:bCs/>
          <w:sz w:val="24"/>
        </w:rPr>
        <w:t xml:space="preserve"> </w:t>
      </w:r>
      <w:r w:rsidR="00DC11B9" w:rsidRPr="003618F0">
        <w:rPr>
          <w:rFonts w:ascii="Garamond" w:hAnsi="Garamond"/>
          <w:bCs/>
          <w:sz w:val="24"/>
        </w:rPr>
        <w:t>Regeringen anser att EU bör ha en mångfacetterad strategi gentemot Iran med resolut agerande inom för EU kritiska områden (tex. mänskliga rättigheter och ickespridning) kombinerat med försök att engagera Iran i andra frågor.</w:t>
      </w:r>
    </w:p>
    <w:p w:rsidR="00482159" w:rsidRPr="003618F0" w:rsidRDefault="00482159" w:rsidP="00E94B97">
      <w:pPr>
        <w:ind w:left="720" w:firstLine="720"/>
        <w:rPr>
          <w:rFonts w:ascii="Garamond" w:hAnsi="Garamond"/>
          <w:b/>
          <w:bCs/>
          <w:sz w:val="24"/>
        </w:rPr>
      </w:pPr>
    </w:p>
    <w:p w:rsidR="002962E8" w:rsidRPr="003618F0" w:rsidRDefault="00482159" w:rsidP="00EC77DA">
      <w:pPr>
        <w:ind w:left="1701" w:hanging="261"/>
        <w:rPr>
          <w:rFonts w:ascii="Garamond" w:hAnsi="Garamond"/>
          <w:b/>
          <w:bCs/>
          <w:sz w:val="24"/>
        </w:rPr>
      </w:pPr>
      <w:r w:rsidRPr="003618F0">
        <w:rPr>
          <w:rFonts w:ascii="Garamond" w:hAnsi="Garamond"/>
          <w:b/>
          <w:bCs/>
          <w:sz w:val="24"/>
        </w:rPr>
        <w:t>9</w:t>
      </w:r>
      <w:r w:rsidR="0001213C" w:rsidRPr="003618F0">
        <w:rPr>
          <w:rFonts w:ascii="Garamond" w:hAnsi="Garamond"/>
          <w:b/>
          <w:bCs/>
          <w:sz w:val="24"/>
        </w:rPr>
        <w:t xml:space="preserve">. </w:t>
      </w:r>
      <w:r w:rsidR="00893FA1" w:rsidRPr="003618F0">
        <w:rPr>
          <w:rFonts w:ascii="Garamond" w:hAnsi="Garamond"/>
          <w:b/>
          <w:bCs/>
          <w:sz w:val="24"/>
        </w:rPr>
        <w:t>Fredsprocessen i Mellanöstern</w:t>
      </w:r>
    </w:p>
    <w:bookmarkEnd w:id="18"/>
    <w:bookmarkEnd w:id="19"/>
    <w:p w:rsidR="0049559A" w:rsidRPr="003618F0" w:rsidRDefault="0049559A" w:rsidP="00C12E21">
      <w:pPr>
        <w:ind w:left="720" w:firstLine="720"/>
        <w:rPr>
          <w:rFonts w:ascii="Garamond" w:hAnsi="Garamond"/>
          <w:sz w:val="24"/>
        </w:rPr>
      </w:pPr>
    </w:p>
    <w:p w:rsidR="006A6EF5" w:rsidRPr="003618F0" w:rsidRDefault="006A6EF5" w:rsidP="006A6EF5">
      <w:pPr>
        <w:ind w:left="1418"/>
        <w:rPr>
          <w:rFonts w:ascii="Garamond" w:hAnsi="Garamond"/>
          <w:sz w:val="24"/>
        </w:rPr>
      </w:pPr>
      <w:r w:rsidRPr="003618F0">
        <w:rPr>
          <w:rFonts w:ascii="Garamond" w:hAnsi="Garamond"/>
          <w:sz w:val="24"/>
        </w:rPr>
        <w:t>Rådet kommer att diskutera den senaste utvecklingen i Mellanöstern och anta slutsatser. Diskussionen kommer att fokusera på uppföljningen av Kvartettens möte den 2 februari. Det är angeläget att Europeiska unionen bidrar till att det trilaterala mötet mellan premiärminister Olmert, president Abbas och utrikesminister Rice blir framgångsrikt. Regeringen vill här särskilt lägga vikt vid att rörelsefriheten måste förbättras på de palestinska områdena. Det är även viktigt att EU söker motverka det tilltagande våldet. Terroristattacken i Eilat måste fördömas. Motsättningarna mellan Fatah och Hamas måste lösa</w:t>
      </w:r>
      <w:r w:rsidR="00A944A6" w:rsidRPr="003618F0">
        <w:rPr>
          <w:rFonts w:ascii="Garamond" w:hAnsi="Garamond"/>
          <w:sz w:val="24"/>
        </w:rPr>
        <w:t>s med fredliga och legala medel</w:t>
      </w:r>
      <w:r w:rsidRPr="003618F0">
        <w:rPr>
          <w:rFonts w:ascii="Garamond" w:hAnsi="Garamond"/>
          <w:sz w:val="24"/>
        </w:rPr>
        <w:t xml:space="preserve">. </w:t>
      </w:r>
    </w:p>
    <w:p w:rsidR="006A6EF5" w:rsidRPr="003618F0" w:rsidRDefault="006A6EF5" w:rsidP="006A6EF5">
      <w:pPr>
        <w:ind w:left="1418"/>
        <w:rPr>
          <w:rFonts w:ascii="Garamond" w:hAnsi="Garamond"/>
          <w:sz w:val="24"/>
        </w:rPr>
      </w:pPr>
    </w:p>
    <w:p w:rsidR="002E7875" w:rsidRPr="003618F0" w:rsidRDefault="006A6EF5" w:rsidP="006A6EF5">
      <w:pPr>
        <w:ind w:left="1418"/>
        <w:rPr>
          <w:rFonts w:ascii="Garamond" w:hAnsi="Garamond"/>
          <w:sz w:val="24"/>
        </w:rPr>
      </w:pPr>
      <w:r w:rsidRPr="003618F0">
        <w:rPr>
          <w:rFonts w:ascii="Garamond" w:hAnsi="Garamond"/>
          <w:sz w:val="24"/>
        </w:rPr>
        <w:t xml:space="preserve">Regeringen fäster stor vikt vid frågan om hur EU  - och det internationella samfundet som helhet - med kraft skall kunna bidra till det palestinska statsbyggandet den dag en fredsprocess möjliggör detta. </w:t>
      </w:r>
      <w:r w:rsidR="00FD412D" w:rsidRPr="003618F0">
        <w:rPr>
          <w:rFonts w:ascii="Garamond" w:hAnsi="Garamond"/>
          <w:sz w:val="24"/>
        </w:rPr>
        <w:t xml:space="preserve">Sverige fortsätter biståndssamarbetet med offentlig verksamhet i de palestinska områdena, förutsatt att stödet går direkt till avgränsade och speciellt utvalda projekt, under noggrann kontroll och uppföljning från svensk sida, i syfte att säkerställa att pengarna varken direkt eller indirekt går till av EU terroristlistad organisation. </w:t>
      </w:r>
      <w:r w:rsidRPr="003618F0">
        <w:rPr>
          <w:rFonts w:ascii="Garamond" w:hAnsi="Garamond"/>
          <w:sz w:val="24"/>
        </w:rPr>
        <w:t>Redan i nuläget gör inte minst Sverige betydande insatser för att stärka de palestinska institutionerna.</w:t>
      </w:r>
    </w:p>
    <w:p w:rsidR="002962E8" w:rsidRPr="003618F0" w:rsidRDefault="002962E8">
      <w:pPr>
        <w:pStyle w:val="Rubrik2"/>
        <w:ind w:left="720" w:firstLine="720"/>
        <w:rPr>
          <w:i w:val="0"/>
        </w:rPr>
      </w:pPr>
      <w:r w:rsidRPr="003618F0">
        <w:t>I anslutning till mötet</w:t>
      </w:r>
    </w:p>
    <w:p w:rsidR="002962E8" w:rsidRPr="003618F0" w:rsidRDefault="002962E8">
      <w:pPr>
        <w:rPr>
          <w:rFonts w:ascii="Garamond" w:hAnsi="Garamond"/>
          <w:b/>
          <w:bCs/>
          <w:sz w:val="24"/>
        </w:rPr>
      </w:pPr>
    </w:p>
    <w:bookmarkEnd w:id="1"/>
    <w:p w:rsidR="002962E8" w:rsidRPr="003618F0" w:rsidRDefault="00231161">
      <w:pPr>
        <w:ind w:left="720" w:firstLine="720"/>
        <w:rPr>
          <w:rFonts w:ascii="Garamond" w:hAnsi="Garamond"/>
          <w:b/>
          <w:bCs/>
          <w:sz w:val="24"/>
        </w:rPr>
      </w:pPr>
      <w:r w:rsidRPr="003618F0">
        <w:rPr>
          <w:rFonts w:ascii="Garamond" w:hAnsi="Garamond"/>
          <w:b/>
          <w:bCs/>
          <w:sz w:val="24"/>
        </w:rPr>
        <w:t xml:space="preserve">- </w:t>
      </w:r>
      <w:r w:rsidR="0052129D" w:rsidRPr="003618F0">
        <w:rPr>
          <w:rFonts w:ascii="Garamond" w:hAnsi="Garamond"/>
          <w:b/>
          <w:bCs/>
          <w:sz w:val="24"/>
        </w:rPr>
        <w:t>Utri</w:t>
      </w:r>
      <w:r w:rsidR="00FB1CF2" w:rsidRPr="003618F0">
        <w:rPr>
          <w:rFonts w:ascii="Garamond" w:hAnsi="Garamond"/>
          <w:b/>
          <w:bCs/>
          <w:sz w:val="24"/>
        </w:rPr>
        <w:t>kesministermöte med västra Balkan-länderna</w:t>
      </w:r>
    </w:p>
    <w:p w:rsidR="00231161" w:rsidRPr="003618F0" w:rsidRDefault="00231161">
      <w:pPr>
        <w:ind w:left="720" w:firstLine="720"/>
        <w:rPr>
          <w:rFonts w:ascii="Garamond" w:hAnsi="Garamond"/>
          <w:b/>
          <w:bCs/>
          <w:sz w:val="24"/>
        </w:rPr>
      </w:pPr>
    </w:p>
    <w:p w:rsidR="008E2468" w:rsidRPr="003618F0" w:rsidRDefault="00FA1A4B" w:rsidP="008E2468">
      <w:pPr>
        <w:ind w:left="1418"/>
        <w:rPr>
          <w:rFonts w:ascii="Garamond" w:hAnsi="Garamond"/>
          <w:bCs/>
          <w:sz w:val="24"/>
        </w:rPr>
      </w:pPr>
      <w:r w:rsidRPr="003618F0">
        <w:rPr>
          <w:rFonts w:ascii="Garamond" w:hAnsi="Garamond"/>
          <w:bCs/>
          <w:sz w:val="24"/>
        </w:rPr>
        <w:t>Efter det ordinarie GAERC-mötet genomförs även ett med Balkanländerna gemensamt ministermöte. Detta innebär ytterligare ett tillfälle för EU:s medlemsstater att förmedla sin synpunkter på utvecklingen i regionen som helhet med utgångspunkt från den sk. Thessalonikiagendan.</w:t>
      </w:r>
      <w:r w:rsidR="008E2468" w:rsidRPr="003618F0">
        <w:rPr>
          <w:rFonts w:ascii="Garamond" w:hAnsi="Garamond"/>
          <w:bCs/>
          <w:sz w:val="24"/>
        </w:rPr>
        <w:t>.</w:t>
      </w:r>
    </w:p>
    <w:p w:rsidR="00A76075" w:rsidRPr="003618F0" w:rsidRDefault="00A76075">
      <w:pPr>
        <w:ind w:left="720" w:firstLine="720"/>
        <w:rPr>
          <w:rFonts w:ascii="Garamond" w:hAnsi="Garamond"/>
          <w:b/>
          <w:bCs/>
          <w:sz w:val="24"/>
        </w:rPr>
      </w:pPr>
    </w:p>
    <w:p w:rsidR="00231161" w:rsidRPr="003618F0" w:rsidRDefault="00231161">
      <w:pPr>
        <w:ind w:left="720" w:firstLine="720"/>
        <w:rPr>
          <w:rFonts w:ascii="Garamond" w:hAnsi="Garamond"/>
          <w:b/>
          <w:bCs/>
          <w:sz w:val="24"/>
        </w:rPr>
      </w:pPr>
      <w:r w:rsidRPr="003618F0">
        <w:rPr>
          <w:rFonts w:ascii="Garamond" w:hAnsi="Garamond"/>
          <w:b/>
          <w:bCs/>
          <w:sz w:val="24"/>
        </w:rPr>
        <w:t xml:space="preserve">- </w:t>
      </w:r>
      <w:r w:rsidR="00FB1CF2" w:rsidRPr="003618F0">
        <w:rPr>
          <w:rFonts w:ascii="Garamond" w:hAnsi="Garamond"/>
          <w:b/>
          <w:bCs/>
          <w:sz w:val="24"/>
        </w:rPr>
        <w:t>Samarbetsråd EU-Kazakstan</w:t>
      </w:r>
    </w:p>
    <w:p w:rsidR="00231161" w:rsidRPr="003618F0" w:rsidRDefault="00231161">
      <w:pPr>
        <w:ind w:left="720" w:firstLine="720"/>
        <w:rPr>
          <w:rFonts w:ascii="Garamond" w:hAnsi="Garamond"/>
          <w:b/>
          <w:bCs/>
          <w:sz w:val="24"/>
        </w:rPr>
      </w:pPr>
    </w:p>
    <w:p w:rsidR="002962E8" w:rsidRPr="003618F0" w:rsidRDefault="00BE5304">
      <w:pPr>
        <w:ind w:left="1440"/>
        <w:rPr>
          <w:rFonts w:ascii="Garamond" w:hAnsi="Garamond"/>
          <w:sz w:val="24"/>
        </w:rPr>
      </w:pPr>
      <w:r w:rsidRPr="003618F0">
        <w:rPr>
          <w:rFonts w:ascii="Garamond" w:hAnsi="Garamond"/>
          <w:sz w:val="24"/>
        </w:rPr>
        <w:t>I anslutning till GAERC kommer, inom ramen för det Partnerskaps- och samarbetsavtal, som EU har med Kazakstan, det nionde  samarbetsrådet mellan EU och Kazakstan att hållas. Vid mötet kommer EU att notera den positiva utvecklingen i Kazakstan. EU kommer också att framhålla nödvändigheten av fortsatta politiska reformer och behovet av att förbättra inve</w:t>
      </w:r>
      <w:r w:rsidR="00800247" w:rsidRPr="003618F0">
        <w:rPr>
          <w:rFonts w:ascii="Garamond" w:hAnsi="Garamond"/>
          <w:sz w:val="24"/>
        </w:rPr>
        <w:t>steringsklimatet. EU:s avsikt</w:t>
      </w:r>
      <w:r w:rsidRPr="003618F0">
        <w:rPr>
          <w:rFonts w:ascii="Garamond" w:hAnsi="Garamond"/>
          <w:sz w:val="24"/>
        </w:rPr>
        <w:t xml:space="preserve"> att utöka samarbetet på energiområdet kommer att framhållas. Vidare kommer Kazakstan att uppmanas att förbättra sin gränsbevakning och migrationshantering samt att fullt ut utnyttja den potential till samarbete med EU, som finns inom PSA. Vikten av regionalt samarbete i Centralasien kommer också att framhållas liksom Kazakstans nyckelroll när det gäller att främja ett sådant samarbete. </w:t>
      </w:r>
      <w:r w:rsidR="008E2468" w:rsidRPr="003618F0">
        <w:rPr>
          <w:rFonts w:ascii="Garamond" w:hAnsi="Garamond"/>
          <w:sz w:val="24"/>
        </w:rPr>
        <w:t xml:space="preserve"> </w:t>
      </w:r>
      <w:r w:rsidR="008E2468" w:rsidRPr="003618F0">
        <w:rPr>
          <w:rFonts w:ascii="Garamond" w:hAnsi="Garamond"/>
          <w:sz w:val="24"/>
        </w:rPr>
        <w:cr/>
      </w:r>
    </w:p>
    <w:p w:rsidR="00FB1CF2" w:rsidRPr="003618F0" w:rsidRDefault="00FB1CF2" w:rsidP="00FB1CF2">
      <w:pPr>
        <w:ind w:left="720" w:firstLine="720"/>
        <w:rPr>
          <w:rFonts w:ascii="Garamond" w:hAnsi="Garamond"/>
          <w:b/>
          <w:bCs/>
          <w:sz w:val="24"/>
        </w:rPr>
      </w:pPr>
      <w:r w:rsidRPr="003618F0">
        <w:rPr>
          <w:rFonts w:ascii="Garamond" w:hAnsi="Garamond"/>
          <w:b/>
          <w:bCs/>
          <w:sz w:val="24"/>
        </w:rPr>
        <w:t>- Samarbetsråd EU-Kirgizistan</w:t>
      </w:r>
    </w:p>
    <w:p w:rsidR="002962E8" w:rsidRPr="003618F0" w:rsidRDefault="002962E8" w:rsidP="003B5F60">
      <w:pPr>
        <w:ind w:left="1440"/>
        <w:rPr>
          <w:rFonts w:ascii="Garamond" w:hAnsi="Garamond"/>
          <w:sz w:val="24"/>
        </w:rPr>
      </w:pPr>
    </w:p>
    <w:p w:rsidR="00FB1CF2" w:rsidRPr="003618F0" w:rsidRDefault="00BE5304" w:rsidP="003B5F60">
      <w:pPr>
        <w:ind w:left="1440"/>
        <w:rPr>
          <w:rFonts w:ascii="Garamond" w:hAnsi="Garamond"/>
          <w:sz w:val="24"/>
        </w:rPr>
      </w:pPr>
      <w:r w:rsidRPr="003618F0">
        <w:rPr>
          <w:rFonts w:ascii="Garamond" w:hAnsi="Garamond"/>
          <w:sz w:val="24"/>
        </w:rPr>
        <w:t>I anslutning till GAERC kommer, inom ramen för det Partnerskaps- och samarbetsavtal, som EU har med Kirgizistan, det nionde  samarbetsrådet mellan EU och Kirgizistan att hållas. Vid mötet kommer EU att uppmana de kirgiziska myndigheterna att vidta åtgärder för att stabilisera den politiska situationen i landet och komma till rätta med kriminaliseringen av landets politiska och ekonomiska liv. EU kommer också att uppmana regimen att gå vidare med reformprocessen samt framhålla vikten av att få till stånd ett fungerande rättssamhälle och att bekämpa organiserad brottslighet och korruption. Vidare kommer vikten av regionalt samarbete att framhållas liksom EU:s vilja att utöka samarbetet, om regering visar en konkret vilja att reformera landet och upprätthålla landets internationella åtaganden.</w:t>
      </w:r>
    </w:p>
    <w:p w:rsidR="00BE5304" w:rsidRPr="003618F0" w:rsidRDefault="00BE5304" w:rsidP="003B5F60">
      <w:pPr>
        <w:ind w:left="1440"/>
        <w:rPr>
          <w:rFonts w:ascii="Garamond" w:hAnsi="Garamond"/>
          <w:sz w:val="24"/>
        </w:rPr>
      </w:pPr>
    </w:p>
    <w:p w:rsidR="00FB1CF2" w:rsidRPr="003618F0" w:rsidRDefault="00FB1CF2" w:rsidP="00FB1CF2">
      <w:pPr>
        <w:ind w:left="720" w:firstLine="720"/>
        <w:rPr>
          <w:rFonts w:ascii="Garamond" w:hAnsi="Garamond"/>
          <w:b/>
          <w:bCs/>
          <w:sz w:val="24"/>
        </w:rPr>
      </w:pPr>
      <w:r w:rsidRPr="003618F0">
        <w:rPr>
          <w:rFonts w:ascii="Garamond" w:hAnsi="Garamond"/>
          <w:b/>
          <w:bCs/>
          <w:sz w:val="24"/>
        </w:rPr>
        <w:t>- Fyrpartsmöte med Europarådet</w:t>
      </w:r>
    </w:p>
    <w:p w:rsidR="00FB1CF2" w:rsidRPr="003618F0" w:rsidRDefault="00FB1CF2" w:rsidP="003B5F60">
      <w:pPr>
        <w:ind w:left="1440"/>
        <w:rPr>
          <w:rFonts w:ascii="Garamond" w:hAnsi="Garamond"/>
          <w:sz w:val="24"/>
        </w:rPr>
      </w:pPr>
    </w:p>
    <w:p w:rsidR="00737D55" w:rsidRPr="003618F0" w:rsidRDefault="005E0B9F" w:rsidP="003B5F60">
      <w:pPr>
        <w:ind w:left="1440"/>
        <w:rPr>
          <w:rFonts w:ascii="Garamond" w:hAnsi="Garamond"/>
          <w:sz w:val="24"/>
        </w:rPr>
      </w:pPr>
      <w:r w:rsidRPr="003618F0">
        <w:rPr>
          <w:rFonts w:ascii="Garamond" w:hAnsi="Garamond"/>
          <w:sz w:val="24"/>
        </w:rPr>
        <w:t>I marginalen av GAERC organiseras ett fyrpartsmöte mellan EU och Europarådet, i vilket ordföranden i Europeiska rådet, kommissionens ordförande, ordföranden i Europarådets ministerkommitté (San Marino) och Europarådets generalsekreterare deltar. Frågeblock om aktuella politiska frågor (Serbien, inklusive Kosovo och Montenegro) och relationerna mellan EU och Europarådet (Memorandum of Understanding, Junckers rapport om detta, samt MR-byrån) föreslås stå på dagordningen. Därtill kommer sannolikt frågan om Rysslands icke-ratificering av protokoll 14 (till Europakoventionen för mänskliga rättigheter) och ENP att diskuteras.</w:t>
      </w:r>
    </w:p>
    <w:p w:rsidR="005E0B9F" w:rsidRPr="003618F0" w:rsidRDefault="005E0B9F" w:rsidP="003B5F60">
      <w:pPr>
        <w:ind w:left="1440"/>
        <w:rPr>
          <w:rFonts w:ascii="Garamond" w:hAnsi="Garamond"/>
          <w:sz w:val="24"/>
        </w:rPr>
      </w:pPr>
    </w:p>
    <w:p w:rsidR="00737D55" w:rsidRPr="003618F0" w:rsidRDefault="00737D55" w:rsidP="003B5F60">
      <w:pPr>
        <w:ind w:left="1440"/>
        <w:rPr>
          <w:rFonts w:ascii="Garamond" w:hAnsi="Garamond"/>
          <w:b/>
          <w:sz w:val="24"/>
        </w:rPr>
      </w:pPr>
      <w:r w:rsidRPr="003618F0">
        <w:rPr>
          <w:rFonts w:ascii="Garamond" w:hAnsi="Garamond"/>
          <w:b/>
          <w:sz w:val="24"/>
        </w:rPr>
        <w:t>- Informell handelsministermiddag 11 februari</w:t>
      </w:r>
    </w:p>
    <w:p w:rsidR="00737D55" w:rsidRPr="003618F0" w:rsidRDefault="00737D55" w:rsidP="00737D55">
      <w:pPr>
        <w:ind w:left="1440"/>
        <w:rPr>
          <w:rFonts w:ascii="Garamond" w:hAnsi="Garamond"/>
          <w:sz w:val="24"/>
        </w:rPr>
      </w:pPr>
    </w:p>
    <w:p w:rsidR="00737D55" w:rsidRPr="003618F0" w:rsidRDefault="00737D55" w:rsidP="00737D55">
      <w:pPr>
        <w:ind w:left="1440"/>
        <w:rPr>
          <w:rFonts w:ascii="Garamond" w:hAnsi="Garamond"/>
          <w:sz w:val="24"/>
        </w:rPr>
      </w:pPr>
      <w:r w:rsidRPr="003618F0">
        <w:rPr>
          <w:rFonts w:ascii="Garamond" w:hAnsi="Garamond"/>
          <w:sz w:val="24"/>
        </w:rPr>
        <w:t>Med regelbundna mellanrum hålls informella middagar för handelsministrarna där det ges möjlighet att diskutera vissa sakfrågor mer i detalj. Denna gång står två frågor på dagordningen: WTO/DDA samt regionala/bilaterala avtal</w:t>
      </w:r>
    </w:p>
    <w:p w:rsidR="00737D55" w:rsidRPr="003618F0" w:rsidRDefault="00737D55" w:rsidP="00737D55">
      <w:pPr>
        <w:ind w:left="1440"/>
        <w:rPr>
          <w:rFonts w:ascii="Garamond" w:hAnsi="Garamond"/>
          <w:sz w:val="24"/>
        </w:rPr>
      </w:pPr>
    </w:p>
    <w:p w:rsidR="00737D55" w:rsidRPr="003618F0" w:rsidRDefault="00737D55" w:rsidP="00737D55">
      <w:pPr>
        <w:ind w:left="1440"/>
        <w:rPr>
          <w:rFonts w:ascii="Garamond" w:hAnsi="Garamond"/>
          <w:sz w:val="24"/>
        </w:rPr>
      </w:pPr>
      <w:r w:rsidRPr="003618F0">
        <w:rPr>
          <w:rFonts w:ascii="Garamond" w:hAnsi="Garamond"/>
          <w:sz w:val="24"/>
        </w:rPr>
        <w:t>När det gäller WTO/DDA så finns den punkten även på den formella GAERC-agendan (se ovan). På middagen finns det möjlighet för medlemsländerna att mer i detalj diskutera förhandlingsläget och hur EU ska agera framgent.</w:t>
      </w:r>
    </w:p>
    <w:p w:rsidR="00737D55" w:rsidRPr="003618F0" w:rsidRDefault="00737D55" w:rsidP="00737D55">
      <w:pPr>
        <w:ind w:left="1440"/>
        <w:rPr>
          <w:rFonts w:ascii="Garamond" w:hAnsi="Garamond"/>
          <w:sz w:val="24"/>
        </w:rPr>
      </w:pPr>
    </w:p>
    <w:p w:rsidR="00737D55" w:rsidRPr="003618F0" w:rsidRDefault="00737D55" w:rsidP="00737D55">
      <w:pPr>
        <w:ind w:left="1440"/>
        <w:rPr>
          <w:rFonts w:ascii="Garamond" w:hAnsi="Garamond"/>
          <w:sz w:val="24"/>
        </w:rPr>
      </w:pPr>
      <w:r w:rsidRPr="003618F0">
        <w:rPr>
          <w:rFonts w:ascii="Garamond" w:hAnsi="Garamond"/>
          <w:sz w:val="24"/>
        </w:rPr>
        <w:t>Avseende bilaterala/regionala avtal pågår just nu arbete med att framta förhandlingsmandat för kommissionen. Det gäller ASEAN, Sydkorea, Indien, Andinska Gemenskapen samt Centralamerika. Vid middagen förväntas det att diskussionen fokuserar på process, dvs mandatens utformning, tidsplan för förhandlingarna etc.</w:t>
      </w:r>
    </w:p>
    <w:p w:rsidR="00737D55" w:rsidRPr="003618F0" w:rsidRDefault="00737D55" w:rsidP="003B5F60">
      <w:pPr>
        <w:ind w:left="1440"/>
        <w:rPr>
          <w:rFonts w:ascii="Garamond" w:hAnsi="Garamond"/>
          <w:sz w:val="24"/>
        </w:rPr>
      </w:pPr>
    </w:p>
    <w:sectPr w:rsidR="00737D55" w:rsidRPr="003618F0">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902" w:rsidRPr="003618F0" w:rsidRDefault="00AC1902">
      <w:r w:rsidRPr="003618F0">
        <w:separator/>
      </w:r>
    </w:p>
  </w:endnote>
  <w:endnote w:type="continuationSeparator" w:id="0">
    <w:p w:rsidR="00AC1902" w:rsidRPr="003618F0" w:rsidRDefault="00AC1902">
      <w:r w:rsidRPr="00361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12D" w:rsidRPr="003618F0" w:rsidRDefault="00FD412D">
    <w:pPr>
      <w:pStyle w:val="Sidfot"/>
      <w:framePr w:wrap="auto" w:vAnchor="text" w:hAnchor="margin" w:xAlign="right" w:y="1"/>
      <w:rPr>
        <w:rStyle w:val="Sidnummer"/>
      </w:rPr>
    </w:pPr>
    <w:r w:rsidRPr="003618F0">
      <w:rPr>
        <w:rStyle w:val="Sidnummer"/>
      </w:rPr>
      <w:fldChar w:fldCharType="begin" w:fldLock="1"/>
    </w:r>
    <w:r w:rsidRPr="003618F0">
      <w:rPr>
        <w:rStyle w:val="Sidnummer"/>
      </w:rPr>
      <w:instrText xml:space="preserve">PAGE  </w:instrText>
    </w:r>
    <w:r w:rsidRPr="003618F0">
      <w:rPr>
        <w:rStyle w:val="Sidnummer"/>
      </w:rPr>
      <w:fldChar w:fldCharType="separate"/>
    </w:r>
    <w:r w:rsidRPr="003618F0">
      <w:rPr>
        <w:rStyle w:val="Sidnummer"/>
      </w:rPr>
      <w:t>5</w:t>
    </w:r>
    <w:r w:rsidRPr="003618F0">
      <w:rPr>
        <w:rStyle w:val="Sidnummer"/>
      </w:rPr>
      <w:fldChar w:fldCharType="end"/>
    </w:r>
  </w:p>
  <w:p w:rsidR="00FD412D" w:rsidRPr="003618F0" w:rsidRDefault="00FD412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902" w:rsidRPr="003618F0" w:rsidRDefault="00AC1902">
      <w:r w:rsidRPr="003618F0">
        <w:separator/>
      </w:r>
    </w:p>
  </w:footnote>
  <w:footnote w:type="continuationSeparator" w:id="0">
    <w:p w:rsidR="00AC1902" w:rsidRPr="003618F0" w:rsidRDefault="00AC1902">
      <w:r w:rsidRPr="003618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518541424">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645348653">
    <w:abstractNumId w:val="20"/>
  </w:num>
  <w:num w:numId="3" w16cid:durableId="164058411">
    <w:abstractNumId w:val="28"/>
  </w:num>
  <w:num w:numId="4" w16cid:durableId="655766736">
    <w:abstractNumId w:val="1"/>
  </w:num>
  <w:num w:numId="5" w16cid:durableId="1113480805">
    <w:abstractNumId w:val="3"/>
  </w:num>
  <w:num w:numId="6" w16cid:durableId="511799486">
    <w:abstractNumId w:val="19"/>
  </w:num>
  <w:num w:numId="7" w16cid:durableId="1790928664">
    <w:abstractNumId w:val="29"/>
  </w:num>
  <w:num w:numId="8" w16cid:durableId="1056976814">
    <w:abstractNumId w:val="23"/>
  </w:num>
  <w:num w:numId="9" w16cid:durableId="1621064736">
    <w:abstractNumId w:val="8"/>
  </w:num>
  <w:num w:numId="10" w16cid:durableId="843934220">
    <w:abstractNumId w:val="6"/>
  </w:num>
  <w:num w:numId="11" w16cid:durableId="593319857">
    <w:abstractNumId w:val="10"/>
  </w:num>
  <w:num w:numId="12" w16cid:durableId="1905750060">
    <w:abstractNumId w:val="27"/>
  </w:num>
  <w:num w:numId="13" w16cid:durableId="563682405">
    <w:abstractNumId w:val="16"/>
  </w:num>
  <w:num w:numId="14" w16cid:durableId="301009217">
    <w:abstractNumId w:val="22"/>
  </w:num>
  <w:num w:numId="15" w16cid:durableId="1087117371">
    <w:abstractNumId w:val="12"/>
  </w:num>
  <w:num w:numId="16" w16cid:durableId="1322928241">
    <w:abstractNumId w:val="4"/>
  </w:num>
  <w:num w:numId="17" w16cid:durableId="1634020743">
    <w:abstractNumId w:val="7"/>
  </w:num>
  <w:num w:numId="18" w16cid:durableId="1483548048">
    <w:abstractNumId w:val="17"/>
  </w:num>
  <w:num w:numId="19" w16cid:durableId="1341397548">
    <w:abstractNumId w:val="24"/>
  </w:num>
  <w:num w:numId="20" w16cid:durableId="1271817351">
    <w:abstractNumId w:val="2"/>
  </w:num>
  <w:num w:numId="21" w16cid:durableId="1845781389">
    <w:abstractNumId w:val="25"/>
  </w:num>
  <w:num w:numId="22" w16cid:durableId="1384449062">
    <w:abstractNumId w:val="21"/>
  </w:num>
  <w:num w:numId="23" w16cid:durableId="1204975870">
    <w:abstractNumId w:val="15"/>
  </w:num>
  <w:num w:numId="24" w16cid:durableId="85079095">
    <w:abstractNumId w:val="9"/>
  </w:num>
  <w:num w:numId="25" w16cid:durableId="1611469142">
    <w:abstractNumId w:val="5"/>
  </w:num>
  <w:num w:numId="26" w16cid:durableId="1427651564">
    <w:abstractNumId w:val="18"/>
  </w:num>
  <w:num w:numId="27" w16cid:durableId="462776723">
    <w:abstractNumId w:val="14"/>
  </w:num>
  <w:num w:numId="28" w16cid:durableId="1898658905">
    <w:abstractNumId w:val="13"/>
  </w:num>
  <w:num w:numId="29" w16cid:durableId="1688632537">
    <w:abstractNumId w:val="11"/>
  </w:num>
  <w:num w:numId="30" w16cid:durableId="16121295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1213C"/>
    <w:rsid w:val="00017A2C"/>
    <w:rsid w:val="000231D1"/>
    <w:rsid w:val="00047281"/>
    <w:rsid w:val="000646F4"/>
    <w:rsid w:val="000A53A0"/>
    <w:rsid w:val="000B23C9"/>
    <w:rsid w:val="000C17DF"/>
    <w:rsid w:val="000C5504"/>
    <w:rsid w:val="000D0FBE"/>
    <w:rsid w:val="00102C6E"/>
    <w:rsid w:val="0010781B"/>
    <w:rsid w:val="001441DE"/>
    <w:rsid w:val="00171F2E"/>
    <w:rsid w:val="00172BC7"/>
    <w:rsid w:val="00197E56"/>
    <w:rsid w:val="001C6DE8"/>
    <w:rsid w:val="001F720E"/>
    <w:rsid w:val="002300A9"/>
    <w:rsid w:val="0023107D"/>
    <w:rsid w:val="00231161"/>
    <w:rsid w:val="0023574B"/>
    <w:rsid w:val="002962E8"/>
    <w:rsid w:val="002C29F7"/>
    <w:rsid w:val="002C4224"/>
    <w:rsid w:val="002D535E"/>
    <w:rsid w:val="002E06B5"/>
    <w:rsid w:val="002E6E42"/>
    <w:rsid w:val="002E7875"/>
    <w:rsid w:val="003011FA"/>
    <w:rsid w:val="00304C76"/>
    <w:rsid w:val="00307DE6"/>
    <w:rsid w:val="003370C4"/>
    <w:rsid w:val="00355F78"/>
    <w:rsid w:val="003618F0"/>
    <w:rsid w:val="00366B6A"/>
    <w:rsid w:val="00397853"/>
    <w:rsid w:val="003B1514"/>
    <w:rsid w:val="003B5F60"/>
    <w:rsid w:val="003E6EC7"/>
    <w:rsid w:val="00465766"/>
    <w:rsid w:val="004741F2"/>
    <w:rsid w:val="00482159"/>
    <w:rsid w:val="004857B7"/>
    <w:rsid w:val="00492C2D"/>
    <w:rsid w:val="0049559A"/>
    <w:rsid w:val="004A0B47"/>
    <w:rsid w:val="004C016D"/>
    <w:rsid w:val="004E3ED9"/>
    <w:rsid w:val="0052129D"/>
    <w:rsid w:val="0052424B"/>
    <w:rsid w:val="00526A5C"/>
    <w:rsid w:val="0053396A"/>
    <w:rsid w:val="00570A44"/>
    <w:rsid w:val="00575570"/>
    <w:rsid w:val="0057795B"/>
    <w:rsid w:val="005B71FC"/>
    <w:rsid w:val="005E0B9F"/>
    <w:rsid w:val="00601426"/>
    <w:rsid w:val="00611E14"/>
    <w:rsid w:val="00674D5D"/>
    <w:rsid w:val="006A23ED"/>
    <w:rsid w:val="006A6EF5"/>
    <w:rsid w:val="006D1EAD"/>
    <w:rsid w:val="006E0264"/>
    <w:rsid w:val="007178BD"/>
    <w:rsid w:val="00737D55"/>
    <w:rsid w:val="007405A5"/>
    <w:rsid w:val="007562FC"/>
    <w:rsid w:val="007814B0"/>
    <w:rsid w:val="007A3015"/>
    <w:rsid w:val="007E2055"/>
    <w:rsid w:val="007F2E78"/>
    <w:rsid w:val="007F533F"/>
    <w:rsid w:val="00800247"/>
    <w:rsid w:val="0080169E"/>
    <w:rsid w:val="00807008"/>
    <w:rsid w:val="008239E8"/>
    <w:rsid w:val="00833D37"/>
    <w:rsid w:val="008358F6"/>
    <w:rsid w:val="00875CEF"/>
    <w:rsid w:val="00882192"/>
    <w:rsid w:val="00893FA1"/>
    <w:rsid w:val="008972C8"/>
    <w:rsid w:val="008A7115"/>
    <w:rsid w:val="008C01DF"/>
    <w:rsid w:val="008E2468"/>
    <w:rsid w:val="008E5058"/>
    <w:rsid w:val="00906421"/>
    <w:rsid w:val="00912CDB"/>
    <w:rsid w:val="00953D49"/>
    <w:rsid w:val="00955B39"/>
    <w:rsid w:val="00956751"/>
    <w:rsid w:val="009A7199"/>
    <w:rsid w:val="009F7368"/>
    <w:rsid w:val="00A27516"/>
    <w:rsid w:val="00A40751"/>
    <w:rsid w:val="00A76075"/>
    <w:rsid w:val="00A8122F"/>
    <w:rsid w:val="00A847E8"/>
    <w:rsid w:val="00A944A6"/>
    <w:rsid w:val="00AB7C3C"/>
    <w:rsid w:val="00AC1902"/>
    <w:rsid w:val="00AD06C8"/>
    <w:rsid w:val="00AD5D4A"/>
    <w:rsid w:val="00AE7B01"/>
    <w:rsid w:val="00AF67ED"/>
    <w:rsid w:val="00B05570"/>
    <w:rsid w:val="00B1143E"/>
    <w:rsid w:val="00B4434C"/>
    <w:rsid w:val="00B52EE1"/>
    <w:rsid w:val="00B769A6"/>
    <w:rsid w:val="00B85F56"/>
    <w:rsid w:val="00BC56EC"/>
    <w:rsid w:val="00BD328B"/>
    <w:rsid w:val="00BD61DB"/>
    <w:rsid w:val="00BE5304"/>
    <w:rsid w:val="00C120D3"/>
    <w:rsid w:val="00C124EF"/>
    <w:rsid w:val="00C12E21"/>
    <w:rsid w:val="00C16706"/>
    <w:rsid w:val="00C459BF"/>
    <w:rsid w:val="00C46C08"/>
    <w:rsid w:val="00C56BD6"/>
    <w:rsid w:val="00C67DF1"/>
    <w:rsid w:val="00CA0753"/>
    <w:rsid w:val="00CA69CE"/>
    <w:rsid w:val="00CD6318"/>
    <w:rsid w:val="00CF4DB1"/>
    <w:rsid w:val="00D1331C"/>
    <w:rsid w:val="00D13320"/>
    <w:rsid w:val="00D14420"/>
    <w:rsid w:val="00D45234"/>
    <w:rsid w:val="00D65FB8"/>
    <w:rsid w:val="00D733B3"/>
    <w:rsid w:val="00D74E37"/>
    <w:rsid w:val="00DB09A1"/>
    <w:rsid w:val="00DB3DB4"/>
    <w:rsid w:val="00DC11B9"/>
    <w:rsid w:val="00DC2C05"/>
    <w:rsid w:val="00DC5C20"/>
    <w:rsid w:val="00DE240B"/>
    <w:rsid w:val="00DF0DA0"/>
    <w:rsid w:val="00E00E17"/>
    <w:rsid w:val="00E075D2"/>
    <w:rsid w:val="00E12986"/>
    <w:rsid w:val="00E14B04"/>
    <w:rsid w:val="00E31003"/>
    <w:rsid w:val="00E327A6"/>
    <w:rsid w:val="00E35BD7"/>
    <w:rsid w:val="00E52AA0"/>
    <w:rsid w:val="00E579A6"/>
    <w:rsid w:val="00E80F27"/>
    <w:rsid w:val="00E83545"/>
    <w:rsid w:val="00E94B97"/>
    <w:rsid w:val="00EC77DA"/>
    <w:rsid w:val="00EE7ED2"/>
    <w:rsid w:val="00F0080E"/>
    <w:rsid w:val="00F01EF2"/>
    <w:rsid w:val="00F0560D"/>
    <w:rsid w:val="00F27D98"/>
    <w:rsid w:val="00F6137F"/>
    <w:rsid w:val="00F6382B"/>
    <w:rsid w:val="00F85574"/>
    <w:rsid w:val="00FA1A4B"/>
    <w:rsid w:val="00FB1CF2"/>
    <w:rsid w:val="00FB1F7A"/>
    <w:rsid w:val="00FD41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CF68F-CB9B-4B53-825B-EA1CC922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1834</Words>
  <Characters>11483</Characters>
  <Application>Microsoft Office Word</Application>
  <DocSecurity>4</DocSecurity>
  <Lines>287</Lines>
  <Paragraphs>69</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2007-02-02T14:00:00Z</cp:lastPrinted>
  <dcterms:created xsi:type="dcterms:W3CDTF">2025-12-17T04:02:00Z</dcterms:created>
  <dcterms:modified xsi:type="dcterms:W3CDTF">2025-12-17T04:02:00Z</dcterms:modified>
</cp:coreProperties>
</file>