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BA9" w:rsidRPr="004D2BA9" w:rsidRDefault="004D2BA9">
      <w:pPr>
        <w:pStyle w:val="Frslagsrubrik"/>
      </w:pPr>
      <w:r w:rsidRPr="004D2BA9">
        <w:t>Förslag till riksdagsbeslut</w:t>
      </w:r>
    </w:p>
    <w:p w:rsidR="004D2BA9" w:rsidRPr="004D2BA9" w:rsidRDefault="004D2BA9">
      <w:pPr>
        <w:pStyle w:val="Hemstlatt"/>
      </w:pPr>
      <w:r w:rsidRPr="004D2BA9">
        <w:t>Riksdagen tillkännager för regeringen som sin mening vad som anförs i motionen om att utreda möjligheterna för att staten går in som lånegarant för att påskynda utbyggnaden av Trelleborgs hamn, vilken är ett riksintresse och utpekad som en av landets strategiskt viktigaste ha</w:t>
      </w:r>
      <w:r w:rsidRPr="004D2BA9">
        <w:t>m</w:t>
      </w:r>
      <w:r w:rsidRPr="004D2BA9">
        <w:t>nar.</w:t>
      </w:r>
    </w:p>
    <w:p w:rsidR="004D2BA9" w:rsidRPr="004D2BA9" w:rsidRDefault="004D2BA9">
      <w:pPr>
        <w:pStyle w:val="Rubrik1"/>
      </w:pPr>
      <w:r w:rsidRPr="004D2BA9">
        <w:t>Motivering</w:t>
      </w:r>
    </w:p>
    <w:p w:rsidR="004D2BA9" w:rsidRPr="004D2BA9" w:rsidRDefault="004D2BA9">
      <w:r w:rsidRPr="004D2BA9">
        <w:t>Regeringen har identifierat Trelleborg som en av tio hamnar av särskild str</w:t>
      </w:r>
      <w:r w:rsidRPr="004D2BA9">
        <w:t>a</w:t>
      </w:r>
      <w:r w:rsidRPr="004D2BA9">
        <w:t>tegisk betydelse för det svenska godstransportsystemet, och hamnen har utp</w:t>
      </w:r>
      <w:r w:rsidRPr="004D2BA9">
        <w:t>e</w:t>
      </w:r>
      <w:r w:rsidRPr="004D2BA9">
        <w:t>kats som ett riksintresse. Detta är inte märkligt då hamnen är landets näst största hamn vad gäller mängden gods som hanteras.</w:t>
      </w:r>
    </w:p>
    <w:p w:rsidR="004D2BA9" w:rsidRPr="004D2BA9" w:rsidRDefault="004D2BA9">
      <w:pPr>
        <w:pStyle w:val="Normaltindrag"/>
      </w:pPr>
      <w:r w:rsidRPr="004D2BA9">
        <w:t>Trelleborgs hamn har utvecklats till en viktig knutpunkt för omlastning mellan järnvägs-, väg- och sjötransporter. Närmare 90 procent av Sveriges import och export går i dag via landets hamnar och hela 30 procent av den rullande godsmängden passerar Trelleborgs hamn. Hamnen utgör i dag en ovärderlig hub i tr</w:t>
      </w:r>
      <w:r w:rsidRPr="004D2BA9">
        <w:t>afiken mellan Skandinavien och övriga Europa med sina fem färjelinjer till Tyskland och Polen.</w:t>
      </w:r>
    </w:p>
    <w:p w:rsidR="004D2BA9" w:rsidRPr="004D2BA9" w:rsidRDefault="004D2BA9">
      <w:pPr>
        <w:pStyle w:val="Normaltindrag"/>
      </w:pPr>
      <w:r w:rsidRPr="004D2BA9">
        <w:t>Hamnen har sedan mitten av 1990-talet haft en 50-procentig tillväxt av godsmängden, och i dag hanteras över 12 miljoner ton gods årligen. I och med EU:s utvidgning österut har handeln med främst Polen ökat och en bet</w:t>
      </w:r>
      <w:r w:rsidRPr="004D2BA9">
        <w:t>y</w:t>
      </w:r>
      <w:r w:rsidRPr="004D2BA9">
        <w:t>dande andel av denna handel går via Trelleborgs hamn. Trelleborg utgör oc</w:t>
      </w:r>
      <w:r w:rsidRPr="004D2BA9">
        <w:t>k</w:t>
      </w:r>
      <w:r w:rsidRPr="004D2BA9">
        <w:t>så den viktigaste brohamnen till Sveriges största handelspartner Tyskland. Ett skäl till den kraftiga expansionen är att godstrafiken genom att välja tran</w:t>
      </w:r>
      <w:r w:rsidRPr="004D2BA9">
        <w:t>s</w:t>
      </w:r>
      <w:r w:rsidRPr="004D2BA9">
        <w:t>portvägen över Trelleborg undviker Hamburg och Hannover med de trafiki</w:t>
      </w:r>
      <w:r w:rsidRPr="004D2BA9">
        <w:t>n</w:t>
      </w:r>
      <w:r w:rsidRPr="004D2BA9">
        <w:t>farkter som karakteriserar denna rutt.</w:t>
      </w:r>
    </w:p>
    <w:p w:rsidR="004D2BA9" w:rsidRPr="004D2BA9" w:rsidRDefault="004D2BA9">
      <w:pPr>
        <w:pStyle w:val="Normaltindrag"/>
      </w:pPr>
      <w:r w:rsidRPr="004D2BA9">
        <w:t>Tillväxten av godstransporter i trailrar, lastfordon och släp ökar, och en fjärdedel av all denna typ av godshantering passerar i dag Trelleborg. Samt</w:t>
      </w:r>
      <w:r w:rsidRPr="004D2BA9">
        <w:t>i</w:t>
      </w:r>
      <w:r w:rsidRPr="004D2BA9">
        <w:lastRenderedPageBreak/>
        <w:t>digt är Trelleborgs hamn även den hamn där det passerar flest järnvägsvagnar. Under 2007 passerade 110 468 vagnar rikets alla hamnar och 76 336 av dessa (69 procent) passerade Trelleborg.</w:t>
      </w:r>
    </w:p>
    <w:p w:rsidR="004D2BA9" w:rsidRPr="004D2BA9" w:rsidRDefault="004D2BA9">
      <w:pPr>
        <w:pStyle w:val="Normaltindrag"/>
      </w:pPr>
      <w:r w:rsidRPr="004D2BA9">
        <w:t>Vid ett beslut i Trelleborgs kommunfullmäktige i maj 2010 beslutades att hamnen i Trelleborg ska expandera med ytterligare fyra nya färjelägen. Mi</w:t>
      </w:r>
      <w:r w:rsidRPr="004D2BA9">
        <w:t>l</w:t>
      </w:r>
      <w:r w:rsidRPr="004D2BA9">
        <w:t>jödomstolen gav i april hamnen tillstånd för att expandera.</w:t>
      </w:r>
    </w:p>
    <w:p w:rsidR="004D2BA9" w:rsidRPr="004D2BA9" w:rsidRDefault="004D2BA9">
      <w:pPr>
        <w:pStyle w:val="Normaltindrag"/>
      </w:pPr>
      <w:r w:rsidRPr="004D2BA9">
        <w:t>Hamnen drivs i kommunal regi, men det är rimligt att staten, med tanke på hamnens stora betydelse för svensk industri, tar ett större ansvar för att hjälpa till och underlätta finansieringen så att utvecklingen och utbyggnaden blir långsiktig och hållbar.</w:t>
      </w:r>
    </w:p>
    <w:p w:rsidR="004D2BA9" w:rsidRPr="004D2BA9" w:rsidRDefault="004D2BA9">
      <w:pPr>
        <w:pStyle w:val="Normaltindrag"/>
      </w:pPr>
      <w:r w:rsidRPr="004D2BA9">
        <w:t>För att kunna genomföra utbyggnaden på snabbaste sättet är det rimligt att staten utreder möjligheten att ge en statlig lånegaranti till Trelleborgs hamn.</w:t>
      </w:r>
    </w:p>
    <w:p w:rsidR="004D2BA9" w:rsidRPr="004D2BA9" w:rsidRDefault="004D2BA9">
      <w:pPr>
        <w:pStyle w:val="Normaltindrag"/>
      </w:pPr>
      <w:r w:rsidRPr="004D2BA9">
        <w:t>En fördröjning av utbyggnaden av hamnen och en utebliven statlig låneg</w:t>
      </w:r>
      <w:r w:rsidRPr="004D2BA9">
        <w:t>a</w:t>
      </w:r>
      <w:r w:rsidRPr="004D2BA9">
        <w:t>ranti innebär att Trelleborgs hamn kommer att utvecklas långsammare, vilket kommer att få följande konsekvenser:</w:t>
      </w:r>
    </w:p>
    <w:p w:rsidR="004D2BA9" w:rsidRPr="004D2BA9" w:rsidRDefault="004D2BA9">
      <w:pPr>
        <w:pStyle w:val="PunktlistaTankstreck"/>
      </w:pPr>
      <w:r w:rsidRPr="004D2BA9">
        <w:t>osäkra transporter,</w:t>
      </w:r>
    </w:p>
    <w:p w:rsidR="004D2BA9" w:rsidRPr="004D2BA9" w:rsidRDefault="004D2BA9">
      <w:pPr>
        <w:pStyle w:val="PunktlistaTankstreck"/>
        <w:spacing w:before="0"/>
      </w:pPr>
      <w:r w:rsidRPr="004D2BA9">
        <w:t>fortsatt hög påfrestning på klimat och miljö,</w:t>
      </w:r>
    </w:p>
    <w:p w:rsidR="004D2BA9" w:rsidRPr="004D2BA9" w:rsidRDefault="004D2BA9">
      <w:pPr>
        <w:pStyle w:val="PunktlistaTankstreck"/>
        <w:spacing w:before="0"/>
      </w:pPr>
      <w:r w:rsidRPr="004D2BA9">
        <w:t>försämrad konkurrens och</w:t>
      </w:r>
    </w:p>
    <w:p w:rsidR="004D2BA9" w:rsidRPr="004D2BA9" w:rsidRDefault="004D2BA9">
      <w:pPr>
        <w:pStyle w:val="PunktlistaTankstreck"/>
        <w:spacing w:before="0"/>
      </w:pPr>
      <w:r w:rsidRPr="004D2BA9">
        <w:t>dyrare varor och tjänster.</w:t>
      </w:r>
    </w:p>
    <w:p w:rsidR="004D2BA9" w:rsidRPr="004D2BA9" w:rsidRDefault="004D2BA9">
      <w:r w:rsidRPr="004D2BA9">
        <w:t>Mot bakgrund av detta bör regeringen utreda möjligheterna för staten att gå in som lånegarant för att främja och påskynda utbygganden av Trelleborgs hamn, vilket är en riksangelägenhet som berör stora delar den svenska import- och exportindustrin.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2BA9">
        <w:trPr>
          <w:cantSplit/>
        </w:trPr>
        <w:tc>
          <w:tcPr>
            <w:tcW w:w="3046" w:type="dxa"/>
          </w:tcPr>
          <w:p w:rsidR="004D2BA9" w:rsidRPr="004D2BA9" w:rsidRDefault="004D2BA9">
            <w:pPr>
              <w:pStyle w:val="UnderskriftDatum"/>
              <w:spacing w:before="240"/>
            </w:pPr>
            <w:r w:rsidRPr="004D2BA9">
              <w:t>Stockholm den 20 oktober 2010</w:t>
            </w:r>
          </w:p>
        </w:tc>
        <w:tc>
          <w:tcPr>
            <w:tcW w:w="3047" w:type="dxa"/>
          </w:tcPr>
          <w:p w:rsidR="004D2BA9" w:rsidRPr="004D2BA9" w:rsidRDefault="004D2BA9">
            <w:pPr>
              <w:pStyle w:val="Underskrifter"/>
              <w:spacing w:before="240"/>
            </w:pPr>
          </w:p>
        </w:tc>
      </w:tr>
      <w:tr w:rsidR="00000000" w:rsidRPr="004D2BA9">
        <w:trPr>
          <w:cantSplit/>
        </w:trPr>
        <w:tc>
          <w:tcPr>
            <w:tcW w:w="3046" w:type="dxa"/>
          </w:tcPr>
          <w:p w:rsidR="004D2BA9" w:rsidRPr="004D2BA9" w:rsidRDefault="004D2BA9">
            <w:pPr>
              <w:pStyle w:val="Underskrifter"/>
            </w:pPr>
            <w:r w:rsidRPr="004D2BA9">
              <w:t>Otto von Arnold (KD)</w:t>
            </w:r>
          </w:p>
        </w:tc>
        <w:tc>
          <w:tcPr>
            <w:tcW w:w="3046" w:type="dxa"/>
          </w:tcPr>
          <w:p w:rsidR="004D2BA9" w:rsidRPr="004D2BA9" w:rsidRDefault="004D2BA9">
            <w:pPr>
              <w:pStyle w:val="Underskrifter"/>
            </w:pPr>
          </w:p>
        </w:tc>
      </w:tr>
    </w:tbl>
    <w:p w:rsidR="004D2BA9" w:rsidRPr="004D2BA9" w:rsidRDefault="004D2BA9">
      <w:pPr>
        <w:pStyle w:val="Normaltindrag"/>
      </w:pPr>
    </w:p>
    <w:sectPr w:rsidR="00000000" w:rsidRPr="004D2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BA9" w:rsidRPr="004D2BA9" w:rsidRDefault="004D2BA9">
      <w:r w:rsidRPr="004D2BA9">
        <w:separator/>
      </w:r>
    </w:p>
  </w:endnote>
  <w:endnote w:type="continuationSeparator" w:id="0">
    <w:p w:rsidR="004D2BA9" w:rsidRPr="004D2BA9" w:rsidRDefault="004D2BA9">
      <w:r w:rsidRPr="004D2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BA9" w:rsidRPr="004D2BA9" w:rsidRDefault="004D2BA9">
    <w:pPr>
      <w:pStyle w:val="Sidfot"/>
    </w:pPr>
    <w:r w:rsidRPr="004D2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357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BA9" w:rsidRDefault="004D2B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BA9" w:rsidRDefault="004D2B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BA9" w:rsidRPr="004D2BA9" w:rsidRDefault="004D2BA9">
    <w:pPr>
      <w:pStyle w:val="Sidfot"/>
    </w:pPr>
    <w:r w:rsidRPr="004D2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248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BA9" w:rsidRDefault="004D2B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BA9" w:rsidRDefault="004D2B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BA9" w:rsidRPr="004D2BA9" w:rsidRDefault="004D2BA9">
    <w:pPr>
      <w:pStyle w:val="Sidfot"/>
    </w:pPr>
    <w:r w:rsidRPr="004D2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609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BA9" w:rsidRDefault="004D2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BA9" w:rsidRDefault="004D2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BA9" w:rsidRPr="004D2BA9" w:rsidRDefault="004D2BA9">
      <w:r w:rsidRPr="004D2BA9">
        <w:separator/>
      </w:r>
    </w:p>
  </w:footnote>
  <w:footnote w:type="continuationSeparator" w:id="0">
    <w:p w:rsidR="004D2BA9" w:rsidRPr="004D2BA9" w:rsidRDefault="004D2BA9">
      <w:r w:rsidRPr="004D2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BA9" w:rsidRPr="004D2BA9" w:rsidRDefault="004D2BA9">
    <w:pPr>
      <w:pStyle w:val="Sidhuvud"/>
    </w:pPr>
    <w:r w:rsidRPr="004D2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956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BA9" w:rsidRDefault="004D2BA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BA9" w:rsidRDefault="004D2BA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BA9" w:rsidRPr="004D2BA9" w:rsidRDefault="004D2BA9">
    <w:pPr>
      <w:pStyle w:val="Sidhuvud"/>
    </w:pPr>
    <w:r w:rsidRPr="004D2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655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BA9" w:rsidRDefault="004D2BA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BA9" w:rsidRDefault="004D2BA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BA9" w:rsidRPr="004D2BA9" w:rsidRDefault="004D2BA9">
    <w:pPr>
      <w:pStyle w:val="FSHNormal"/>
      <w:tabs>
        <w:tab w:val="right" w:pos="5840"/>
      </w:tabs>
    </w:pPr>
    <w:r w:rsidRPr="004D2BA9">
      <w:br/>
    </w:r>
    <w:r w:rsidRPr="004D2BA9">
      <w:fldChar w:fldCharType="begin" w:fldLock="1"/>
    </w:r>
    <w:r w:rsidRPr="004D2BA9">
      <w:instrText xml:space="preserve"> DOCPROPERTY</w:instrText>
    </w:r>
    <w:r w:rsidRPr="004D2BA9">
      <w:rPr>
        <w:sz w:val="18"/>
      </w:rPr>
      <w:instrText xml:space="preserve"> "YearUser" *\charformat </w:instrText>
    </w:r>
    <w:r w:rsidRPr="004D2BA9">
      <w:fldChar w:fldCharType="separate"/>
    </w:r>
    <w:r w:rsidRPr="004D2BA9">
      <w:t>2010/11</w:t>
    </w:r>
    <w:r w:rsidRPr="004D2BA9">
      <w:fldChar w:fldCharType="end"/>
    </w:r>
    <w:r w:rsidRPr="004D2BA9">
      <w:t xml:space="preserve"> </w:t>
    </w:r>
    <w:r w:rsidRPr="004D2BA9">
      <w:tab/>
      <w:t xml:space="preserve">mnr: </w:t>
    </w:r>
    <w:r w:rsidRPr="004D2BA9">
      <w:fldChar w:fldCharType="begin" w:fldLock="1"/>
    </w:r>
    <w:r w:rsidRPr="004D2BA9">
      <w:instrText xml:space="preserve"> DOCPROPERTY</w:instrText>
    </w:r>
    <w:r w:rsidRPr="004D2BA9">
      <w:rPr>
        <w:sz w:val="18"/>
      </w:rPr>
      <w:instrText xml:space="preserve"> "Motionsnummer" *\charformat </w:instrText>
    </w:r>
    <w:r w:rsidRPr="004D2BA9">
      <w:fldChar w:fldCharType="separate"/>
    </w:r>
    <w:r w:rsidRPr="004D2BA9">
      <w:t>T368</w:t>
    </w:r>
    <w:r w:rsidRPr="004D2BA9">
      <w:fldChar w:fldCharType="end"/>
    </w:r>
    <w:r w:rsidRPr="004D2BA9">
      <w:br/>
    </w:r>
    <w:r w:rsidRPr="004D2BA9">
      <w:fldChar w:fldCharType="begin" w:fldLock="1"/>
    </w:r>
    <w:r w:rsidRPr="004D2BA9">
      <w:instrText xml:space="preserve"> DOCPROPERTY</w:instrText>
    </w:r>
    <w:r w:rsidRPr="004D2BA9">
      <w:rPr>
        <w:sz w:val="18"/>
      </w:rPr>
      <w:instrText xml:space="preserve"> "Samling" *\charformat </w:instrText>
    </w:r>
    <w:r w:rsidRPr="004D2BA9">
      <w:fldChar w:fldCharType="end"/>
    </w:r>
    <w:r w:rsidRPr="004D2BA9">
      <w:tab/>
      <w:t xml:space="preserve">pnr: </w:t>
    </w:r>
    <w:r w:rsidRPr="004D2BA9">
      <w:fldChar w:fldCharType="begin" w:fldLock="1"/>
    </w:r>
    <w:r w:rsidRPr="004D2BA9">
      <w:instrText xml:space="preserve"> DOCPROPERTY</w:instrText>
    </w:r>
    <w:r w:rsidRPr="004D2BA9">
      <w:rPr>
        <w:sz w:val="18"/>
      </w:rPr>
      <w:instrText xml:space="preserve"> "Partinummer" *\charformat </w:instrText>
    </w:r>
    <w:r w:rsidRPr="004D2BA9">
      <w:fldChar w:fldCharType="separate"/>
    </w:r>
    <w:r w:rsidRPr="004D2BA9">
      <w:t>KD665</w:t>
    </w:r>
    <w:r w:rsidRPr="004D2BA9">
      <w:fldChar w:fldCharType="end"/>
    </w:r>
  </w:p>
  <w:p w:rsidR="004D2BA9" w:rsidRPr="004D2BA9" w:rsidRDefault="004D2BA9">
    <w:pPr>
      <w:pStyle w:val="FSHRub1"/>
    </w:pPr>
    <w:r w:rsidRPr="004D2BA9">
      <w:t>Motion till riksdagen</w:t>
    </w:r>
    <w:r w:rsidRPr="004D2BA9">
      <w:br/>
    </w:r>
    <w:r w:rsidRPr="004D2BA9">
      <w:fldChar w:fldCharType="begin" w:fldLock="1"/>
    </w:r>
    <w:r w:rsidRPr="004D2BA9">
      <w:instrText xml:space="preserve"> DOCPROPERTY "YearUser" *\charformat </w:instrText>
    </w:r>
    <w:r w:rsidRPr="004D2BA9">
      <w:fldChar w:fldCharType="separate"/>
    </w:r>
    <w:r w:rsidRPr="004D2BA9">
      <w:t>2010/11</w:t>
    </w:r>
    <w:r w:rsidRPr="004D2BA9">
      <w:fldChar w:fldCharType="end"/>
    </w:r>
    <w:r w:rsidRPr="004D2BA9">
      <w:t>:</w:t>
    </w:r>
    <w:r w:rsidRPr="004D2BA9">
      <w:fldChar w:fldCharType="begin" w:fldLock="1"/>
    </w:r>
    <w:r w:rsidRPr="004D2BA9">
      <w:instrText xml:space="preserve"> DOCPROPERTY "Motionsnummer" *\charformat </w:instrText>
    </w:r>
    <w:r w:rsidRPr="004D2BA9">
      <w:fldChar w:fldCharType="separate"/>
    </w:r>
    <w:r w:rsidRPr="004D2BA9">
      <w:t>T368</w:t>
    </w:r>
    <w:r w:rsidRPr="004D2BA9">
      <w:fldChar w:fldCharType="end"/>
    </w:r>
  </w:p>
  <w:p w:rsidR="004D2BA9" w:rsidRPr="004D2BA9" w:rsidRDefault="004D2BA9">
    <w:pPr>
      <w:pStyle w:val="FSHNormalS5"/>
    </w:pPr>
    <w:r w:rsidRPr="004D2BA9">
      <w:fldChar w:fldCharType="begin" w:fldLock="1"/>
    </w:r>
    <w:r w:rsidRPr="004D2BA9">
      <w:instrText xml:space="preserve"> DOCPROPERTY "MotionarText" *\charformat </w:instrText>
    </w:r>
    <w:r w:rsidRPr="004D2BA9">
      <w:fldChar w:fldCharType="separate"/>
    </w:r>
    <w:r w:rsidRPr="004D2BA9">
      <w:t>av Otto von Arnold (KD)</w:t>
    </w:r>
    <w:r w:rsidRPr="004D2BA9">
      <w:fldChar w:fldCharType="end"/>
    </w:r>
    <w:r w:rsidRPr="004D2BA9">
      <w:br/>
    </w:r>
    <w:r w:rsidRPr="004D2BA9">
      <w:fldChar w:fldCharType="begin" w:fldLock="1"/>
    </w:r>
    <w:r w:rsidRPr="004D2BA9">
      <w:instrText xml:space="preserve"> DOCPROPERTY "SvarFrasKort" *\charformat </w:instrText>
    </w:r>
    <w:r w:rsidRPr="004D2BA9">
      <w:fldChar w:fldCharType="end"/>
    </w:r>
  </w:p>
  <w:p w:rsidR="004D2BA9" w:rsidRPr="004D2BA9" w:rsidRDefault="004D2BA9">
    <w:pPr>
      <w:pStyle w:val="FSHTitel"/>
    </w:pPr>
    <w:r w:rsidRPr="004D2BA9">
      <w:fldChar w:fldCharType="begin" w:fldLock="1"/>
    </w:r>
    <w:r w:rsidRPr="004D2BA9">
      <w:instrText xml:space="preserve"> DOCPROPERTY</w:instrText>
    </w:r>
    <w:r w:rsidRPr="004D2BA9">
      <w:rPr>
        <w:sz w:val="18"/>
      </w:rPr>
      <w:instrText xml:space="preserve"> "RubrikSvar" *\charformat </w:instrText>
    </w:r>
    <w:r w:rsidRPr="004D2BA9">
      <w:fldChar w:fldCharType="separate"/>
    </w:r>
    <w:r w:rsidRPr="004D2BA9">
      <w:t>Infrastrukturen kring Trelleborgs hamn</w:t>
    </w:r>
    <w:r w:rsidRPr="004D2BA9">
      <w:fldChar w:fldCharType="end"/>
    </w:r>
  </w:p>
  <w:p w:rsidR="004D2BA9" w:rsidRPr="004D2BA9" w:rsidRDefault="004D2BA9">
    <w:pPr>
      <w:pStyle w:val="Normal00"/>
    </w:pPr>
  </w:p>
  <w:p w:rsidR="004D2BA9" w:rsidRPr="004D2BA9" w:rsidRDefault="004D2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1F5A45"/>
    <w:multiLevelType w:val="hybridMultilevel"/>
    <w:tmpl w:val="3B0C85EA"/>
    <w:lvl w:ilvl="0" w:tplc="F87C0DA0">
      <w:numFmt w:val="bullet"/>
      <w:lvlText w:val="-"/>
      <w:lvlJc w:val="left"/>
      <w:pPr>
        <w:tabs>
          <w:tab w:val="num" w:pos="720"/>
        </w:tabs>
        <w:ind w:left="720" w:hanging="360"/>
      </w:pPr>
      <w:rPr>
        <w:rFonts w:ascii="Times New Roman" w:eastAsia="Times New Roman" w:hAnsi="Times New Roman" w:hint="default"/>
        <w:w w:val="0"/>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7613733">
    <w:abstractNumId w:val="3"/>
  </w:num>
  <w:num w:numId="2" w16cid:durableId="444227682">
    <w:abstractNumId w:val="2"/>
  </w:num>
  <w:num w:numId="3" w16cid:durableId="1804615116">
    <w:abstractNumId w:val="1"/>
  </w:num>
  <w:num w:numId="4" w16cid:durableId="2001882931">
    <w:abstractNumId w:val="0"/>
  </w:num>
  <w:num w:numId="5" w16cid:durableId="745149241">
    <w:abstractNumId w:val="7"/>
  </w:num>
  <w:num w:numId="6" w16cid:durableId="774902666">
    <w:abstractNumId w:val="6"/>
  </w:num>
  <w:num w:numId="7" w16cid:durableId="1469779180">
    <w:abstractNumId w:val="5"/>
  </w:num>
  <w:num w:numId="8" w16cid:durableId="1797605574">
    <w:abstractNumId w:val="4"/>
  </w:num>
  <w:num w:numId="9" w16cid:durableId="189799840">
    <w:abstractNumId w:val="8"/>
  </w:num>
  <w:num w:numId="10" w16cid:durableId="1262882827">
    <w:abstractNumId w:val="9"/>
  </w:num>
  <w:num w:numId="11" w16cid:durableId="737825283">
    <w:abstractNumId w:val="10"/>
  </w:num>
  <w:num w:numId="12" w16cid:durableId="45616488">
    <w:abstractNumId w:val="13"/>
  </w:num>
  <w:num w:numId="13" w16cid:durableId="1985430415">
    <w:abstractNumId w:val="16"/>
  </w:num>
  <w:num w:numId="14" w16cid:durableId="2026058329">
    <w:abstractNumId w:val="17"/>
  </w:num>
  <w:num w:numId="15" w16cid:durableId="851066352">
    <w:abstractNumId w:val="11"/>
  </w:num>
  <w:num w:numId="16" w16cid:durableId="1589581982">
    <w:abstractNumId w:val="19"/>
  </w:num>
  <w:num w:numId="17" w16cid:durableId="353655248">
    <w:abstractNumId w:val="18"/>
  </w:num>
  <w:num w:numId="18" w16cid:durableId="952051904">
    <w:abstractNumId w:val="15"/>
  </w:num>
  <w:num w:numId="19" w16cid:durableId="2006584813">
    <w:abstractNumId w:val="12"/>
  </w:num>
  <w:num w:numId="20" w16cid:durableId="1607615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F38496E9-16DA-4B94-BCE4-4B841E9D6948}"/>
  </w:docVars>
  <w:rsids>
    <w:rsidRoot w:val="00BC7EC3"/>
    <w:rsid w:val="004D2BA9"/>
    <w:rsid w:val="00BC7E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962614-05F0-48C4-94C9-7AE0FAD5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2654</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kd665</vt:lpstr>
    </vt:vector>
  </TitlesOfParts>
  <Company>Riksdagen</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kd665</dc:title>
  <dc:subject>kd665</dc:subject>
  <dc:creator>Riksdagen</dc:creator>
  <cp:keywords>Riksdagen</cp:keywords>
  <dc:description>Versal/gemen i partibeteckning. Gemen i tryck för 0910, versal för 1011 och nyare</dc:description>
  <cp:lastModifiedBy>Lars Brink</cp:lastModifiedBy>
  <cp:revision>2</cp:revision>
  <cp:lastPrinted>2010-12-06T09:38:00Z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Infrastrukturen kring Trelleborgs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kring Trelleborgs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20102011000001070100000006650069</vt:lpwstr>
  </property>
  <property fmtid="{D5CDD505-2E9C-101B-9397-08002B2CF9AE}" pid="47" name="datum">
    <vt:lpwstr>101020</vt:lpwstr>
  </property>
  <property fmtid="{D5CDD505-2E9C-101B-9397-08002B2CF9AE}" pid="48" name="avsändar-e-post">
    <vt:lpwstr>ola.nilsson@riksdagen.se</vt:lpwstr>
  </property>
  <property fmtid="{D5CDD505-2E9C-101B-9397-08002B2CF9AE}" pid="49" name="id">
    <vt:lpwstr>20102011000001070100000006650069</vt:lpwstr>
  </property>
  <property fmtid="{D5CDD505-2E9C-101B-9397-08002B2CF9AE}" pid="50" name="nummer">
    <vt:lpwstr>368</vt:lpwstr>
  </property>
  <property fmtid="{D5CDD505-2E9C-101B-9397-08002B2CF9AE}" pid="51" name="utskottsbeteckning">
    <vt:lpwstr>T</vt:lpwstr>
  </property>
  <property fmtid="{D5CDD505-2E9C-101B-9397-08002B2CF9AE}" pid="52" name="GlobalUID">
    <vt:lpwstr>{550A071E-894C-4CA9-BD5C-9B343139E307}</vt:lpwstr>
  </property>
  <property fmtid="{D5CDD505-2E9C-101B-9397-08002B2CF9AE}" pid="53" name="Överföringar">
    <vt:i4>0</vt:i4>
  </property>
  <property fmtid="{D5CDD505-2E9C-101B-9397-08002B2CF9AE}" pid="54" name="Checksum">
    <vt:lpwstr>*0011435650388*</vt:lpwstr>
  </property>
  <property fmtid="{D5CDD505-2E9C-101B-9397-08002B2CF9AE}" pid="55" name="skuggnummer">
    <vt:lpwstr>1661</vt:lpwstr>
  </property>
  <property fmtid="{D5CDD505-2E9C-101B-9397-08002B2CF9AE}" pid="56" name="urixVersion">
    <vt:lpwstr>4.3.2.0</vt:lpwstr>
  </property>
  <property fmtid="{D5CDD505-2E9C-101B-9397-08002B2CF9AE}" pid="57" name="urixOrigin">
    <vt:lpwstr>101206 10:38:22.717</vt:lpwstr>
  </property>
  <property fmtid="{D5CDD505-2E9C-101B-9397-08002B2CF9AE}" pid="58" name="urixGuid">
    <vt:lpwstr>{B812EADB-953E-44C5-9CEC-B35575C343B1}</vt:lpwstr>
  </property>
</Properties>
</file>