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232F" w:rsidRPr="00DF232F" w:rsidRDefault="00DF232F">
      <w:pPr>
        <w:pStyle w:val="Frslagsrubrik"/>
      </w:pPr>
      <w:r w:rsidRPr="00DF232F">
        <w:t>Förslag till riksdagsbeslut</w:t>
      </w:r>
    </w:p>
    <w:p w:rsidR="00DF232F" w:rsidRPr="00DF232F" w:rsidRDefault="00DF232F">
      <w:pPr>
        <w:pStyle w:val="Hemstlatt"/>
      </w:pPr>
      <w:r w:rsidRPr="00DF232F">
        <w:t>Riksdagen tillkännager för regeringen som sin mening vad som anförs i motionen om att bevilja permanenta dispenser för de dri</w:t>
      </w:r>
      <w:r w:rsidRPr="00DF232F">
        <w:t>v</w:t>
      </w:r>
      <w:r w:rsidRPr="00DF232F">
        <w:t>medelsstationer som omfattas av pumplagens fjärde steg och att ta hänsyn till förhållanden som riskerar att snedvrida konkurrensen.</w:t>
      </w:r>
    </w:p>
    <w:p w:rsidR="00DF232F" w:rsidRPr="00DF232F" w:rsidRDefault="00DF232F">
      <w:pPr>
        <w:pStyle w:val="Rubrik1"/>
      </w:pPr>
      <w:r w:rsidRPr="00DF232F">
        <w:t>Motivering</w:t>
      </w:r>
    </w:p>
    <w:p w:rsidR="00DF232F" w:rsidRPr="00DF232F" w:rsidRDefault="00DF232F">
      <w:r w:rsidRPr="00DF232F">
        <w:t>Under 2005 genomdrev Socialdemokraterna och Miljöpartiet bestämmelserna att alla försäljningsställen av fordonsbränsle måste tillhandahålla minst ett förnybart bränsle i sina pumpar. Samtliga övriga partier i riksdagen under den tiden reserverade sig med hänvisning till förslagets brist på teknikneutralitet. Reservanterna såg hur lagstiftningen som skulle komma att kallas för pum</w:t>
      </w:r>
      <w:r w:rsidRPr="00DF232F">
        <w:t>p</w:t>
      </w:r>
      <w:r w:rsidRPr="00DF232F">
        <w:t>lagen ensidigt gynnade etanol framför andra förnybara bränslen som biogas. Så har det också blivit med etanol E85 som i kraft av att vara den billigaste investeringen också blivit det vanligaste alternativet. Omställningen geno</w:t>
      </w:r>
      <w:r w:rsidRPr="00DF232F">
        <w:t>m</w:t>
      </w:r>
      <w:r w:rsidRPr="00DF232F">
        <w:t xml:space="preserve">fördes etappvis och är nu är fullt genomförd. Alla fordonsbränslestationer med en årlig försäljningsvolym som överstiger </w:t>
      </w:r>
      <w:smartTag w:uri="urn:schemas-microsoft-com:office:smarttags" w:element="metricconverter">
        <w:smartTagPr>
          <w:attr w:name="ProductID" w:val="1?000 kubikmeter"/>
        </w:smartTagPr>
        <w:r w:rsidRPr="00DF232F">
          <w:t>1 000 kubikmeter</w:t>
        </w:r>
      </w:smartTag>
      <w:r w:rsidRPr="00DF232F">
        <w:t xml:space="preserve"> är ålagda att inneha ett förnybart bränsleslag ur pump. Konsekvenserna har blivit tydliga för den utsatta bransch där marginalerna är små och kun</w:t>
      </w:r>
      <w:r w:rsidRPr="00DF232F">
        <w:t>dunderlaget många gånger på gles- och landsbygden är vikande. Ett stort antal tankställen, sä</w:t>
      </w:r>
      <w:r w:rsidRPr="00DF232F">
        <w:t>r</w:t>
      </w:r>
      <w:r w:rsidRPr="00DF232F">
        <w:t>skilt i gles- och landsbygder, har lagts ned eller planeras bli nedlagda. Ans</w:t>
      </w:r>
      <w:r w:rsidRPr="00DF232F">
        <w:t>ö</w:t>
      </w:r>
      <w:r w:rsidRPr="00DF232F">
        <w:t>kan om att tillhandahålla elektricitet till elhybrider har avslagits med hänvi</w:t>
      </w:r>
      <w:r w:rsidRPr="00DF232F">
        <w:t>s</w:t>
      </w:r>
      <w:r w:rsidRPr="00DF232F">
        <w:t>ning till att kravet om förnybart drivmedel gäller tillhandahållande av dri</w:t>
      </w:r>
      <w:r w:rsidRPr="00DF232F">
        <w:t>v</w:t>
      </w:r>
      <w:r w:rsidRPr="00DF232F">
        <w:t>medel ur pump explicit.</w:t>
      </w:r>
    </w:p>
    <w:p w:rsidR="00DF232F" w:rsidRPr="00DF232F" w:rsidRDefault="00DF232F">
      <w:pPr>
        <w:pStyle w:val="Normaltindrag"/>
      </w:pPr>
      <w:r w:rsidRPr="00DF232F">
        <w:t>Den så kallade mackdöden kan härledas till flera orsaker, det är dock otv</w:t>
      </w:r>
      <w:r w:rsidRPr="00DF232F">
        <w:t>e</w:t>
      </w:r>
      <w:r w:rsidRPr="00DF232F">
        <w:t>tydigt att den påtvingade investeringen med små chanser till lönsamhet me</w:t>
      </w:r>
      <w:r w:rsidRPr="00DF232F">
        <w:t>d</w:t>
      </w:r>
      <w:r w:rsidRPr="00DF232F">
        <w:t>fört stora konsekvenser för verksamheter med små vinstmarginaler.</w:t>
      </w:r>
    </w:p>
    <w:p w:rsidR="00DF232F" w:rsidRPr="00DF232F" w:rsidRDefault="00DF232F">
      <w:pPr>
        <w:pStyle w:val="Normaltindrag"/>
        <w:rPr>
          <w:szCs w:val="24"/>
        </w:rPr>
      </w:pPr>
      <w:r w:rsidRPr="00DF232F">
        <w:lastRenderedPageBreak/>
        <w:t>Ett stort antal tankställen har kunnat överleva tack vare dispenser. Trafi</w:t>
      </w:r>
      <w:r w:rsidRPr="00DF232F">
        <w:t>k</w:t>
      </w:r>
      <w:r w:rsidRPr="00DF232F">
        <w:t>utskottet har under föregående riksdagsår uppmärksammat de negativa ko</w:t>
      </w:r>
      <w:r w:rsidRPr="00DF232F">
        <w:t>n</w:t>
      </w:r>
      <w:r w:rsidRPr="00DF232F">
        <w:t>sekvenser</w:t>
      </w:r>
      <w:r w:rsidRPr="00DF232F">
        <w:rPr>
          <w:color w:val="000000"/>
        </w:rPr>
        <w:t xml:space="preserve"> som lagen om skyldighet att tillhandahålla förnybara drivmedel har för mindre tankställen i glesbygd och uppmanat regeringen att se över dessa. I synnerhet ansåg trafikutskottet att regeringen borde genomföra en översyn av frågan om tidsbegränsade dispenser. Regeringen hörsammar följaktligen detta i budgeten (</w:t>
      </w:r>
      <w:r w:rsidRPr="00DF232F">
        <w:t xml:space="preserve">prop. 2010/11:1 utgiftsområde 19) och anger där att ärendet bereds med avsikt att vidta åtgärder eller lämna förslag. </w:t>
      </w:r>
      <w:r w:rsidRPr="00DF232F">
        <w:rPr>
          <w:color w:val="000000"/>
          <w:szCs w:val="24"/>
        </w:rPr>
        <w:t>V</w:t>
      </w:r>
      <w:r w:rsidRPr="00DF232F">
        <w:rPr>
          <w:color w:val="000000"/>
          <w:szCs w:val="24"/>
        </w:rPr>
        <w:t>id införande av en generell dispens måste beaktas att detta inte medför en oönskad snedvridning av konkurrensen.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F232F">
        <w:trPr>
          <w:cantSplit/>
        </w:trPr>
        <w:tc>
          <w:tcPr>
            <w:tcW w:w="3046" w:type="dxa"/>
          </w:tcPr>
          <w:p w:rsidR="00DF232F" w:rsidRPr="00DF232F" w:rsidRDefault="00DF232F">
            <w:pPr>
              <w:pStyle w:val="UnderskriftDatum"/>
              <w:spacing w:before="240"/>
            </w:pPr>
            <w:r w:rsidRPr="00DF232F">
              <w:t>Stockholm den 20 oktober 2010</w:t>
            </w:r>
          </w:p>
        </w:tc>
        <w:tc>
          <w:tcPr>
            <w:tcW w:w="3047" w:type="dxa"/>
          </w:tcPr>
          <w:p w:rsidR="00DF232F" w:rsidRPr="00DF232F" w:rsidRDefault="00DF232F">
            <w:pPr>
              <w:pStyle w:val="Underskrifter"/>
              <w:spacing w:before="240"/>
            </w:pPr>
          </w:p>
        </w:tc>
      </w:tr>
      <w:tr w:rsidR="00000000" w:rsidRPr="00DF232F">
        <w:trPr>
          <w:cantSplit/>
        </w:trPr>
        <w:tc>
          <w:tcPr>
            <w:tcW w:w="3046" w:type="dxa"/>
          </w:tcPr>
          <w:p w:rsidR="00DF232F" w:rsidRPr="00DF232F" w:rsidRDefault="00DF232F">
            <w:pPr>
              <w:pStyle w:val="Underskrifter"/>
            </w:pPr>
            <w:r w:rsidRPr="00DF232F">
              <w:t>Lars Gustafsson (KD)</w:t>
            </w:r>
          </w:p>
        </w:tc>
        <w:tc>
          <w:tcPr>
            <w:tcW w:w="3046" w:type="dxa"/>
          </w:tcPr>
          <w:p w:rsidR="00DF232F" w:rsidRPr="00DF232F" w:rsidRDefault="00DF232F">
            <w:pPr>
              <w:pStyle w:val="Underskrifter"/>
            </w:pPr>
          </w:p>
        </w:tc>
      </w:tr>
      <w:tr w:rsidR="00000000" w:rsidRPr="00DF232F">
        <w:trPr>
          <w:cantSplit/>
        </w:trPr>
        <w:tc>
          <w:tcPr>
            <w:tcW w:w="3046" w:type="dxa"/>
          </w:tcPr>
          <w:p w:rsidR="00DF232F" w:rsidRPr="00DF232F" w:rsidRDefault="00DF232F">
            <w:pPr>
              <w:pStyle w:val="Underskrifter"/>
            </w:pPr>
            <w:r w:rsidRPr="00DF232F">
              <w:t>Anders Sellström (KD)</w:t>
            </w:r>
          </w:p>
        </w:tc>
        <w:tc>
          <w:tcPr>
            <w:tcW w:w="3046" w:type="dxa"/>
          </w:tcPr>
          <w:p w:rsidR="00DF232F" w:rsidRPr="00DF232F" w:rsidRDefault="00DF232F">
            <w:pPr>
              <w:pStyle w:val="Underskrifter"/>
            </w:pPr>
            <w:r w:rsidRPr="00DF232F">
              <w:t>Lars-Axel Nordell (KD)</w:t>
            </w:r>
          </w:p>
        </w:tc>
      </w:tr>
    </w:tbl>
    <w:p w:rsidR="00DF232F" w:rsidRPr="00DF232F" w:rsidRDefault="00DF232F">
      <w:pPr>
        <w:pStyle w:val="Normaltindrag"/>
      </w:pPr>
    </w:p>
    <w:sectPr w:rsidR="00000000" w:rsidRPr="00DF23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232F" w:rsidRPr="00DF232F" w:rsidRDefault="00DF232F">
      <w:r w:rsidRPr="00DF232F">
        <w:separator/>
      </w:r>
    </w:p>
  </w:endnote>
  <w:endnote w:type="continuationSeparator" w:id="0">
    <w:p w:rsidR="00DF232F" w:rsidRPr="00DF232F" w:rsidRDefault="00DF232F">
      <w:r w:rsidRPr="00DF23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232F" w:rsidRPr="00DF232F" w:rsidRDefault="00DF232F">
    <w:pPr>
      <w:pStyle w:val="Sidfot"/>
    </w:pPr>
    <w:r w:rsidRPr="00DF232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2262231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232F" w:rsidRDefault="00DF232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F232F" w:rsidRDefault="00DF232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232F" w:rsidRPr="00DF232F" w:rsidRDefault="00DF232F">
    <w:pPr>
      <w:pStyle w:val="Sidfot"/>
    </w:pPr>
    <w:r w:rsidRPr="00DF232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986757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232F" w:rsidRDefault="00DF232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F232F" w:rsidRDefault="00DF232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232F" w:rsidRPr="00DF232F" w:rsidRDefault="00DF232F">
    <w:pPr>
      <w:pStyle w:val="Sidfot"/>
    </w:pPr>
    <w:r w:rsidRPr="00DF232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460129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232F" w:rsidRDefault="00DF232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F232F" w:rsidRDefault="00DF232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232F" w:rsidRPr="00DF232F" w:rsidRDefault="00DF232F">
      <w:r w:rsidRPr="00DF232F">
        <w:separator/>
      </w:r>
    </w:p>
  </w:footnote>
  <w:footnote w:type="continuationSeparator" w:id="0">
    <w:p w:rsidR="00DF232F" w:rsidRPr="00DF232F" w:rsidRDefault="00DF232F">
      <w:r w:rsidRPr="00DF232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232F" w:rsidRPr="00DF232F" w:rsidRDefault="00DF232F">
    <w:pPr>
      <w:pStyle w:val="Sidhuvud"/>
    </w:pPr>
    <w:r w:rsidRPr="00DF232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794085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232F" w:rsidRDefault="00DF232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F232F" w:rsidRDefault="00DF232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232F" w:rsidRPr="00DF232F" w:rsidRDefault="00DF232F">
    <w:pPr>
      <w:pStyle w:val="Sidhuvud"/>
    </w:pPr>
    <w:r w:rsidRPr="00DF232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978048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232F" w:rsidRDefault="00DF232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F232F" w:rsidRDefault="00DF232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232F" w:rsidRPr="00DF232F" w:rsidRDefault="00DF232F">
    <w:pPr>
      <w:pStyle w:val="FSHNormal"/>
      <w:tabs>
        <w:tab w:val="right" w:pos="5840"/>
      </w:tabs>
    </w:pPr>
    <w:r w:rsidRPr="00DF232F">
      <w:br/>
    </w:r>
    <w:r w:rsidRPr="00DF232F">
      <w:fldChar w:fldCharType="begin" w:fldLock="1"/>
    </w:r>
    <w:r w:rsidRPr="00DF232F">
      <w:instrText xml:space="preserve"> DOCPROPERTY</w:instrText>
    </w:r>
    <w:r w:rsidRPr="00DF232F">
      <w:rPr>
        <w:sz w:val="18"/>
      </w:rPr>
      <w:instrText xml:space="preserve"> "YearUser" *\charformat </w:instrText>
    </w:r>
    <w:r w:rsidRPr="00DF232F">
      <w:fldChar w:fldCharType="separate"/>
    </w:r>
    <w:r w:rsidRPr="00DF232F">
      <w:t>2010/11</w:t>
    </w:r>
    <w:r w:rsidRPr="00DF232F">
      <w:fldChar w:fldCharType="end"/>
    </w:r>
    <w:r w:rsidRPr="00DF232F">
      <w:t xml:space="preserve"> </w:t>
    </w:r>
    <w:r w:rsidRPr="00DF232F">
      <w:tab/>
      <w:t xml:space="preserve">mnr: </w:t>
    </w:r>
    <w:r w:rsidRPr="00DF232F">
      <w:fldChar w:fldCharType="begin" w:fldLock="1"/>
    </w:r>
    <w:r w:rsidRPr="00DF232F">
      <w:instrText xml:space="preserve"> DOCPROPERTY</w:instrText>
    </w:r>
    <w:r w:rsidRPr="00DF232F">
      <w:rPr>
        <w:sz w:val="18"/>
      </w:rPr>
      <w:instrText xml:space="preserve"> "Motionsnummer" *\charformat </w:instrText>
    </w:r>
    <w:r w:rsidRPr="00DF232F">
      <w:fldChar w:fldCharType="separate"/>
    </w:r>
    <w:r w:rsidRPr="00DF232F">
      <w:t>T208</w:t>
    </w:r>
    <w:r w:rsidRPr="00DF232F">
      <w:fldChar w:fldCharType="end"/>
    </w:r>
    <w:r w:rsidRPr="00DF232F">
      <w:br/>
    </w:r>
    <w:r w:rsidRPr="00DF232F">
      <w:fldChar w:fldCharType="begin" w:fldLock="1"/>
    </w:r>
    <w:r w:rsidRPr="00DF232F">
      <w:instrText xml:space="preserve"> DOCPROPERTY</w:instrText>
    </w:r>
    <w:r w:rsidRPr="00DF232F">
      <w:rPr>
        <w:sz w:val="18"/>
      </w:rPr>
      <w:instrText xml:space="preserve"> "Samling" *\charformat </w:instrText>
    </w:r>
    <w:r w:rsidRPr="00DF232F">
      <w:fldChar w:fldCharType="end"/>
    </w:r>
    <w:r w:rsidRPr="00DF232F">
      <w:tab/>
      <w:t xml:space="preserve">pnr: </w:t>
    </w:r>
    <w:r w:rsidRPr="00DF232F">
      <w:fldChar w:fldCharType="begin" w:fldLock="1"/>
    </w:r>
    <w:r w:rsidRPr="00DF232F">
      <w:instrText xml:space="preserve"> DOCPROPERTY</w:instrText>
    </w:r>
    <w:r w:rsidRPr="00DF232F">
      <w:rPr>
        <w:sz w:val="18"/>
      </w:rPr>
      <w:instrText xml:space="preserve"> "Partinummer" *\charformat </w:instrText>
    </w:r>
    <w:r w:rsidRPr="00DF232F">
      <w:fldChar w:fldCharType="separate"/>
    </w:r>
    <w:r w:rsidRPr="00DF232F">
      <w:t>KD517</w:t>
    </w:r>
    <w:r w:rsidRPr="00DF232F">
      <w:fldChar w:fldCharType="end"/>
    </w:r>
  </w:p>
  <w:p w:rsidR="00DF232F" w:rsidRPr="00DF232F" w:rsidRDefault="00DF232F">
    <w:pPr>
      <w:pStyle w:val="FSHRub1"/>
    </w:pPr>
    <w:r w:rsidRPr="00DF232F">
      <w:t>Motion till riksdagen</w:t>
    </w:r>
    <w:r w:rsidRPr="00DF232F">
      <w:br/>
    </w:r>
    <w:r w:rsidRPr="00DF232F">
      <w:fldChar w:fldCharType="begin" w:fldLock="1"/>
    </w:r>
    <w:r w:rsidRPr="00DF232F">
      <w:instrText xml:space="preserve"> DOCPROPERTY "YearUser" *\charformat </w:instrText>
    </w:r>
    <w:r w:rsidRPr="00DF232F">
      <w:fldChar w:fldCharType="separate"/>
    </w:r>
    <w:r w:rsidRPr="00DF232F">
      <w:t>2010/11</w:t>
    </w:r>
    <w:r w:rsidRPr="00DF232F">
      <w:fldChar w:fldCharType="end"/>
    </w:r>
    <w:r w:rsidRPr="00DF232F">
      <w:t>:</w:t>
    </w:r>
    <w:r w:rsidRPr="00DF232F">
      <w:fldChar w:fldCharType="begin" w:fldLock="1"/>
    </w:r>
    <w:r w:rsidRPr="00DF232F">
      <w:instrText xml:space="preserve"> DOCPROPERTY "Motionsnummer" *\charformat </w:instrText>
    </w:r>
    <w:r w:rsidRPr="00DF232F">
      <w:fldChar w:fldCharType="separate"/>
    </w:r>
    <w:r w:rsidRPr="00DF232F">
      <w:t>T208</w:t>
    </w:r>
    <w:r w:rsidRPr="00DF232F">
      <w:fldChar w:fldCharType="end"/>
    </w:r>
  </w:p>
  <w:p w:rsidR="00DF232F" w:rsidRPr="00DF232F" w:rsidRDefault="00DF232F">
    <w:pPr>
      <w:pStyle w:val="FSHNormalS5"/>
    </w:pPr>
    <w:r w:rsidRPr="00DF232F">
      <w:fldChar w:fldCharType="begin" w:fldLock="1"/>
    </w:r>
    <w:r w:rsidRPr="00DF232F">
      <w:instrText xml:space="preserve"> DOCPROPERTY "MotionarText" *\charformat </w:instrText>
    </w:r>
    <w:r w:rsidRPr="00DF232F">
      <w:fldChar w:fldCharType="separate"/>
    </w:r>
    <w:r w:rsidRPr="00DF232F">
      <w:t>av Lars Gustafsson m.fl. (KD)</w:t>
    </w:r>
    <w:r w:rsidRPr="00DF232F">
      <w:fldChar w:fldCharType="end"/>
    </w:r>
    <w:r w:rsidRPr="00DF232F">
      <w:br/>
    </w:r>
    <w:r w:rsidRPr="00DF232F">
      <w:fldChar w:fldCharType="begin" w:fldLock="1"/>
    </w:r>
    <w:r w:rsidRPr="00DF232F">
      <w:instrText xml:space="preserve"> DOCPROPERTY "SvarFrasKort" *\charformat </w:instrText>
    </w:r>
    <w:r w:rsidRPr="00DF232F">
      <w:fldChar w:fldCharType="end"/>
    </w:r>
  </w:p>
  <w:p w:rsidR="00DF232F" w:rsidRPr="00DF232F" w:rsidRDefault="00DF232F">
    <w:pPr>
      <w:pStyle w:val="FSHTitel"/>
    </w:pPr>
    <w:r w:rsidRPr="00DF232F">
      <w:fldChar w:fldCharType="begin" w:fldLock="1"/>
    </w:r>
    <w:r w:rsidRPr="00DF232F">
      <w:instrText xml:space="preserve"> DOCPROPERTY</w:instrText>
    </w:r>
    <w:r w:rsidRPr="00DF232F">
      <w:rPr>
        <w:sz w:val="18"/>
      </w:rPr>
      <w:instrText xml:space="preserve"> "RubrikSvar" *\charformat </w:instrText>
    </w:r>
    <w:r w:rsidRPr="00DF232F">
      <w:fldChar w:fldCharType="separate"/>
    </w:r>
    <w:r w:rsidRPr="00DF232F">
      <w:t>Pumplagens dispenser</w:t>
    </w:r>
    <w:r w:rsidRPr="00DF232F">
      <w:fldChar w:fldCharType="end"/>
    </w:r>
  </w:p>
  <w:p w:rsidR="00DF232F" w:rsidRPr="00DF232F" w:rsidRDefault="00DF232F">
    <w:pPr>
      <w:pStyle w:val="Normal00"/>
    </w:pPr>
  </w:p>
  <w:p w:rsidR="00DF232F" w:rsidRPr="00DF232F" w:rsidRDefault="00DF232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54569369">
    <w:abstractNumId w:val="3"/>
  </w:num>
  <w:num w:numId="2" w16cid:durableId="1795127164">
    <w:abstractNumId w:val="2"/>
  </w:num>
  <w:num w:numId="3" w16cid:durableId="865677178">
    <w:abstractNumId w:val="1"/>
  </w:num>
  <w:num w:numId="4" w16cid:durableId="293679896">
    <w:abstractNumId w:val="0"/>
  </w:num>
  <w:num w:numId="5" w16cid:durableId="1614359349">
    <w:abstractNumId w:val="7"/>
  </w:num>
  <w:num w:numId="6" w16cid:durableId="1344237697">
    <w:abstractNumId w:val="6"/>
  </w:num>
  <w:num w:numId="7" w16cid:durableId="1361471657">
    <w:abstractNumId w:val="5"/>
  </w:num>
  <w:num w:numId="8" w16cid:durableId="1838156739">
    <w:abstractNumId w:val="4"/>
  </w:num>
  <w:num w:numId="9" w16cid:durableId="1977291442">
    <w:abstractNumId w:val="8"/>
  </w:num>
  <w:num w:numId="10" w16cid:durableId="1570573262">
    <w:abstractNumId w:val="9"/>
  </w:num>
  <w:num w:numId="11" w16cid:durableId="47382856">
    <w:abstractNumId w:val="10"/>
  </w:num>
  <w:num w:numId="12" w16cid:durableId="1316571084">
    <w:abstractNumId w:val="13"/>
  </w:num>
  <w:num w:numId="13" w16cid:durableId="320500730">
    <w:abstractNumId w:val="15"/>
  </w:num>
  <w:num w:numId="14" w16cid:durableId="380637691">
    <w:abstractNumId w:val="16"/>
  </w:num>
  <w:num w:numId="15" w16cid:durableId="267084576">
    <w:abstractNumId w:val="11"/>
  </w:num>
  <w:num w:numId="16" w16cid:durableId="35931101">
    <w:abstractNumId w:val="18"/>
  </w:num>
  <w:num w:numId="17" w16cid:durableId="1164465850">
    <w:abstractNumId w:val="17"/>
  </w:num>
  <w:num w:numId="18" w16cid:durableId="1924993580">
    <w:abstractNumId w:val="14"/>
  </w:num>
  <w:num w:numId="19" w16cid:durableId="14257600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23_2010-10-14"/>
    <w:docVar w:name="PersonGUIDs" w:val="{F0C3E049-DCEA-467D-A1B5-C821825E3BC2},{B23A824C-F845-4834-A731-C6637E45BD77},{95646CD8-EE96-4B4D-B76D-C476B3FDD006}"/>
  </w:docVars>
  <w:rsids>
    <w:rsidRoot w:val="00A4074B"/>
    <w:rsid w:val="00A4074B"/>
    <w:rsid w:val="00DF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A26342A5-A574-43CA-9297-3BC1429D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2204</Characters>
  <Application>Microsoft Office Word</Application>
  <DocSecurity>4</DocSecurity>
  <Lines>42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2010-10-29T14:06:00Z</cp:lastPrinted>
  <dcterms:created xsi:type="dcterms:W3CDTF">2025-12-18T02:52:00Z</dcterms:created>
  <dcterms:modified xsi:type="dcterms:W3CDTF">2025-12-18T02:52:00Z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mot2000_523_2010-10-14</vt:lpwstr>
  </property>
  <property fmtid="{D5CDD505-2E9C-101B-9397-08002B2CF9AE}" pid="3" name="version">
    <vt:lpwstr>mot2000_523_2010-10-14</vt:lpwstr>
  </property>
  <property fmtid="{D5CDD505-2E9C-101B-9397-08002B2CF9AE}" pid="4" name="dokumenttyp">
    <vt:lpwstr>motion</vt:lpwstr>
  </property>
  <property fmtid="{D5CDD505-2E9C-101B-9397-08002B2CF9AE}" pid="5" name="Sekr">
    <vt:lpwstr>jl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Pumplagens dispenser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Pumplagens dispenser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KD517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Lars Gustafsson m.fl. (KD)</vt:lpwstr>
  </property>
  <property fmtid="{D5CDD505-2E9C-101B-9397-08002B2CF9AE}" pid="26" name="MotionarLista">
    <vt:lpwstr>Gustafsson, Lars (KD)\Sellström, Anders (KD)\Nordell, Lars-Axel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Gustafsson (KD), Anders Sellström (KD), Lars-Axel Nordell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2010</vt:lpwstr>
  </property>
  <property fmtid="{D5CDD505-2E9C-101B-9397-08002B2CF9AE}" pid="44" name="NotesUID">
    <vt:lpwstr>jonathan.lindgren@riksdagen.se</vt:lpwstr>
  </property>
  <property fmtid="{D5CDD505-2E9C-101B-9397-08002B2CF9AE}" pid="45" name="ReservUID">
    <vt:lpwstr>jn0116aa</vt:lpwstr>
  </property>
  <property fmtid="{D5CDD505-2E9C-101B-9397-08002B2CF9AE}" pid="46" name="MotionID">
    <vt:lpwstr>20102011000001070100000005170069</vt:lpwstr>
  </property>
  <property fmtid="{D5CDD505-2E9C-101B-9397-08002B2CF9AE}" pid="47" name="datum">
    <vt:lpwstr>101020</vt:lpwstr>
  </property>
  <property fmtid="{D5CDD505-2E9C-101B-9397-08002B2CF9AE}" pid="48" name="avsändar-e-post">
    <vt:lpwstr>jonathan.lindgren@riksdagen.se</vt:lpwstr>
  </property>
  <property fmtid="{D5CDD505-2E9C-101B-9397-08002B2CF9AE}" pid="49" name="id">
    <vt:lpwstr>20102011000001070100000005170069</vt:lpwstr>
  </property>
  <property fmtid="{D5CDD505-2E9C-101B-9397-08002B2CF9AE}" pid="50" name="nummer">
    <vt:lpwstr>208</vt:lpwstr>
  </property>
  <property fmtid="{D5CDD505-2E9C-101B-9397-08002B2CF9AE}" pid="51" name="utskottsbeteckning">
    <vt:lpwstr>T</vt:lpwstr>
  </property>
  <property fmtid="{D5CDD505-2E9C-101B-9397-08002B2CF9AE}" pid="52" name="GlobalUID">
    <vt:lpwstr>{104F716A-4BF3-44AB-80DD-D5B3175399D2}</vt:lpwstr>
  </property>
  <property fmtid="{D5CDD505-2E9C-101B-9397-08002B2CF9AE}" pid="53" name="Överföringar">
    <vt:i4>0</vt:i4>
  </property>
  <property fmtid="{D5CDD505-2E9C-101B-9397-08002B2CF9AE}" pid="54" name="Checksum">
    <vt:lpwstr>*1018032445002*</vt:lpwstr>
  </property>
  <property fmtid="{D5CDD505-2E9C-101B-9397-08002B2CF9AE}" pid="55" name="skuggnummer">
    <vt:lpwstr>238</vt:lpwstr>
  </property>
  <property fmtid="{D5CDD505-2E9C-101B-9397-08002B2CF9AE}" pid="56" name="urixVersion">
    <vt:lpwstr>4.3.0.0</vt:lpwstr>
  </property>
  <property fmtid="{D5CDD505-2E9C-101B-9397-08002B2CF9AE}" pid="57" name="urixOrigin">
    <vt:lpwstr>101029 16:06:09.871</vt:lpwstr>
  </property>
  <property fmtid="{D5CDD505-2E9C-101B-9397-08002B2CF9AE}" pid="58" name="urixGuid">
    <vt:lpwstr>{E47CAA32-DACD-45DE-B0A5-B2D65EED2336}</vt:lpwstr>
  </property>
</Properties>
</file>