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BDD6C-BF0D-4A91-A980-915FC81310CD}"/>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77D5C2CE-BEDE-4A34-BE8F-F5CAB4D74766}"/>
</file>

<file path=customXml/itemProps4.xml><?xml version="1.0" encoding="utf-8"?>
<ds:datastoreItem xmlns:ds="http://schemas.openxmlformats.org/officeDocument/2006/customXml" ds:itemID="{54E7CB94-68B2-4C68-A232-BED9747397AE}"/>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