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335" w:rsidRPr="00CE61F8" w:rsidRDefault="006E0335">
      <w:pPr>
        <w:pStyle w:val="Frslagsrubrik"/>
      </w:pPr>
      <w:r w:rsidRPr="00CE61F8">
        <w:t>Förslag till riksdagsbeslut</w:t>
      </w:r>
    </w:p>
    <w:p w:rsidR="006E0335" w:rsidRPr="00CE61F8" w:rsidRDefault="006E0335">
      <w:pPr>
        <w:pStyle w:val="Hemstlatt"/>
      </w:pPr>
      <w:r w:rsidRPr="00CE61F8">
        <w:t>Riksdagen tillkännager för regeringen som sin mening vad som anförs i motionen om åtgärder för sänkt elpris i södra Sveriges e</w:t>
      </w:r>
      <w:r w:rsidRPr="00CE61F8">
        <w:t>l</w:t>
      </w:r>
      <w:r w:rsidRPr="00CE61F8">
        <w:t>prisområde.</w:t>
      </w:r>
    </w:p>
    <w:p w:rsidR="006E0335" w:rsidRPr="00CE61F8" w:rsidRDefault="006E0335">
      <w:pPr>
        <w:pStyle w:val="Rubrik1"/>
      </w:pPr>
      <w:r w:rsidRPr="00CE61F8">
        <w:t>Motivering</w:t>
      </w:r>
    </w:p>
    <w:p w:rsidR="006E0335" w:rsidRPr="00CE61F8" w:rsidRDefault="006E0335">
      <w:r w:rsidRPr="00CE61F8">
        <w:t>Den 1 november 2010 delades Sverige in i fyra elprisområden. Indelningen var Svenska kraftnäts svar på en granskning av den svenska elmarknaden som EU-kommissionen hade genomfört. Kommissionen kritiserade den svenska elmarknaden för att gynna svenska kunder framför danska och tyska kunder.</w:t>
      </w:r>
    </w:p>
    <w:p w:rsidR="006E0335" w:rsidRPr="00CE61F8" w:rsidRDefault="006E0335">
      <w:pPr>
        <w:pStyle w:val="Normaltindrag"/>
      </w:pPr>
      <w:r w:rsidRPr="00CE61F8">
        <w:t>Med de nya elprisområdena blir elpriset i högre utsträckning beroende av kraftläget i regionen. Eftersom det i Skåne råder brist på produktionskapacitet samtidigt som det finns flaskhalsar i överföringskapaciteten blir priset relativt sett högre. Johan Öhnell, vd på Telge Energi, skriver i en artikel i Ny Teknik (29/8 2011) att två miljoner elkonsumenter i södra Sverige kan få betala över en miljard mer för sin el än tidigare. Om den beräkningen stämmer vet vi ännu inte, men uppenbart är att mycket talar f</w:t>
      </w:r>
      <w:r w:rsidRPr="00CE61F8">
        <w:t>ör att det redan till vintern blir höjt elpris i Skåne.</w:t>
      </w:r>
    </w:p>
    <w:p w:rsidR="006E0335" w:rsidRPr="00CE61F8" w:rsidRDefault="006E0335">
      <w:pPr>
        <w:pStyle w:val="Normaltindrag"/>
      </w:pPr>
      <w:r w:rsidRPr="00CE61F8">
        <w:t>Redan nu finns tecken på att elhandelsbolags intresse för längre elavtal minskar i södra Sverige. Enligt elprisjämförelsesajten Elskling.se har ”nio elhandelsbolag helt upphört med att erbjuda fasta elavtal, medan ytterligare 21 elhandelsbolag fortfarande erbjuder fastprisavtal till delar av landet men exkluderar särskilt elkonsumenterna i elprisområde fyra från att få teckna längre avtalslängder”. (Pressmeddelande 2010-11-08).</w:t>
      </w:r>
    </w:p>
    <w:p w:rsidR="006E0335" w:rsidRPr="00CE61F8" w:rsidRDefault="006E0335">
      <w:pPr>
        <w:pStyle w:val="Normaltindrag"/>
      </w:pPr>
      <w:r w:rsidRPr="00CE61F8">
        <w:t>När beslut togs om att stänga Barsebäck var inte tanken att skåningarna skulle bära kostnaderna, men genom införandet av elprisområdena blir så fallet. För att möta detta krävs att Skåne prioriteras vad gäller såväl ny pr</w:t>
      </w:r>
      <w:r w:rsidRPr="00CE61F8">
        <w:t>o</w:t>
      </w:r>
      <w:r w:rsidRPr="00CE61F8">
        <w:t>duktion som investeringar i nya ledningar.</w:t>
      </w:r>
    </w:p>
    <w:p w:rsidR="006E0335" w:rsidRPr="00CE61F8" w:rsidRDefault="006E0335">
      <w:pPr>
        <w:pStyle w:val="Normaltindrag"/>
      </w:pPr>
      <w:r w:rsidRPr="00CE61F8">
        <w:lastRenderedPageBreak/>
        <w:t>De negativa konsekvenserna som införandet av elprisområden innebär kan mildras genom förbättrad överföringskapacitet och ökad produktion i det södra elprisområdet. Men priset påverkas också av hur områdena delas in. De nya gränserna är en rent administrativ åtgärd.</w:t>
      </w:r>
    </w:p>
    <w:p w:rsidR="006E0335" w:rsidRPr="00CE61F8" w:rsidRDefault="006E0335">
      <w:pPr>
        <w:pStyle w:val="Normaltindrag"/>
      </w:pPr>
      <w:r w:rsidRPr="00CE61F8">
        <w:t>Att elpriset höjs i södra prisområdet får konsekvenser. Hushåll får relativt sett sämre ekonomi.</w:t>
      </w:r>
    </w:p>
    <w:p w:rsidR="006E0335" w:rsidRPr="00CE61F8" w:rsidRDefault="006E0335">
      <w:pPr>
        <w:pStyle w:val="Normaltindrag"/>
      </w:pPr>
      <w:r w:rsidRPr="00CE61F8">
        <w:t>Företag får sämre konkurrenskraft. Att den växtkraft som finns i Skåne därmed hämmas innebär försämrad tillväxt och högre arbetslöshet i hela Sv</w:t>
      </w:r>
      <w:r w:rsidRPr="00CE61F8">
        <w:t>e</w:t>
      </w:r>
      <w:r w:rsidRPr="00CE61F8">
        <w:t>rige.</w:t>
      </w:r>
    </w:p>
    <w:p w:rsidR="006E0335" w:rsidRPr="00CE61F8" w:rsidRDefault="006E0335">
      <w:pPr>
        <w:pStyle w:val="Normaltindrag"/>
      </w:pPr>
      <w:r w:rsidRPr="00CE61F8">
        <w:t>Mot bakgrund av att det är politiska beslut som medfört att det södra e</w:t>
      </w:r>
      <w:r w:rsidRPr="00CE61F8">
        <w:t>l</w:t>
      </w:r>
      <w:r w:rsidRPr="00CE61F8">
        <w:t>prisområdet drabbas av relativt sett högre elpriser är det rimligt att politiska initiativ prioriteras för att mildra effekterna för hushåll och företag. En strat</w:t>
      </w:r>
      <w:r w:rsidRPr="00CE61F8">
        <w:t>e</w:t>
      </w:r>
      <w:r w:rsidRPr="00CE61F8">
        <w:t>gi behövs för att minska de negativa effekterna i Skåne och södra Sverige av införandet av elprisområden. I arbetet med en sådan strategi bör såväl överf</w:t>
      </w:r>
      <w:r w:rsidRPr="00CE61F8">
        <w:t>ö</w:t>
      </w:r>
      <w:r w:rsidRPr="00CE61F8">
        <w:t>ringskapacitet, nyproduktion som indelningen av områdena ses över.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1F8">
        <w:trPr>
          <w:cantSplit/>
        </w:trPr>
        <w:tc>
          <w:tcPr>
            <w:tcW w:w="3046" w:type="dxa"/>
          </w:tcPr>
          <w:p w:rsidR="006E0335" w:rsidRPr="00CE61F8" w:rsidRDefault="006E0335">
            <w:pPr>
              <w:pStyle w:val="UnderskriftDatum"/>
              <w:spacing w:before="240"/>
            </w:pPr>
            <w:r w:rsidRPr="00CE61F8">
              <w:t>Stockholm den 3 oktober 2011</w:t>
            </w:r>
          </w:p>
        </w:tc>
        <w:tc>
          <w:tcPr>
            <w:tcW w:w="3047" w:type="dxa"/>
          </w:tcPr>
          <w:p w:rsidR="006E0335" w:rsidRPr="00CE61F8" w:rsidRDefault="006E0335">
            <w:pPr>
              <w:pStyle w:val="Underskrifter"/>
              <w:spacing w:before="240"/>
            </w:pPr>
          </w:p>
        </w:tc>
      </w:tr>
      <w:tr w:rsidR="00000000" w:rsidRPr="00CE61F8">
        <w:trPr>
          <w:cantSplit/>
        </w:trPr>
        <w:tc>
          <w:tcPr>
            <w:tcW w:w="3046" w:type="dxa"/>
          </w:tcPr>
          <w:p w:rsidR="006E0335" w:rsidRPr="00CE61F8" w:rsidRDefault="006E0335">
            <w:pPr>
              <w:pStyle w:val="Underskrifter"/>
            </w:pPr>
            <w:r w:rsidRPr="00CE61F8">
              <w:t>Christer Nylander (FP)</w:t>
            </w:r>
          </w:p>
        </w:tc>
        <w:tc>
          <w:tcPr>
            <w:tcW w:w="3046" w:type="dxa"/>
          </w:tcPr>
          <w:p w:rsidR="006E0335" w:rsidRPr="00CE61F8" w:rsidRDefault="006E0335">
            <w:pPr>
              <w:pStyle w:val="Underskrifter"/>
            </w:pPr>
          </w:p>
        </w:tc>
      </w:tr>
      <w:tr w:rsidR="00000000" w:rsidRPr="00CE61F8">
        <w:trPr>
          <w:cantSplit/>
        </w:trPr>
        <w:tc>
          <w:tcPr>
            <w:tcW w:w="3046" w:type="dxa"/>
          </w:tcPr>
          <w:p w:rsidR="006E0335" w:rsidRPr="00CE61F8" w:rsidRDefault="006E0335">
            <w:pPr>
              <w:pStyle w:val="Underskrifter"/>
            </w:pPr>
            <w:r w:rsidRPr="00CE61F8">
              <w:t>Allan Widman (FP)</w:t>
            </w:r>
          </w:p>
        </w:tc>
        <w:tc>
          <w:tcPr>
            <w:tcW w:w="3046" w:type="dxa"/>
          </w:tcPr>
          <w:p w:rsidR="006E0335" w:rsidRPr="00CE61F8" w:rsidRDefault="006E0335">
            <w:pPr>
              <w:pStyle w:val="Underskrifter"/>
            </w:pPr>
            <w:r w:rsidRPr="00CE61F8">
              <w:t>Tina Acketoft (FP)</w:t>
            </w:r>
          </w:p>
        </w:tc>
      </w:tr>
      <w:tr w:rsidR="00000000" w:rsidRPr="00CE61F8">
        <w:trPr>
          <w:cantSplit/>
        </w:trPr>
        <w:tc>
          <w:tcPr>
            <w:tcW w:w="3046" w:type="dxa"/>
          </w:tcPr>
          <w:p w:rsidR="006E0335" w:rsidRPr="00CE61F8" w:rsidRDefault="006E0335">
            <w:pPr>
              <w:pStyle w:val="Underskrifter"/>
            </w:pPr>
            <w:r w:rsidRPr="00CE61F8">
              <w:t>Ulf Nilsson (FP)</w:t>
            </w:r>
          </w:p>
        </w:tc>
        <w:tc>
          <w:tcPr>
            <w:tcW w:w="3046" w:type="dxa"/>
          </w:tcPr>
          <w:p w:rsidR="006E0335" w:rsidRPr="00CE61F8" w:rsidRDefault="006E0335">
            <w:pPr>
              <w:pStyle w:val="Underskrifter"/>
            </w:pPr>
          </w:p>
        </w:tc>
      </w:tr>
    </w:tbl>
    <w:p w:rsidR="006E0335" w:rsidRPr="00CE61F8" w:rsidRDefault="006E0335">
      <w:pPr>
        <w:pStyle w:val="Normaltindrag"/>
      </w:pPr>
    </w:p>
    <w:sectPr w:rsidR="006E0335" w:rsidRPr="00CE61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335" w:rsidRPr="00CE61F8" w:rsidRDefault="006E0335">
      <w:r w:rsidRPr="00CE61F8">
        <w:separator/>
      </w:r>
    </w:p>
  </w:endnote>
  <w:endnote w:type="continuationSeparator" w:id="0">
    <w:p w:rsidR="006E0335" w:rsidRPr="00CE61F8" w:rsidRDefault="006E0335">
      <w:r w:rsidRPr="00CE6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335" w:rsidRPr="00CE61F8" w:rsidRDefault="00CE61F8">
    <w:pPr>
      <w:pStyle w:val="Sidfot"/>
    </w:pPr>
    <w:r w:rsidRPr="00CE61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831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335" w:rsidRDefault="006E03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335" w:rsidRDefault="006E03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335" w:rsidRPr="00CE61F8" w:rsidRDefault="00CE61F8">
    <w:pPr>
      <w:pStyle w:val="Sidfot"/>
    </w:pPr>
    <w:r w:rsidRPr="00CE61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969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335" w:rsidRDefault="006E03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335" w:rsidRDefault="006E03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335" w:rsidRPr="00CE61F8" w:rsidRDefault="00CE61F8">
    <w:pPr>
      <w:pStyle w:val="Sidfot"/>
    </w:pPr>
    <w:r w:rsidRPr="00CE61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536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335" w:rsidRDefault="006E03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335" w:rsidRDefault="006E03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335" w:rsidRPr="00CE61F8" w:rsidRDefault="006E0335">
      <w:r w:rsidRPr="00CE61F8">
        <w:separator/>
      </w:r>
    </w:p>
  </w:footnote>
  <w:footnote w:type="continuationSeparator" w:id="0">
    <w:p w:rsidR="006E0335" w:rsidRPr="00CE61F8" w:rsidRDefault="006E0335">
      <w:r w:rsidRPr="00CE6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335" w:rsidRPr="00CE61F8" w:rsidRDefault="00CE61F8">
    <w:pPr>
      <w:pStyle w:val="Sidhuvud"/>
    </w:pPr>
    <w:r w:rsidRPr="00CE61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218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335" w:rsidRDefault="006E03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335" w:rsidRDefault="006E03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335" w:rsidRPr="00CE61F8" w:rsidRDefault="00CE61F8">
    <w:pPr>
      <w:pStyle w:val="Sidhuvud"/>
    </w:pPr>
    <w:r w:rsidRPr="00CE61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5730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335" w:rsidRDefault="006E03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335" w:rsidRDefault="006E03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335" w:rsidRPr="00CE61F8" w:rsidRDefault="006E0335">
    <w:pPr>
      <w:pStyle w:val="FSHNormal"/>
      <w:tabs>
        <w:tab w:val="right" w:pos="5840"/>
      </w:tabs>
    </w:pPr>
    <w:r w:rsidRPr="00CE61F8">
      <w:br/>
    </w:r>
    <w:r w:rsidRPr="00CE61F8">
      <w:fldChar w:fldCharType="begin" w:fldLock="1"/>
    </w:r>
    <w:r w:rsidRPr="00CE61F8">
      <w:instrText xml:space="preserve"> DOCPROPERTY</w:instrText>
    </w:r>
    <w:r w:rsidRPr="00CE61F8">
      <w:rPr>
        <w:sz w:val="18"/>
      </w:rPr>
      <w:instrText xml:space="preserve"> "YearUser" *\charformat </w:instrText>
    </w:r>
    <w:r w:rsidRPr="00CE61F8">
      <w:fldChar w:fldCharType="separate"/>
    </w:r>
    <w:r w:rsidRPr="00CE61F8">
      <w:t>2011/12</w:t>
    </w:r>
    <w:r w:rsidRPr="00CE61F8">
      <w:fldChar w:fldCharType="end"/>
    </w:r>
    <w:r w:rsidRPr="00CE61F8">
      <w:t xml:space="preserve"> </w:t>
    </w:r>
    <w:r w:rsidRPr="00CE61F8">
      <w:tab/>
      <w:t xml:space="preserve">mnr: </w:t>
    </w:r>
    <w:r w:rsidRPr="00CE61F8">
      <w:fldChar w:fldCharType="begin" w:fldLock="1"/>
    </w:r>
    <w:r w:rsidRPr="00CE61F8">
      <w:instrText xml:space="preserve"> DOCPROPERTY</w:instrText>
    </w:r>
    <w:r w:rsidRPr="00CE61F8">
      <w:rPr>
        <w:sz w:val="18"/>
      </w:rPr>
      <w:instrText xml:space="preserve"> "Motionsnummer" *\charformat </w:instrText>
    </w:r>
    <w:r w:rsidRPr="00CE61F8">
      <w:fldChar w:fldCharType="separate"/>
    </w:r>
    <w:r w:rsidRPr="00CE61F8">
      <w:t>N242</w:t>
    </w:r>
    <w:r w:rsidRPr="00CE61F8">
      <w:fldChar w:fldCharType="end"/>
    </w:r>
    <w:r w:rsidRPr="00CE61F8">
      <w:br/>
    </w:r>
    <w:r w:rsidRPr="00CE61F8">
      <w:fldChar w:fldCharType="begin" w:fldLock="1"/>
    </w:r>
    <w:r w:rsidRPr="00CE61F8">
      <w:instrText xml:space="preserve"> DOCPROPERTY</w:instrText>
    </w:r>
    <w:r w:rsidRPr="00CE61F8">
      <w:rPr>
        <w:sz w:val="18"/>
      </w:rPr>
      <w:instrText xml:space="preserve"> "Samling" *\charformat </w:instrText>
    </w:r>
    <w:r w:rsidRPr="00CE61F8">
      <w:fldChar w:fldCharType="end"/>
    </w:r>
    <w:r w:rsidRPr="00CE61F8">
      <w:tab/>
      <w:t xml:space="preserve">pnr: </w:t>
    </w:r>
    <w:r w:rsidRPr="00CE61F8">
      <w:fldChar w:fldCharType="begin" w:fldLock="1"/>
    </w:r>
    <w:r w:rsidRPr="00CE61F8">
      <w:instrText xml:space="preserve"> DOCPROPERTY</w:instrText>
    </w:r>
    <w:r w:rsidRPr="00CE61F8">
      <w:rPr>
        <w:sz w:val="18"/>
      </w:rPr>
      <w:instrText xml:space="preserve"> "Partinummer" *\charformat </w:instrText>
    </w:r>
    <w:r w:rsidRPr="00CE61F8">
      <w:fldChar w:fldCharType="separate"/>
    </w:r>
    <w:r w:rsidRPr="00CE61F8">
      <w:t>FP1094</w:t>
    </w:r>
    <w:r w:rsidRPr="00CE61F8">
      <w:fldChar w:fldCharType="end"/>
    </w:r>
  </w:p>
  <w:p w:rsidR="006E0335" w:rsidRPr="00CE61F8" w:rsidRDefault="006E0335">
    <w:pPr>
      <w:pStyle w:val="FSHRub1"/>
    </w:pPr>
    <w:r w:rsidRPr="00CE61F8">
      <w:t>Motion till riksdagen</w:t>
    </w:r>
    <w:r w:rsidRPr="00CE61F8">
      <w:br/>
    </w:r>
    <w:r w:rsidRPr="00CE61F8">
      <w:fldChar w:fldCharType="begin" w:fldLock="1"/>
    </w:r>
    <w:r w:rsidRPr="00CE61F8">
      <w:instrText xml:space="preserve"> DOCPROPERTY "YearUser" *\charformat </w:instrText>
    </w:r>
    <w:r w:rsidRPr="00CE61F8">
      <w:fldChar w:fldCharType="separate"/>
    </w:r>
    <w:r w:rsidRPr="00CE61F8">
      <w:t>2011/12</w:t>
    </w:r>
    <w:r w:rsidRPr="00CE61F8">
      <w:fldChar w:fldCharType="end"/>
    </w:r>
    <w:r w:rsidRPr="00CE61F8">
      <w:t>:</w:t>
    </w:r>
    <w:r w:rsidRPr="00CE61F8">
      <w:fldChar w:fldCharType="begin" w:fldLock="1"/>
    </w:r>
    <w:r w:rsidRPr="00CE61F8">
      <w:instrText xml:space="preserve"> DOCPROPERTY "Motionsnummer" *\charformat </w:instrText>
    </w:r>
    <w:r w:rsidRPr="00CE61F8">
      <w:fldChar w:fldCharType="separate"/>
    </w:r>
    <w:r w:rsidRPr="00CE61F8">
      <w:t>N242</w:t>
    </w:r>
    <w:r w:rsidRPr="00CE61F8">
      <w:fldChar w:fldCharType="end"/>
    </w:r>
  </w:p>
  <w:p w:rsidR="006E0335" w:rsidRPr="00CE61F8" w:rsidRDefault="006E0335">
    <w:pPr>
      <w:pStyle w:val="FSHNormalS5"/>
    </w:pPr>
    <w:r w:rsidRPr="00CE61F8">
      <w:fldChar w:fldCharType="begin" w:fldLock="1"/>
    </w:r>
    <w:r w:rsidRPr="00CE61F8">
      <w:instrText xml:space="preserve"> DOCPROPERTY "MotionarText" *\charformat </w:instrText>
    </w:r>
    <w:r w:rsidRPr="00CE61F8">
      <w:fldChar w:fldCharType="separate"/>
    </w:r>
    <w:r w:rsidRPr="00CE61F8">
      <w:t>av Christer Nylander m.fl. (FP)</w:t>
    </w:r>
    <w:r w:rsidRPr="00CE61F8">
      <w:fldChar w:fldCharType="end"/>
    </w:r>
    <w:r w:rsidRPr="00CE61F8">
      <w:br/>
    </w:r>
    <w:r w:rsidRPr="00CE61F8">
      <w:fldChar w:fldCharType="begin" w:fldLock="1"/>
    </w:r>
    <w:r w:rsidRPr="00CE61F8">
      <w:instrText xml:space="preserve"> DOCPROPERTY "SvarFrasKort" *\charformat </w:instrText>
    </w:r>
    <w:r w:rsidRPr="00CE61F8">
      <w:fldChar w:fldCharType="end"/>
    </w:r>
  </w:p>
  <w:p w:rsidR="006E0335" w:rsidRPr="00CE61F8" w:rsidRDefault="006E0335">
    <w:pPr>
      <w:pStyle w:val="FSHTitel"/>
    </w:pPr>
    <w:r w:rsidRPr="00CE61F8">
      <w:fldChar w:fldCharType="begin" w:fldLock="1"/>
    </w:r>
    <w:r w:rsidRPr="00CE61F8">
      <w:instrText xml:space="preserve"> DOCPROPERTY</w:instrText>
    </w:r>
    <w:r w:rsidRPr="00CE61F8">
      <w:rPr>
        <w:sz w:val="18"/>
      </w:rPr>
      <w:instrText xml:space="preserve"> "RubrikSvar" *\charformat </w:instrText>
    </w:r>
    <w:r w:rsidRPr="00CE61F8">
      <w:fldChar w:fldCharType="separate"/>
    </w:r>
    <w:r w:rsidRPr="00CE61F8">
      <w:t>Åtgärder mot höjt elpris i Skåne</w:t>
    </w:r>
    <w:r w:rsidRPr="00CE61F8">
      <w:fldChar w:fldCharType="end"/>
    </w:r>
  </w:p>
  <w:p w:rsidR="006E0335" w:rsidRPr="00CE61F8" w:rsidRDefault="006E0335">
    <w:pPr>
      <w:pStyle w:val="Normal00"/>
    </w:pPr>
  </w:p>
  <w:p w:rsidR="006E0335" w:rsidRPr="00CE61F8" w:rsidRDefault="006E03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5308133">
    <w:abstractNumId w:val="3"/>
  </w:num>
  <w:num w:numId="2" w16cid:durableId="1988124654">
    <w:abstractNumId w:val="2"/>
  </w:num>
  <w:num w:numId="3" w16cid:durableId="2033997307">
    <w:abstractNumId w:val="1"/>
  </w:num>
  <w:num w:numId="4" w16cid:durableId="1245723825">
    <w:abstractNumId w:val="0"/>
  </w:num>
  <w:num w:numId="5" w16cid:durableId="334769640">
    <w:abstractNumId w:val="7"/>
  </w:num>
  <w:num w:numId="6" w16cid:durableId="1493762849">
    <w:abstractNumId w:val="6"/>
  </w:num>
  <w:num w:numId="7" w16cid:durableId="913007790">
    <w:abstractNumId w:val="5"/>
  </w:num>
  <w:num w:numId="8" w16cid:durableId="997463633">
    <w:abstractNumId w:val="4"/>
  </w:num>
  <w:num w:numId="9" w16cid:durableId="1687173645">
    <w:abstractNumId w:val="8"/>
  </w:num>
  <w:num w:numId="10" w16cid:durableId="1410494784">
    <w:abstractNumId w:val="9"/>
  </w:num>
  <w:num w:numId="11" w16cid:durableId="862933">
    <w:abstractNumId w:val="10"/>
  </w:num>
  <w:num w:numId="12" w16cid:durableId="1911497159">
    <w:abstractNumId w:val="13"/>
  </w:num>
  <w:num w:numId="13" w16cid:durableId="119764199">
    <w:abstractNumId w:val="15"/>
  </w:num>
  <w:num w:numId="14" w16cid:durableId="104277387">
    <w:abstractNumId w:val="16"/>
  </w:num>
  <w:num w:numId="15" w16cid:durableId="2073963770">
    <w:abstractNumId w:val="11"/>
  </w:num>
  <w:num w:numId="16" w16cid:durableId="510728325">
    <w:abstractNumId w:val="18"/>
  </w:num>
  <w:num w:numId="17" w16cid:durableId="1818839541">
    <w:abstractNumId w:val="17"/>
  </w:num>
  <w:num w:numId="18" w16cid:durableId="57437026">
    <w:abstractNumId w:val="14"/>
  </w:num>
  <w:num w:numId="19" w16cid:durableId="1859536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615CFE12-283F-4F3C-8A99-CEF8DBAC2A97},{809B7790-4E6B-4CDA-BC94-B5D65907D473},{B87F9D28-BB0F-49E7-8369-B1EA54EBFA9A},{B527404C-8853-4961-89DF-FD1E624B7E27}"/>
  </w:docVars>
  <w:rsids>
    <w:rsidRoot w:val="00F66B74"/>
    <w:rsid w:val="006E0335"/>
    <w:rsid w:val="00CE61F8"/>
    <w:rsid w:val="00F66B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9603B6-A34C-4095-8C1C-814CE49C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2434</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FP1094</vt:lpstr>
    </vt:vector>
  </TitlesOfParts>
  <Company>Riksdagen</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FP1094</dc:title>
  <dc:subject>FP1094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2011-11-25T08:16:00Z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mot höjt elpris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höjt elpris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Nylander m.fl. (FP)</vt:lpwstr>
  </property>
  <property fmtid="{D5CDD505-2E9C-101B-9397-08002B2CF9AE}" pid="26" name="MotionarLista">
    <vt:lpwstr>Nylander, Christer (FP)\Widman, Allan (FP)\Acketoft, Tina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Allan Widman (FP), Tina Acketoft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20112012000000700080000010940069</vt:lpwstr>
  </property>
  <property fmtid="{D5CDD505-2E9C-101B-9397-08002B2CF9AE}" pid="47" name="datum">
    <vt:lpwstr>111003</vt:lpwstr>
  </property>
  <property fmtid="{D5CDD505-2E9C-101B-9397-08002B2CF9AE}" pid="48" name="avsändar-e-post">
    <vt:lpwstr>susanne.hagbard@riksdagen.se</vt:lpwstr>
  </property>
  <property fmtid="{D5CDD505-2E9C-101B-9397-08002B2CF9AE}" pid="49" name="id">
    <vt:lpwstr>20112012000000700080000010940069</vt:lpwstr>
  </property>
  <property fmtid="{D5CDD505-2E9C-101B-9397-08002B2CF9AE}" pid="50" name="nummer">
    <vt:lpwstr>242</vt:lpwstr>
  </property>
  <property fmtid="{D5CDD505-2E9C-101B-9397-08002B2CF9AE}" pid="51" name="utskottsbeteckning">
    <vt:lpwstr>N</vt:lpwstr>
  </property>
  <property fmtid="{D5CDD505-2E9C-101B-9397-08002B2CF9AE}" pid="52" name="GlobalUID">
    <vt:lpwstr>{655C71FD-02CA-4B0B-BE21-14314F52ABAF}</vt:lpwstr>
  </property>
  <property fmtid="{D5CDD505-2E9C-101B-9397-08002B2CF9AE}" pid="53" name="Överföringar">
    <vt:i4>0</vt:i4>
  </property>
  <property fmtid="{D5CDD505-2E9C-101B-9397-08002B2CF9AE}" pid="54" name="Checksum">
    <vt:lpwstr>*1016704263336*</vt:lpwstr>
  </property>
  <property fmtid="{D5CDD505-2E9C-101B-9397-08002B2CF9AE}" pid="55" name="skuggnummer">
    <vt:lpwstr>830</vt:lpwstr>
  </property>
  <property fmtid="{D5CDD505-2E9C-101B-9397-08002B2CF9AE}" pid="56" name="urixVersion">
    <vt:lpwstr>4.5.0.25</vt:lpwstr>
  </property>
  <property fmtid="{D5CDD505-2E9C-101B-9397-08002B2CF9AE}" pid="57" name="urixOrigin">
    <vt:lpwstr>111125 09:16:04.827</vt:lpwstr>
  </property>
  <property fmtid="{D5CDD505-2E9C-101B-9397-08002B2CF9AE}" pid="58" name="urixGuid">
    <vt:lpwstr>{49DD5990-7C1C-4C5D-8CD1-1259CDE2613F}</vt:lpwstr>
  </property>
</Properties>
</file>