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w:t>
            </w:r>
            <w:r w:rsidR="00BB1303">
              <w:rPr>
                <w:b/>
                <w:szCs w:val="24"/>
              </w:rPr>
              <w:t>20</w:t>
            </w:r>
            <w:r w:rsidR="00723D66" w:rsidRPr="00BA38FB">
              <w:rPr>
                <w:b/>
                <w:szCs w:val="24"/>
              </w:rPr>
              <w:t>/</w:t>
            </w:r>
            <w:r w:rsidR="009D3BD1">
              <w:rPr>
                <w:b/>
                <w:szCs w:val="24"/>
              </w:rPr>
              <w:t>2</w:t>
            </w:r>
            <w:r w:rsidR="00BB1303">
              <w:rPr>
                <w:b/>
                <w:szCs w:val="24"/>
              </w:rPr>
              <w:t>1</w:t>
            </w:r>
            <w:r w:rsidR="0096348C" w:rsidRPr="00BA38FB">
              <w:rPr>
                <w:b/>
                <w:szCs w:val="24"/>
              </w:rPr>
              <w:t>:</w:t>
            </w:r>
            <w:r w:rsidR="00B5365D">
              <w:rPr>
                <w:b/>
                <w:szCs w:val="24"/>
              </w:rPr>
              <w:t>1</w:t>
            </w:r>
            <w:r w:rsidR="001F1BB9">
              <w:rPr>
                <w:b/>
                <w:szCs w:val="24"/>
              </w:rPr>
              <w:t>2</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w:t>
            </w:r>
            <w:r w:rsidR="00B27A57">
              <w:rPr>
                <w:szCs w:val="24"/>
              </w:rPr>
              <w:t>2</w:t>
            </w:r>
            <w:r w:rsidR="001F1BB9">
              <w:rPr>
                <w:szCs w:val="24"/>
              </w:rPr>
              <w:t>1</w:t>
            </w:r>
            <w:r w:rsidR="00B27A57">
              <w:rPr>
                <w:szCs w:val="24"/>
              </w:rPr>
              <w:t>-</w:t>
            </w:r>
            <w:r w:rsidR="001F1BB9">
              <w:rPr>
                <w:szCs w:val="24"/>
              </w:rPr>
              <w:t>01</w:t>
            </w:r>
            <w:r w:rsidR="00B27A57">
              <w:rPr>
                <w:szCs w:val="24"/>
              </w:rPr>
              <w:t>-1</w:t>
            </w:r>
            <w:r w:rsidR="001F1BB9">
              <w:rPr>
                <w:szCs w:val="24"/>
              </w:rPr>
              <w:t>9</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B27A57" w:rsidP="0096348C">
            <w:pPr>
              <w:rPr>
                <w:szCs w:val="24"/>
              </w:rPr>
            </w:pPr>
            <w:r>
              <w:rPr>
                <w:szCs w:val="24"/>
              </w:rPr>
              <w:t>1</w:t>
            </w:r>
            <w:r w:rsidR="001F1BB9">
              <w:rPr>
                <w:szCs w:val="24"/>
              </w:rPr>
              <w:t>1</w:t>
            </w:r>
            <w:r w:rsidR="00B22051">
              <w:rPr>
                <w:szCs w:val="24"/>
              </w:rPr>
              <w:t>.</w:t>
            </w:r>
            <w:r w:rsidR="001F1BB9">
              <w:rPr>
                <w:szCs w:val="24"/>
              </w:rPr>
              <w:t>00</w:t>
            </w:r>
            <w:r w:rsidR="00615E83" w:rsidRPr="00FA08AC">
              <w:rPr>
                <w:szCs w:val="24"/>
              </w:rPr>
              <w:t>–</w:t>
            </w:r>
            <w:r w:rsidR="00835AE2">
              <w:rPr>
                <w:szCs w:val="24"/>
              </w:rPr>
              <w:t>12.30</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Se bilaga 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307165" w:rsidRPr="00BA38FB" w:rsidTr="002F1627">
        <w:tc>
          <w:tcPr>
            <w:tcW w:w="567" w:type="dxa"/>
          </w:tcPr>
          <w:p w:rsidR="00307165" w:rsidRPr="00BA38FB" w:rsidRDefault="008E60BE" w:rsidP="00307165">
            <w:pPr>
              <w:tabs>
                <w:tab w:val="left" w:pos="1701"/>
              </w:tabs>
              <w:rPr>
                <w:b/>
                <w:snapToGrid w:val="0"/>
                <w:szCs w:val="24"/>
              </w:rPr>
            </w:pPr>
            <w:r w:rsidRPr="00BA38FB">
              <w:rPr>
                <w:b/>
                <w:snapToGrid w:val="0"/>
                <w:szCs w:val="24"/>
              </w:rPr>
              <w:t>§ 1</w:t>
            </w:r>
          </w:p>
        </w:tc>
        <w:tc>
          <w:tcPr>
            <w:tcW w:w="6947" w:type="dxa"/>
          </w:tcPr>
          <w:p w:rsidR="009D2BC5" w:rsidRDefault="00570CB6" w:rsidP="009D3BD1">
            <w:pPr>
              <w:tabs>
                <w:tab w:val="left" w:pos="1701"/>
              </w:tabs>
              <w:rPr>
                <w:b/>
                <w:snapToGrid w:val="0"/>
                <w:szCs w:val="24"/>
              </w:rPr>
            </w:pPr>
            <w:r>
              <w:rPr>
                <w:b/>
                <w:snapToGrid w:val="0"/>
                <w:szCs w:val="24"/>
              </w:rPr>
              <w:t xml:space="preserve">Medgivande att delta på distans </w:t>
            </w:r>
          </w:p>
          <w:p w:rsidR="00570CB6" w:rsidRDefault="00570CB6" w:rsidP="009D3BD1">
            <w:pPr>
              <w:tabs>
                <w:tab w:val="left" w:pos="1701"/>
              </w:tabs>
              <w:rPr>
                <w:b/>
                <w:snapToGrid w:val="0"/>
                <w:szCs w:val="24"/>
              </w:rPr>
            </w:pPr>
          </w:p>
          <w:p w:rsidR="00CA618B" w:rsidRDefault="00570CB6" w:rsidP="009D2BC5">
            <w:pPr>
              <w:tabs>
                <w:tab w:val="left" w:pos="1701"/>
              </w:tabs>
              <w:rPr>
                <w:snapToGrid w:val="0"/>
                <w:szCs w:val="24"/>
                <w:highlight w:val="yellow"/>
              </w:rPr>
            </w:pPr>
            <w:r w:rsidRPr="00E839B8">
              <w:rPr>
                <w:snapToGrid w:val="0"/>
                <w:szCs w:val="24"/>
              </w:rPr>
              <w:t xml:space="preserve">Utskottet </w:t>
            </w:r>
            <w:r w:rsidRPr="00015415">
              <w:rPr>
                <w:snapToGrid w:val="0"/>
                <w:szCs w:val="24"/>
              </w:rPr>
              <w:t>medgav deltagande på distans för följande ordinarie ledamöter och suppleanter</w:t>
            </w:r>
            <w:r w:rsidRPr="007510F8">
              <w:rPr>
                <w:snapToGrid w:val="0"/>
                <w:szCs w:val="24"/>
              </w:rPr>
              <w:t xml:space="preserve">: </w:t>
            </w:r>
            <w:r w:rsidR="00CD2820">
              <w:rPr>
                <w:snapToGrid w:val="0"/>
                <w:szCs w:val="24"/>
              </w:rPr>
              <w:t xml:space="preserve">Larry Söder (KD), </w:t>
            </w:r>
            <w:r w:rsidRPr="00CD2820">
              <w:rPr>
                <w:snapToGrid w:val="0"/>
                <w:szCs w:val="24"/>
              </w:rPr>
              <w:t xml:space="preserve">Johan Löfstrand (S), Josefin Malmqvist (M), </w:t>
            </w:r>
            <w:r w:rsidRPr="00835AE2">
              <w:rPr>
                <w:snapToGrid w:val="0"/>
                <w:szCs w:val="24"/>
              </w:rPr>
              <w:t xml:space="preserve">Elin Lundgren (S), </w:t>
            </w:r>
            <w:r w:rsidRPr="00CD2820">
              <w:rPr>
                <w:snapToGrid w:val="0"/>
                <w:szCs w:val="24"/>
              </w:rPr>
              <w:t xml:space="preserve">Cecilie Tenfjord Toftby (M), Mikael Eskilandersson (SD), Leif Nysmed (S), Ola Johansson (C), Momodou Malcolm Jallow (V), Lars Beckman (M), Roger Hedlund (SD), Sanne Lennström (S), Joakim Järrebring (S), </w:t>
            </w:r>
            <w:r w:rsidR="00DA5156">
              <w:rPr>
                <w:snapToGrid w:val="0"/>
                <w:szCs w:val="24"/>
              </w:rPr>
              <w:t xml:space="preserve">Robert Hannah (L), </w:t>
            </w:r>
            <w:r w:rsidRPr="00CD2820">
              <w:rPr>
                <w:snapToGrid w:val="0"/>
                <w:szCs w:val="24"/>
              </w:rPr>
              <w:t>Angelica Lundberg (SD),</w:t>
            </w:r>
            <w:r w:rsidR="00CD2820">
              <w:rPr>
                <w:snapToGrid w:val="0"/>
                <w:szCs w:val="24"/>
              </w:rPr>
              <w:t xml:space="preserve"> </w:t>
            </w:r>
            <w:r w:rsidRPr="00CD2820">
              <w:rPr>
                <w:snapToGrid w:val="0"/>
                <w:szCs w:val="24"/>
              </w:rPr>
              <w:t xml:space="preserve">David Josefsson (M), Ola Möller (S), </w:t>
            </w:r>
            <w:r w:rsidR="00835AE2">
              <w:rPr>
                <w:snapToGrid w:val="0"/>
                <w:szCs w:val="24"/>
              </w:rPr>
              <w:t xml:space="preserve">Catarina Deremar (C) och </w:t>
            </w:r>
            <w:r w:rsidRPr="00CD2820">
              <w:rPr>
                <w:snapToGrid w:val="0"/>
                <w:szCs w:val="24"/>
              </w:rPr>
              <w:t>Jon Thorbjörnsson (V)</w:t>
            </w:r>
            <w:r w:rsidR="00835AE2">
              <w:rPr>
                <w:snapToGrid w:val="0"/>
                <w:szCs w:val="24"/>
              </w:rPr>
              <w:t>.</w:t>
            </w:r>
          </w:p>
          <w:p w:rsidR="00CA618B" w:rsidRDefault="00CA618B" w:rsidP="009D2BC5">
            <w:pPr>
              <w:tabs>
                <w:tab w:val="left" w:pos="1701"/>
              </w:tabs>
              <w:rPr>
                <w:snapToGrid w:val="0"/>
                <w:szCs w:val="24"/>
                <w:highlight w:val="yellow"/>
              </w:rPr>
            </w:pPr>
          </w:p>
          <w:p w:rsidR="00DA5156" w:rsidRDefault="00CA618B" w:rsidP="009D2BC5">
            <w:pPr>
              <w:tabs>
                <w:tab w:val="left" w:pos="1701"/>
              </w:tabs>
              <w:rPr>
                <w:snapToGrid w:val="0"/>
                <w:szCs w:val="24"/>
              </w:rPr>
            </w:pPr>
            <w:r w:rsidRPr="00CD2820">
              <w:rPr>
                <w:snapToGrid w:val="0"/>
                <w:szCs w:val="24"/>
              </w:rPr>
              <w:t>T</w:t>
            </w:r>
            <w:r w:rsidR="00CD2820" w:rsidRPr="00CD2820">
              <w:rPr>
                <w:snapToGrid w:val="0"/>
                <w:szCs w:val="24"/>
              </w:rPr>
              <w:t xml:space="preserve">vå </w:t>
            </w:r>
            <w:r w:rsidR="00570CB6" w:rsidRPr="00CD2820">
              <w:rPr>
                <w:snapToGrid w:val="0"/>
                <w:szCs w:val="24"/>
              </w:rPr>
              <w:t>tjänstemän från civilutskottets kansli</w:t>
            </w:r>
            <w:r w:rsidR="00B327BA" w:rsidRPr="00CD2820">
              <w:rPr>
                <w:snapToGrid w:val="0"/>
                <w:szCs w:val="24"/>
              </w:rPr>
              <w:t xml:space="preserve"> </w:t>
            </w:r>
            <w:r w:rsidRPr="00CD2820">
              <w:rPr>
                <w:snapToGrid w:val="0"/>
                <w:szCs w:val="24"/>
              </w:rPr>
              <w:t xml:space="preserve">var uppkopplade </w:t>
            </w:r>
            <w:r w:rsidR="00B327BA" w:rsidRPr="00CD2820">
              <w:rPr>
                <w:snapToGrid w:val="0"/>
                <w:szCs w:val="24"/>
              </w:rPr>
              <w:t xml:space="preserve">hela sammanträdet </w:t>
            </w:r>
            <w:r w:rsidR="008E5AB8" w:rsidRPr="00CD2820">
              <w:rPr>
                <w:snapToGrid w:val="0"/>
                <w:szCs w:val="24"/>
              </w:rPr>
              <w:t>på distans</w:t>
            </w:r>
            <w:r w:rsidR="00DA5156">
              <w:rPr>
                <w:snapToGrid w:val="0"/>
                <w:szCs w:val="24"/>
              </w:rPr>
              <w:t>.</w:t>
            </w:r>
            <w:r w:rsidR="008E5AB8" w:rsidRPr="00CD2820">
              <w:rPr>
                <w:snapToGrid w:val="0"/>
                <w:szCs w:val="24"/>
              </w:rPr>
              <w:t xml:space="preserve"> </w:t>
            </w:r>
          </w:p>
          <w:p w:rsidR="00DA5156" w:rsidRDefault="00DA5156" w:rsidP="009D2BC5">
            <w:pPr>
              <w:tabs>
                <w:tab w:val="left" w:pos="1701"/>
              </w:tabs>
              <w:rPr>
                <w:snapToGrid w:val="0"/>
                <w:szCs w:val="24"/>
              </w:rPr>
            </w:pPr>
          </w:p>
          <w:p w:rsidR="00AC404C" w:rsidRDefault="00AC404C" w:rsidP="00AC404C">
            <w:pPr>
              <w:tabs>
                <w:tab w:val="left" w:pos="1701"/>
              </w:tabs>
              <w:rPr>
                <w:snapToGrid w:val="0"/>
                <w:szCs w:val="24"/>
              </w:rPr>
            </w:pPr>
            <w:r>
              <w:rPr>
                <w:snapToGrid w:val="0"/>
                <w:szCs w:val="24"/>
              </w:rPr>
              <w:t>En tjänsteman från EU-nämndens kansli var uppkopplad på distans under punkt 3.</w:t>
            </w:r>
          </w:p>
          <w:p w:rsidR="00937A42" w:rsidRPr="00BA38FB" w:rsidRDefault="00937A42" w:rsidP="009D2BC5">
            <w:pPr>
              <w:tabs>
                <w:tab w:val="left" w:pos="1701"/>
              </w:tabs>
              <w:rPr>
                <w:snapToGrid w:val="0"/>
                <w:szCs w:val="24"/>
              </w:rPr>
            </w:pPr>
          </w:p>
        </w:tc>
      </w:tr>
      <w:tr w:rsidR="00AE6E0B" w:rsidRPr="00BA38FB" w:rsidTr="002F1627">
        <w:tc>
          <w:tcPr>
            <w:tcW w:w="567" w:type="dxa"/>
          </w:tcPr>
          <w:p w:rsidR="00AE6E0B" w:rsidRDefault="00AE6E0B" w:rsidP="009C56EA">
            <w:pPr>
              <w:tabs>
                <w:tab w:val="left" w:pos="1701"/>
              </w:tabs>
              <w:rPr>
                <w:b/>
                <w:snapToGrid w:val="0"/>
                <w:szCs w:val="24"/>
              </w:rPr>
            </w:pPr>
            <w:r>
              <w:rPr>
                <w:b/>
                <w:snapToGrid w:val="0"/>
                <w:szCs w:val="24"/>
              </w:rPr>
              <w:t xml:space="preserve">§ </w:t>
            </w:r>
            <w:r w:rsidR="002C6E95">
              <w:rPr>
                <w:b/>
                <w:snapToGrid w:val="0"/>
                <w:szCs w:val="24"/>
              </w:rPr>
              <w:t>2</w:t>
            </w:r>
          </w:p>
        </w:tc>
        <w:tc>
          <w:tcPr>
            <w:tcW w:w="6947" w:type="dxa"/>
          </w:tcPr>
          <w:p w:rsidR="009D2BC5" w:rsidRDefault="009D2BC5" w:rsidP="009D2BC5">
            <w:pPr>
              <w:tabs>
                <w:tab w:val="left" w:pos="1701"/>
              </w:tabs>
              <w:rPr>
                <w:snapToGrid w:val="0"/>
                <w:szCs w:val="24"/>
              </w:rPr>
            </w:pPr>
            <w:r>
              <w:rPr>
                <w:b/>
                <w:snapToGrid w:val="0"/>
                <w:szCs w:val="24"/>
              </w:rPr>
              <w:t>Justering av protokoll</w:t>
            </w:r>
            <w:r>
              <w:rPr>
                <w:b/>
                <w:snapToGrid w:val="0"/>
                <w:szCs w:val="24"/>
              </w:rPr>
              <w:br/>
            </w:r>
            <w:r>
              <w:rPr>
                <w:b/>
                <w:snapToGrid w:val="0"/>
                <w:szCs w:val="24"/>
              </w:rPr>
              <w:br/>
            </w:r>
            <w:r>
              <w:rPr>
                <w:snapToGrid w:val="0"/>
                <w:szCs w:val="24"/>
              </w:rPr>
              <w:t>Utskottet justerade protokoll 2020/21:1</w:t>
            </w:r>
            <w:r w:rsidR="002C6E95">
              <w:rPr>
                <w:snapToGrid w:val="0"/>
                <w:szCs w:val="24"/>
              </w:rPr>
              <w:t>1</w:t>
            </w:r>
            <w:r>
              <w:rPr>
                <w:snapToGrid w:val="0"/>
                <w:szCs w:val="24"/>
              </w:rPr>
              <w:t>.</w:t>
            </w:r>
          </w:p>
          <w:p w:rsidR="00AE6E0B" w:rsidRPr="009D2BC5" w:rsidRDefault="00AE6E0B" w:rsidP="009D2BC5">
            <w:pPr>
              <w:tabs>
                <w:tab w:val="left" w:pos="1701"/>
              </w:tabs>
              <w:rPr>
                <w:b/>
                <w:snapToGrid w:val="0"/>
                <w:szCs w:val="24"/>
              </w:rPr>
            </w:pPr>
          </w:p>
        </w:tc>
      </w:tr>
      <w:tr w:rsidR="00AE6E0B" w:rsidRPr="00BA38FB" w:rsidTr="002F1627">
        <w:tc>
          <w:tcPr>
            <w:tcW w:w="567" w:type="dxa"/>
          </w:tcPr>
          <w:p w:rsidR="00AE6E0B" w:rsidRDefault="00AE6E0B" w:rsidP="009C56EA">
            <w:pPr>
              <w:tabs>
                <w:tab w:val="left" w:pos="1701"/>
              </w:tabs>
              <w:rPr>
                <w:b/>
                <w:snapToGrid w:val="0"/>
                <w:szCs w:val="24"/>
              </w:rPr>
            </w:pPr>
            <w:r>
              <w:rPr>
                <w:b/>
                <w:snapToGrid w:val="0"/>
                <w:szCs w:val="24"/>
              </w:rPr>
              <w:t xml:space="preserve">§ </w:t>
            </w:r>
            <w:r w:rsidR="00B83F14">
              <w:rPr>
                <w:b/>
                <w:snapToGrid w:val="0"/>
                <w:szCs w:val="24"/>
              </w:rPr>
              <w:t>3</w:t>
            </w:r>
          </w:p>
        </w:tc>
        <w:tc>
          <w:tcPr>
            <w:tcW w:w="6947" w:type="dxa"/>
          </w:tcPr>
          <w:p w:rsidR="00AE6E0B" w:rsidRDefault="00B83F14" w:rsidP="00B65CD7">
            <w:pPr>
              <w:tabs>
                <w:tab w:val="left" w:pos="1701"/>
              </w:tabs>
              <w:rPr>
                <w:b/>
                <w:bCs/>
                <w:szCs w:val="24"/>
              </w:rPr>
            </w:pPr>
            <w:r>
              <w:rPr>
                <w:b/>
                <w:bCs/>
                <w:szCs w:val="24"/>
              </w:rPr>
              <w:t>Överläggning med Justitiedepartementet</w:t>
            </w:r>
          </w:p>
          <w:p w:rsidR="004B3E3A" w:rsidRDefault="004B3E3A" w:rsidP="00B65CD7">
            <w:pPr>
              <w:tabs>
                <w:tab w:val="left" w:pos="1701"/>
              </w:tabs>
              <w:rPr>
                <w:b/>
                <w:bCs/>
                <w:szCs w:val="24"/>
              </w:rPr>
            </w:pPr>
          </w:p>
          <w:p w:rsidR="00563C65" w:rsidRDefault="004B3E3A" w:rsidP="008D012F">
            <w:pPr>
              <w:tabs>
                <w:tab w:val="left" w:pos="1701"/>
              </w:tabs>
              <w:rPr>
                <w:bCs/>
                <w:szCs w:val="24"/>
              </w:rPr>
            </w:pPr>
            <w:r w:rsidRPr="00880A20">
              <w:rPr>
                <w:bCs/>
                <w:szCs w:val="24"/>
              </w:rPr>
              <w:t>Utskottet överlade med</w:t>
            </w:r>
            <w:r>
              <w:rPr>
                <w:bCs/>
                <w:szCs w:val="24"/>
              </w:rPr>
              <w:t xml:space="preserve"> </w:t>
            </w:r>
            <w:r w:rsidRPr="00563C65">
              <w:rPr>
                <w:bCs/>
                <w:szCs w:val="24"/>
              </w:rPr>
              <w:t>statssekreterare</w:t>
            </w:r>
            <w:r w:rsidR="00157358" w:rsidRPr="00563C65">
              <w:rPr>
                <w:bCs/>
                <w:szCs w:val="24"/>
              </w:rPr>
              <w:t xml:space="preserve"> Lars </w:t>
            </w:r>
            <w:proofErr w:type="spellStart"/>
            <w:r w:rsidR="00157358" w:rsidRPr="00563C65">
              <w:rPr>
                <w:bCs/>
                <w:szCs w:val="24"/>
              </w:rPr>
              <w:t>Westbratt</w:t>
            </w:r>
            <w:proofErr w:type="spellEnd"/>
            <w:r w:rsidR="008D012F" w:rsidRPr="00563C65">
              <w:rPr>
                <w:bCs/>
                <w:szCs w:val="24"/>
              </w:rPr>
              <w:t xml:space="preserve">, biträdd av medarbetare från </w:t>
            </w:r>
            <w:r w:rsidR="002C6E95" w:rsidRPr="00563C65">
              <w:rPr>
                <w:bCs/>
                <w:szCs w:val="24"/>
              </w:rPr>
              <w:t>Justitie</w:t>
            </w:r>
            <w:r w:rsidR="008D012F" w:rsidRPr="00563C65">
              <w:rPr>
                <w:bCs/>
                <w:szCs w:val="24"/>
              </w:rPr>
              <w:t>departementet. Statssekreteraren</w:t>
            </w:r>
            <w:r w:rsidR="00157358" w:rsidRPr="00563C65">
              <w:rPr>
                <w:bCs/>
                <w:szCs w:val="24"/>
              </w:rPr>
              <w:t xml:space="preserve"> </w:t>
            </w:r>
            <w:r w:rsidR="008D012F">
              <w:rPr>
                <w:bCs/>
                <w:szCs w:val="24"/>
              </w:rPr>
              <w:t>och medarbetarna deltog på distans.</w:t>
            </w:r>
          </w:p>
          <w:p w:rsidR="00563C65" w:rsidRDefault="00563C65" w:rsidP="00563C65">
            <w:pPr>
              <w:tabs>
                <w:tab w:val="left" w:pos="1701"/>
              </w:tabs>
              <w:rPr>
                <w:bCs/>
                <w:szCs w:val="24"/>
              </w:rPr>
            </w:pPr>
          </w:p>
          <w:p w:rsidR="00563C65" w:rsidRDefault="00563C65" w:rsidP="00563C65">
            <w:pPr>
              <w:tabs>
                <w:tab w:val="left" w:pos="1701"/>
              </w:tabs>
            </w:pPr>
            <w:r>
              <w:rPr>
                <w:bCs/>
                <w:szCs w:val="24"/>
              </w:rPr>
              <w:t>Underlaget utgjordes av Regeringskansliets överläggningspromemoria (dnr</w:t>
            </w:r>
            <w:r w:rsidRPr="00B67297">
              <w:rPr>
                <w:bCs/>
                <w:szCs w:val="24"/>
              </w:rPr>
              <w:t>.</w:t>
            </w:r>
            <w:r w:rsidRPr="00B67297">
              <w:t>1064</w:t>
            </w:r>
            <w:r>
              <w:t xml:space="preserve"> </w:t>
            </w:r>
            <w:r w:rsidRPr="00B67297">
              <w:t>-</w:t>
            </w:r>
            <w:r>
              <w:t xml:space="preserve"> </w:t>
            </w:r>
            <w:r w:rsidRPr="00B67297">
              <w:t>2020</w:t>
            </w:r>
            <w:r>
              <w:t xml:space="preserve">/21). </w:t>
            </w:r>
          </w:p>
          <w:p w:rsidR="00563C65" w:rsidRDefault="00563C65" w:rsidP="00563C65">
            <w:pPr>
              <w:tabs>
                <w:tab w:val="left" w:pos="1701"/>
              </w:tabs>
              <w:rPr>
                <w:bCs/>
                <w:szCs w:val="24"/>
              </w:rPr>
            </w:pPr>
          </w:p>
          <w:p w:rsidR="00563C65" w:rsidRDefault="00563C65" w:rsidP="00563C65">
            <w:pPr>
              <w:tabs>
                <w:tab w:val="left" w:pos="1701"/>
              </w:tabs>
              <w:rPr>
                <w:bCs/>
                <w:szCs w:val="24"/>
              </w:rPr>
            </w:pPr>
            <w:r>
              <w:rPr>
                <w:bCs/>
                <w:szCs w:val="24"/>
              </w:rPr>
              <w:t xml:space="preserve">Statssekreteraren redogjorde för regeringens ståndpunkt i enlighet med överläggningspromemorian (bilaga 2). </w:t>
            </w:r>
          </w:p>
          <w:p w:rsidR="00563C65" w:rsidRDefault="00563C65" w:rsidP="00563C65">
            <w:pPr>
              <w:tabs>
                <w:tab w:val="left" w:pos="1701"/>
              </w:tabs>
              <w:rPr>
                <w:bCs/>
                <w:szCs w:val="24"/>
              </w:rPr>
            </w:pPr>
          </w:p>
          <w:p w:rsidR="00563C65" w:rsidRDefault="00563C65" w:rsidP="00563C65">
            <w:pPr>
              <w:tabs>
                <w:tab w:val="left" w:pos="1701"/>
              </w:tabs>
              <w:rPr>
                <w:bCs/>
                <w:szCs w:val="24"/>
              </w:rPr>
            </w:pPr>
            <w:r>
              <w:rPr>
                <w:bCs/>
                <w:szCs w:val="24"/>
              </w:rPr>
              <w:t xml:space="preserve">Ordföranden konstaterade att det fanns stöd för regeringens ståndpunkt. </w:t>
            </w:r>
          </w:p>
          <w:p w:rsidR="00563C65" w:rsidRDefault="00563C65" w:rsidP="00563C65">
            <w:pPr>
              <w:tabs>
                <w:tab w:val="left" w:pos="1701"/>
              </w:tabs>
              <w:rPr>
                <w:bCs/>
                <w:szCs w:val="24"/>
              </w:rPr>
            </w:pPr>
          </w:p>
          <w:p w:rsidR="00563C65" w:rsidRDefault="00563C65" w:rsidP="008D012F">
            <w:pPr>
              <w:tabs>
                <w:tab w:val="left" w:pos="1701"/>
              </w:tabs>
              <w:rPr>
                <w:bCs/>
                <w:szCs w:val="24"/>
              </w:rPr>
            </w:pPr>
            <w:r w:rsidRPr="00815B9D">
              <w:rPr>
                <w:bCs/>
                <w:szCs w:val="24"/>
              </w:rPr>
              <w:t>M, SD och KD-ledamöterna anmälde de avvikande ståndpunkter som framgår av bilaga 3.</w:t>
            </w:r>
            <w:r>
              <w:rPr>
                <w:bCs/>
                <w:szCs w:val="24"/>
              </w:rPr>
              <w:t xml:space="preserve"> </w:t>
            </w:r>
          </w:p>
          <w:p w:rsidR="00A92DD1" w:rsidRPr="002C6E95" w:rsidRDefault="00A92DD1" w:rsidP="004B3E3A">
            <w:pPr>
              <w:tabs>
                <w:tab w:val="left" w:pos="1701"/>
              </w:tabs>
              <w:rPr>
                <w:bCs/>
                <w:szCs w:val="24"/>
                <w:highlight w:val="yellow"/>
              </w:rPr>
            </w:pPr>
          </w:p>
          <w:p w:rsidR="00A92DD1" w:rsidRDefault="00A92DD1" w:rsidP="00A92DD1">
            <w:pPr>
              <w:tabs>
                <w:tab w:val="left" w:pos="1701"/>
              </w:tabs>
              <w:rPr>
                <w:bCs/>
                <w:szCs w:val="24"/>
              </w:rPr>
            </w:pPr>
            <w:r w:rsidRPr="00B83F14">
              <w:rPr>
                <w:bCs/>
                <w:szCs w:val="24"/>
              </w:rPr>
              <w:t>Denna paragraf förklarades omedelbart justerad.</w:t>
            </w:r>
          </w:p>
          <w:p w:rsidR="004B3E3A" w:rsidRPr="00370C65" w:rsidRDefault="004B3E3A" w:rsidP="00B65CD7">
            <w:pPr>
              <w:tabs>
                <w:tab w:val="left" w:pos="1701"/>
              </w:tabs>
              <w:rPr>
                <w:b/>
                <w:bCs/>
                <w:szCs w:val="24"/>
              </w:rPr>
            </w:pPr>
          </w:p>
        </w:tc>
      </w:tr>
    </w:tbl>
    <w:p w:rsidR="00835AE2" w:rsidRDefault="00835AE2">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AD2B17" w:rsidRPr="00BA38FB" w:rsidTr="002F1627">
        <w:tc>
          <w:tcPr>
            <w:tcW w:w="567" w:type="dxa"/>
          </w:tcPr>
          <w:p w:rsidR="00AD2B17" w:rsidRDefault="00AD2B17" w:rsidP="009C56EA">
            <w:pPr>
              <w:tabs>
                <w:tab w:val="left" w:pos="1701"/>
              </w:tabs>
              <w:rPr>
                <w:b/>
                <w:snapToGrid w:val="0"/>
                <w:szCs w:val="24"/>
              </w:rPr>
            </w:pPr>
            <w:r>
              <w:rPr>
                <w:b/>
                <w:snapToGrid w:val="0"/>
                <w:szCs w:val="24"/>
              </w:rPr>
              <w:lastRenderedPageBreak/>
              <w:t>§ 4</w:t>
            </w:r>
          </w:p>
        </w:tc>
        <w:tc>
          <w:tcPr>
            <w:tcW w:w="6947" w:type="dxa"/>
          </w:tcPr>
          <w:p w:rsidR="00AD2B17" w:rsidRDefault="00AD2B17" w:rsidP="00B65CD7">
            <w:pPr>
              <w:tabs>
                <w:tab w:val="left" w:pos="1701"/>
              </w:tabs>
              <w:rPr>
                <w:b/>
                <w:bCs/>
                <w:szCs w:val="24"/>
              </w:rPr>
            </w:pPr>
            <w:r>
              <w:rPr>
                <w:b/>
                <w:bCs/>
                <w:szCs w:val="24"/>
              </w:rPr>
              <w:t>Information från Finansdepartementet och Boverket</w:t>
            </w:r>
          </w:p>
          <w:p w:rsidR="00AD2B17" w:rsidRDefault="00AD2B17" w:rsidP="00B65CD7">
            <w:pPr>
              <w:tabs>
                <w:tab w:val="left" w:pos="1701"/>
              </w:tabs>
              <w:rPr>
                <w:b/>
                <w:bCs/>
                <w:szCs w:val="24"/>
              </w:rPr>
            </w:pPr>
          </w:p>
          <w:p w:rsidR="00835AE2" w:rsidRDefault="00835AE2" w:rsidP="00B65CD7">
            <w:pPr>
              <w:tabs>
                <w:tab w:val="left" w:pos="1701"/>
              </w:tabs>
              <w:rPr>
                <w:bCs/>
                <w:szCs w:val="24"/>
              </w:rPr>
            </w:pPr>
            <w:r w:rsidRPr="00835AE2">
              <w:rPr>
                <w:bCs/>
                <w:szCs w:val="24"/>
              </w:rPr>
              <w:t>Departementssekreterare Linn Gloppestad m.fl.</w:t>
            </w:r>
            <w:r>
              <w:rPr>
                <w:bCs/>
                <w:szCs w:val="24"/>
              </w:rPr>
              <w:t xml:space="preserve"> från Finansdepartementet och rättschef Yvonne Svensson m.fl. från Boverket informerade om giltighetstiden för bygglov enligt plan- och bygglagen.</w:t>
            </w:r>
          </w:p>
          <w:p w:rsidR="00AD2B17" w:rsidRPr="00835AE2" w:rsidRDefault="00835AE2" w:rsidP="00B65CD7">
            <w:pPr>
              <w:tabs>
                <w:tab w:val="left" w:pos="1701"/>
              </w:tabs>
              <w:rPr>
                <w:bCs/>
                <w:szCs w:val="24"/>
              </w:rPr>
            </w:pPr>
            <w:r w:rsidRPr="00835AE2">
              <w:rPr>
                <w:bCs/>
                <w:szCs w:val="24"/>
              </w:rPr>
              <w:t xml:space="preserve"> </w:t>
            </w:r>
          </w:p>
        </w:tc>
      </w:tr>
      <w:tr w:rsidR="00AD2B17" w:rsidRPr="00BA38FB" w:rsidTr="002F1627">
        <w:tc>
          <w:tcPr>
            <w:tcW w:w="567" w:type="dxa"/>
          </w:tcPr>
          <w:p w:rsidR="00AD2B17" w:rsidRDefault="00AD2B17" w:rsidP="009C56EA">
            <w:pPr>
              <w:tabs>
                <w:tab w:val="left" w:pos="1701"/>
              </w:tabs>
              <w:rPr>
                <w:b/>
                <w:snapToGrid w:val="0"/>
                <w:szCs w:val="24"/>
              </w:rPr>
            </w:pPr>
            <w:r>
              <w:rPr>
                <w:b/>
                <w:snapToGrid w:val="0"/>
                <w:szCs w:val="24"/>
              </w:rPr>
              <w:t>§ 5</w:t>
            </w:r>
          </w:p>
        </w:tc>
        <w:tc>
          <w:tcPr>
            <w:tcW w:w="6947" w:type="dxa"/>
          </w:tcPr>
          <w:p w:rsidR="00AD2B17" w:rsidRDefault="00AD2B17" w:rsidP="00B65CD7">
            <w:pPr>
              <w:tabs>
                <w:tab w:val="left" w:pos="1701"/>
              </w:tabs>
              <w:rPr>
                <w:b/>
                <w:bCs/>
                <w:szCs w:val="24"/>
              </w:rPr>
            </w:pPr>
            <w:r>
              <w:rPr>
                <w:b/>
                <w:bCs/>
                <w:szCs w:val="24"/>
              </w:rPr>
              <w:t>Förslag om utskottsinitiativ om förlängda bygglov</w:t>
            </w:r>
          </w:p>
          <w:p w:rsidR="00AD2B17" w:rsidRDefault="00AD2B17" w:rsidP="00B65CD7">
            <w:pPr>
              <w:tabs>
                <w:tab w:val="left" w:pos="1701"/>
              </w:tabs>
              <w:rPr>
                <w:b/>
                <w:bCs/>
                <w:szCs w:val="24"/>
              </w:rPr>
            </w:pPr>
          </w:p>
          <w:p w:rsidR="00835AE2" w:rsidRDefault="00835AE2" w:rsidP="00835AE2">
            <w:pPr>
              <w:rPr>
                <w:sz w:val="22"/>
              </w:rPr>
            </w:pPr>
            <w:r>
              <w:t xml:space="preserve">Utskottet fortsatte behandlingen av M-ledamöternas förslag om ett utskottsinitiativ om behovet av att möjliggöra förlängda bygglov när särskilda skäl föreligger. </w:t>
            </w:r>
          </w:p>
          <w:p w:rsidR="00835AE2" w:rsidRDefault="00835AE2" w:rsidP="00B65CD7">
            <w:pPr>
              <w:tabs>
                <w:tab w:val="left" w:pos="1701"/>
              </w:tabs>
              <w:rPr>
                <w:bCs/>
                <w:szCs w:val="24"/>
              </w:rPr>
            </w:pPr>
          </w:p>
          <w:p w:rsidR="00835AE2" w:rsidRDefault="00835AE2" w:rsidP="00B65CD7">
            <w:pPr>
              <w:tabs>
                <w:tab w:val="left" w:pos="1701"/>
              </w:tabs>
              <w:rPr>
                <w:bCs/>
                <w:szCs w:val="24"/>
              </w:rPr>
            </w:pPr>
            <w:r>
              <w:rPr>
                <w:bCs/>
                <w:szCs w:val="24"/>
              </w:rPr>
              <w:t>Ärendet bordlades.</w:t>
            </w:r>
          </w:p>
          <w:p w:rsidR="00AD2B17" w:rsidRPr="00AD2B17" w:rsidRDefault="00AD2B17" w:rsidP="00B65CD7">
            <w:pPr>
              <w:tabs>
                <w:tab w:val="left" w:pos="1701"/>
              </w:tabs>
              <w:rPr>
                <w:bCs/>
                <w:szCs w:val="24"/>
              </w:rPr>
            </w:pPr>
          </w:p>
        </w:tc>
      </w:tr>
      <w:tr w:rsidR="00AB2A4D" w:rsidRPr="00BA38FB" w:rsidTr="002F1627">
        <w:tc>
          <w:tcPr>
            <w:tcW w:w="567" w:type="dxa"/>
          </w:tcPr>
          <w:p w:rsidR="00AB2A4D" w:rsidRDefault="00AB2A4D" w:rsidP="009C56EA">
            <w:pPr>
              <w:tabs>
                <w:tab w:val="left" w:pos="1701"/>
              </w:tabs>
              <w:rPr>
                <w:b/>
                <w:snapToGrid w:val="0"/>
                <w:szCs w:val="24"/>
              </w:rPr>
            </w:pPr>
            <w:r>
              <w:rPr>
                <w:b/>
                <w:snapToGrid w:val="0"/>
                <w:szCs w:val="24"/>
              </w:rPr>
              <w:t xml:space="preserve">§ </w:t>
            </w:r>
            <w:r w:rsidR="00AD2B17">
              <w:rPr>
                <w:b/>
                <w:snapToGrid w:val="0"/>
                <w:szCs w:val="24"/>
              </w:rPr>
              <w:t>6</w:t>
            </w:r>
          </w:p>
        </w:tc>
        <w:tc>
          <w:tcPr>
            <w:tcW w:w="6947" w:type="dxa"/>
          </w:tcPr>
          <w:p w:rsidR="00835AE2" w:rsidRDefault="002C6E95" w:rsidP="00EC3AB3">
            <w:pPr>
              <w:tabs>
                <w:tab w:val="left" w:pos="1701"/>
              </w:tabs>
              <w:rPr>
                <w:b/>
                <w:bCs/>
                <w:szCs w:val="24"/>
              </w:rPr>
            </w:pPr>
            <w:r>
              <w:rPr>
                <w:b/>
                <w:bCs/>
                <w:szCs w:val="24"/>
              </w:rPr>
              <w:t>Hyresrätt (CU7)</w:t>
            </w:r>
          </w:p>
          <w:p w:rsidR="00835AE2" w:rsidRDefault="00835AE2" w:rsidP="00EC3AB3">
            <w:pPr>
              <w:tabs>
                <w:tab w:val="left" w:pos="1701"/>
              </w:tabs>
              <w:rPr>
                <w:bCs/>
                <w:szCs w:val="24"/>
              </w:rPr>
            </w:pPr>
          </w:p>
          <w:p w:rsidR="00EC3AB3" w:rsidRDefault="002C6E95" w:rsidP="00EC3AB3">
            <w:pPr>
              <w:tabs>
                <w:tab w:val="left" w:pos="1701"/>
              </w:tabs>
              <w:rPr>
                <w:bCs/>
                <w:szCs w:val="24"/>
              </w:rPr>
            </w:pPr>
            <w:r>
              <w:rPr>
                <w:bCs/>
                <w:szCs w:val="24"/>
              </w:rPr>
              <w:t>Utskottet fortsatte behandlingen av motioner.</w:t>
            </w:r>
          </w:p>
          <w:p w:rsidR="002C6E95" w:rsidRDefault="002C6E95" w:rsidP="00EC3AB3">
            <w:pPr>
              <w:tabs>
                <w:tab w:val="left" w:pos="1701"/>
              </w:tabs>
              <w:rPr>
                <w:snapToGrid w:val="0"/>
                <w:szCs w:val="24"/>
              </w:rPr>
            </w:pPr>
          </w:p>
          <w:p w:rsidR="00EC3AB3" w:rsidRDefault="002C6E95" w:rsidP="00370C65">
            <w:pPr>
              <w:tabs>
                <w:tab w:val="left" w:pos="1701"/>
              </w:tabs>
              <w:rPr>
                <w:snapToGrid w:val="0"/>
                <w:szCs w:val="24"/>
              </w:rPr>
            </w:pPr>
            <w:r>
              <w:rPr>
                <w:snapToGrid w:val="0"/>
                <w:szCs w:val="24"/>
              </w:rPr>
              <w:t>Ärendet bordlades.</w:t>
            </w:r>
          </w:p>
          <w:p w:rsidR="00835AE2" w:rsidRPr="00835AE2" w:rsidRDefault="00835AE2" w:rsidP="00370C65">
            <w:pPr>
              <w:tabs>
                <w:tab w:val="left" w:pos="1701"/>
              </w:tabs>
              <w:rPr>
                <w:snapToGrid w:val="0"/>
                <w:szCs w:val="24"/>
              </w:rPr>
            </w:pPr>
          </w:p>
        </w:tc>
      </w:tr>
      <w:tr w:rsidR="002C6E95" w:rsidRPr="00BA38FB" w:rsidTr="002F1627">
        <w:tc>
          <w:tcPr>
            <w:tcW w:w="567" w:type="dxa"/>
          </w:tcPr>
          <w:p w:rsidR="002C6E95" w:rsidRDefault="002C6E95" w:rsidP="009C56EA">
            <w:pPr>
              <w:tabs>
                <w:tab w:val="left" w:pos="1701"/>
              </w:tabs>
              <w:rPr>
                <w:b/>
                <w:snapToGrid w:val="0"/>
                <w:szCs w:val="24"/>
              </w:rPr>
            </w:pPr>
            <w:r>
              <w:rPr>
                <w:b/>
                <w:snapToGrid w:val="0"/>
                <w:szCs w:val="24"/>
              </w:rPr>
              <w:t xml:space="preserve">§ </w:t>
            </w:r>
            <w:r w:rsidR="00AD2B17">
              <w:rPr>
                <w:b/>
                <w:snapToGrid w:val="0"/>
                <w:szCs w:val="24"/>
              </w:rPr>
              <w:t>7</w:t>
            </w:r>
          </w:p>
        </w:tc>
        <w:tc>
          <w:tcPr>
            <w:tcW w:w="6947" w:type="dxa"/>
          </w:tcPr>
          <w:p w:rsidR="002C6E95" w:rsidRDefault="002C6E95" w:rsidP="00EC3AB3">
            <w:pPr>
              <w:tabs>
                <w:tab w:val="left" w:pos="1701"/>
              </w:tabs>
              <w:rPr>
                <w:b/>
                <w:bCs/>
                <w:szCs w:val="24"/>
              </w:rPr>
            </w:pPr>
            <w:r>
              <w:rPr>
                <w:b/>
                <w:bCs/>
                <w:szCs w:val="24"/>
              </w:rPr>
              <w:t>Associationsrätt (CU8)</w:t>
            </w:r>
          </w:p>
          <w:p w:rsidR="002C6E95" w:rsidRDefault="002C6E95" w:rsidP="00EC3AB3">
            <w:pPr>
              <w:tabs>
                <w:tab w:val="left" w:pos="1701"/>
              </w:tabs>
              <w:rPr>
                <w:b/>
                <w:bCs/>
                <w:szCs w:val="24"/>
              </w:rPr>
            </w:pPr>
          </w:p>
          <w:p w:rsidR="002C6E95" w:rsidRDefault="002C6E95" w:rsidP="002C6E95">
            <w:pPr>
              <w:tabs>
                <w:tab w:val="left" w:pos="1701"/>
              </w:tabs>
              <w:rPr>
                <w:bCs/>
                <w:szCs w:val="24"/>
              </w:rPr>
            </w:pPr>
            <w:r>
              <w:rPr>
                <w:bCs/>
                <w:szCs w:val="24"/>
              </w:rPr>
              <w:t>Utskottet fortsatte behandlingen av motioner.</w:t>
            </w:r>
          </w:p>
          <w:p w:rsidR="002C6E95" w:rsidRDefault="002C6E95" w:rsidP="002C6E95">
            <w:pPr>
              <w:tabs>
                <w:tab w:val="left" w:pos="1701"/>
              </w:tabs>
              <w:rPr>
                <w:snapToGrid w:val="0"/>
                <w:szCs w:val="24"/>
              </w:rPr>
            </w:pPr>
          </w:p>
          <w:p w:rsidR="002C6E95" w:rsidRPr="002C6E95" w:rsidRDefault="002C6E95" w:rsidP="002C6E95">
            <w:pPr>
              <w:tabs>
                <w:tab w:val="left" w:pos="1701"/>
              </w:tabs>
              <w:rPr>
                <w:snapToGrid w:val="0"/>
                <w:szCs w:val="24"/>
              </w:rPr>
            </w:pPr>
            <w:r>
              <w:rPr>
                <w:snapToGrid w:val="0"/>
                <w:szCs w:val="24"/>
              </w:rPr>
              <w:t>Ärendet bordlades.</w:t>
            </w:r>
          </w:p>
          <w:p w:rsidR="002C6E95" w:rsidRDefault="002C6E95" w:rsidP="00EC3AB3">
            <w:pPr>
              <w:tabs>
                <w:tab w:val="left" w:pos="1701"/>
              </w:tabs>
              <w:rPr>
                <w:b/>
                <w:bCs/>
                <w:szCs w:val="24"/>
              </w:rPr>
            </w:pPr>
          </w:p>
        </w:tc>
      </w:tr>
      <w:tr w:rsidR="002C6E95" w:rsidRPr="00BA38FB" w:rsidTr="002F1627">
        <w:tc>
          <w:tcPr>
            <w:tcW w:w="567" w:type="dxa"/>
          </w:tcPr>
          <w:p w:rsidR="002C6E95" w:rsidRDefault="002C6E95" w:rsidP="009C56EA">
            <w:pPr>
              <w:tabs>
                <w:tab w:val="left" w:pos="1701"/>
              </w:tabs>
              <w:rPr>
                <w:b/>
                <w:snapToGrid w:val="0"/>
                <w:szCs w:val="24"/>
              </w:rPr>
            </w:pPr>
            <w:r>
              <w:rPr>
                <w:b/>
                <w:snapToGrid w:val="0"/>
                <w:szCs w:val="24"/>
              </w:rPr>
              <w:t xml:space="preserve">§ </w:t>
            </w:r>
            <w:r w:rsidR="00AD2B17">
              <w:rPr>
                <w:b/>
                <w:snapToGrid w:val="0"/>
                <w:szCs w:val="24"/>
              </w:rPr>
              <w:t>8</w:t>
            </w:r>
            <w:r>
              <w:rPr>
                <w:b/>
                <w:snapToGrid w:val="0"/>
                <w:szCs w:val="24"/>
              </w:rPr>
              <w:t xml:space="preserve"> </w:t>
            </w:r>
          </w:p>
        </w:tc>
        <w:tc>
          <w:tcPr>
            <w:tcW w:w="6947" w:type="dxa"/>
          </w:tcPr>
          <w:p w:rsidR="002C6E95" w:rsidRDefault="002C6E95" w:rsidP="00B65CD7">
            <w:pPr>
              <w:tabs>
                <w:tab w:val="left" w:pos="1701"/>
              </w:tabs>
              <w:rPr>
                <w:b/>
                <w:bCs/>
                <w:szCs w:val="24"/>
              </w:rPr>
            </w:pPr>
            <w:r>
              <w:rPr>
                <w:b/>
                <w:bCs/>
                <w:szCs w:val="24"/>
              </w:rPr>
              <w:t>Skadeståndets omfattning vid finansiell rådgivning (CU15)</w:t>
            </w:r>
          </w:p>
          <w:p w:rsidR="002C6E95" w:rsidRDefault="002C6E95" w:rsidP="00B65CD7">
            <w:pPr>
              <w:tabs>
                <w:tab w:val="left" w:pos="1701"/>
              </w:tabs>
              <w:rPr>
                <w:b/>
                <w:bCs/>
                <w:szCs w:val="24"/>
              </w:rPr>
            </w:pPr>
          </w:p>
          <w:p w:rsidR="002C6E95" w:rsidRPr="00CA00B2" w:rsidRDefault="002C6E95" w:rsidP="00B65CD7">
            <w:pPr>
              <w:tabs>
                <w:tab w:val="left" w:pos="1701"/>
              </w:tabs>
              <w:rPr>
                <w:bCs/>
                <w:szCs w:val="24"/>
              </w:rPr>
            </w:pPr>
            <w:r w:rsidRPr="002C6E95">
              <w:rPr>
                <w:bCs/>
                <w:szCs w:val="24"/>
              </w:rPr>
              <w:t xml:space="preserve">Utskottet </w:t>
            </w:r>
            <w:r>
              <w:rPr>
                <w:bCs/>
                <w:szCs w:val="24"/>
              </w:rPr>
              <w:t xml:space="preserve">behandlade proposition 2020/21:50 </w:t>
            </w:r>
            <w:r w:rsidRPr="00CA00B2">
              <w:rPr>
                <w:bCs/>
                <w:szCs w:val="24"/>
              </w:rPr>
              <w:t>och motioner.</w:t>
            </w:r>
          </w:p>
          <w:p w:rsidR="002C6E95" w:rsidRDefault="002C6E95" w:rsidP="00B65CD7">
            <w:pPr>
              <w:tabs>
                <w:tab w:val="left" w:pos="1701"/>
              </w:tabs>
              <w:rPr>
                <w:bCs/>
                <w:szCs w:val="24"/>
              </w:rPr>
            </w:pPr>
          </w:p>
          <w:p w:rsidR="002C6E95" w:rsidRDefault="002C6E95" w:rsidP="00B65CD7">
            <w:pPr>
              <w:tabs>
                <w:tab w:val="left" w:pos="1701"/>
              </w:tabs>
              <w:rPr>
                <w:bCs/>
                <w:szCs w:val="24"/>
              </w:rPr>
            </w:pPr>
            <w:r>
              <w:rPr>
                <w:bCs/>
                <w:szCs w:val="24"/>
              </w:rPr>
              <w:t>Ärendet bordlades.</w:t>
            </w:r>
          </w:p>
          <w:p w:rsidR="002C6E95" w:rsidRPr="002C6E95" w:rsidRDefault="002C6E95" w:rsidP="00B65CD7">
            <w:pPr>
              <w:tabs>
                <w:tab w:val="left" w:pos="1701"/>
              </w:tabs>
              <w:rPr>
                <w:bCs/>
                <w:szCs w:val="24"/>
              </w:rPr>
            </w:pPr>
          </w:p>
        </w:tc>
      </w:tr>
      <w:tr w:rsidR="00AB2A4D" w:rsidRPr="00BA38FB" w:rsidTr="002F1627">
        <w:tc>
          <w:tcPr>
            <w:tcW w:w="567" w:type="dxa"/>
          </w:tcPr>
          <w:p w:rsidR="00AB2A4D" w:rsidRDefault="00AB2A4D" w:rsidP="009C56EA">
            <w:pPr>
              <w:tabs>
                <w:tab w:val="left" w:pos="1701"/>
              </w:tabs>
              <w:rPr>
                <w:b/>
                <w:snapToGrid w:val="0"/>
                <w:szCs w:val="24"/>
              </w:rPr>
            </w:pPr>
            <w:r>
              <w:rPr>
                <w:b/>
                <w:snapToGrid w:val="0"/>
                <w:szCs w:val="24"/>
              </w:rPr>
              <w:t xml:space="preserve">§ </w:t>
            </w:r>
            <w:r w:rsidR="00835AE2">
              <w:rPr>
                <w:b/>
                <w:snapToGrid w:val="0"/>
                <w:szCs w:val="24"/>
              </w:rPr>
              <w:t>9</w:t>
            </w:r>
          </w:p>
        </w:tc>
        <w:tc>
          <w:tcPr>
            <w:tcW w:w="6947" w:type="dxa"/>
          </w:tcPr>
          <w:p w:rsidR="00370C65" w:rsidRDefault="002C6E95" w:rsidP="00370C65">
            <w:pPr>
              <w:tabs>
                <w:tab w:val="left" w:pos="1701"/>
              </w:tabs>
              <w:rPr>
                <w:b/>
                <w:bCs/>
                <w:szCs w:val="24"/>
              </w:rPr>
            </w:pPr>
            <w:r>
              <w:rPr>
                <w:b/>
                <w:bCs/>
                <w:szCs w:val="24"/>
              </w:rPr>
              <w:t>Preliminär plan</w:t>
            </w:r>
          </w:p>
          <w:p w:rsidR="00902EB5" w:rsidRDefault="00902EB5" w:rsidP="00370C65">
            <w:pPr>
              <w:tabs>
                <w:tab w:val="left" w:pos="1701"/>
              </w:tabs>
              <w:rPr>
                <w:b/>
                <w:bCs/>
                <w:szCs w:val="24"/>
              </w:rPr>
            </w:pPr>
          </w:p>
          <w:p w:rsidR="00DB7C77" w:rsidRDefault="00DB7C77" w:rsidP="00DB7C77">
            <w:pPr>
              <w:tabs>
                <w:tab w:val="left" w:pos="1701"/>
              </w:tabs>
              <w:rPr>
                <w:snapToGrid w:val="0"/>
              </w:rPr>
            </w:pPr>
            <w:r w:rsidRPr="00B97189">
              <w:rPr>
                <w:snapToGrid w:val="0"/>
              </w:rPr>
              <w:t>Utskotte</w:t>
            </w:r>
            <w:r>
              <w:rPr>
                <w:snapToGrid w:val="0"/>
              </w:rPr>
              <w:t>ts</w:t>
            </w:r>
            <w:r w:rsidRPr="00B97189">
              <w:rPr>
                <w:snapToGrid w:val="0"/>
              </w:rPr>
              <w:t xml:space="preserve"> pre</w:t>
            </w:r>
            <w:r>
              <w:rPr>
                <w:snapToGrid w:val="0"/>
              </w:rPr>
              <w:t>liminära sammanträdesplan våren 2021 anmäldes.</w:t>
            </w:r>
          </w:p>
          <w:p w:rsidR="00DB7C77" w:rsidRDefault="00DB7C77" w:rsidP="00DB7C77">
            <w:pPr>
              <w:tabs>
                <w:tab w:val="left" w:pos="1701"/>
              </w:tabs>
              <w:rPr>
                <w:snapToGrid w:val="0"/>
              </w:rPr>
            </w:pPr>
          </w:p>
          <w:p w:rsidR="00902EB5" w:rsidRPr="00DB7C77" w:rsidRDefault="00DB7C77" w:rsidP="00370C65">
            <w:pPr>
              <w:tabs>
                <w:tab w:val="left" w:pos="1701"/>
              </w:tabs>
              <w:rPr>
                <w:snapToGrid w:val="0"/>
              </w:rPr>
            </w:pPr>
            <w:r w:rsidRPr="000A6905">
              <w:rPr>
                <w:snapToGrid w:val="0"/>
              </w:rPr>
              <w:t>Propositionsförteckning för riksmötet 2020/21 anmäldes.</w:t>
            </w:r>
          </w:p>
          <w:p w:rsidR="00AB2A4D" w:rsidRPr="00AB2A4D" w:rsidRDefault="00AB2A4D" w:rsidP="00B65CD7">
            <w:pPr>
              <w:tabs>
                <w:tab w:val="left" w:pos="1701"/>
              </w:tabs>
              <w:rPr>
                <w:bCs/>
                <w:szCs w:val="24"/>
              </w:rPr>
            </w:pPr>
          </w:p>
        </w:tc>
      </w:tr>
      <w:tr w:rsidR="002C6E95" w:rsidRPr="00BA38FB" w:rsidTr="002F1627">
        <w:tc>
          <w:tcPr>
            <w:tcW w:w="567" w:type="dxa"/>
          </w:tcPr>
          <w:p w:rsidR="002C6E95" w:rsidRDefault="002C6E95" w:rsidP="009C56EA">
            <w:pPr>
              <w:tabs>
                <w:tab w:val="left" w:pos="1701"/>
              </w:tabs>
              <w:rPr>
                <w:b/>
                <w:snapToGrid w:val="0"/>
                <w:szCs w:val="24"/>
              </w:rPr>
            </w:pPr>
            <w:r>
              <w:rPr>
                <w:b/>
                <w:snapToGrid w:val="0"/>
                <w:szCs w:val="24"/>
              </w:rPr>
              <w:t xml:space="preserve">§ </w:t>
            </w:r>
            <w:r w:rsidR="00835AE2">
              <w:rPr>
                <w:b/>
                <w:snapToGrid w:val="0"/>
                <w:szCs w:val="24"/>
              </w:rPr>
              <w:t>10</w:t>
            </w:r>
          </w:p>
        </w:tc>
        <w:tc>
          <w:tcPr>
            <w:tcW w:w="6947" w:type="dxa"/>
          </w:tcPr>
          <w:p w:rsidR="002C6E95" w:rsidRDefault="002C6E95" w:rsidP="00A61290">
            <w:pPr>
              <w:tabs>
                <w:tab w:val="left" w:pos="1701"/>
              </w:tabs>
              <w:rPr>
                <w:b/>
                <w:bCs/>
                <w:szCs w:val="24"/>
              </w:rPr>
            </w:pPr>
            <w:r>
              <w:rPr>
                <w:b/>
                <w:bCs/>
                <w:szCs w:val="24"/>
              </w:rPr>
              <w:t>Övriga frågor</w:t>
            </w:r>
          </w:p>
          <w:p w:rsidR="000A6905" w:rsidRDefault="000A6905" w:rsidP="00A61290">
            <w:pPr>
              <w:tabs>
                <w:tab w:val="left" w:pos="1701"/>
              </w:tabs>
              <w:rPr>
                <w:b/>
                <w:bCs/>
                <w:szCs w:val="24"/>
              </w:rPr>
            </w:pPr>
          </w:p>
          <w:p w:rsidR="000A6905" w:rsidRPr="000A6905" w:rsidRDefault="000A6905" w:rsidP="00A61290">
            <w:pPr>
              <w:tabs>
                <w:tab w:val="left" w:pos="1701"/>
              </w:tabs>
              <w:rPr>
                <w:bCs/>
                <w:szCs w:val="24"/>
              </w:rPr>
            </w:pPr>
            <w:r w:rsidRPr="000A6905">
              <w:rPr>
                <w:bCs/>
                <w:szCs w:val="24"/>
              </w:rPr>
              <w:t>Inkomna skrivelser anmäldes enligt förteckning.</w:t>
            </w:r>
          </w:p>
          <w:p w:rsidR="002C6E95" w:rsidRDefault="002C6E95" w:rsidP="00A61290">
            <w:pPr>
              <w:tabs>
                <w:tab w:val="left" w:pos="1701"/>
              </w:tabs>
              <w:rPr>
                <w:b/>
                <w:bCs/>
                <w:szCs w:val="24"/>
              </w:rPr>
            </w:pPr>
          </w:p>
        </w:tc>
      </w:tr>
      <w:tr w:rsidR="00761574" w:rsidRPr="00BA38FB" w:rsidTr="002F1627">
        <w:tc>
          <w:tcPr>
            <w:tcW w:w="567" w:type="dxa"/>
          </w:tcPr>
          <w:p w:rsidR="00761574" w:rsidRDefault="00A61290" w:rsidP="009C56EA">
            <w:pPr>
              <w:tabs>
                <w:tab w:val="left" w:pos="1701"/>
              </w:tabs>
              <w:rPr>
                <w:b/>
                <w:snapToGrid w:val="0"/>
                <w:szCs w:val="24"/>
              </w:rPr>
            </w:pPr>
            <w:r>
              <w:rPr>
                <w:b/>
                <w:snapToGrid w:val="0"/>
                <w:szCs w:val="24"/>
              </w:rPr>
              <w:t xml:space="preserve">§ </w:t>
            </w:r>
            <w:r w:rsidR="002C6E95">
              <w:rPr>
                <w:b/>
                <w:snapToGrid w:val="0"/>
                <w:szCs w:val="24"/>
              </w:rPr>
              <w:t>1</w:t>
            </w:r>
            <w:r w:rsidR="00835AE2">
              <w:rPr>
                <w:b/>
                <w:snapToGrid w:val="0"/>
                <w:szCs w:val="24"/>
              </w:rPr>
              <w:t>1</w:t>
            </w:r>
          </w:p>
        </w:tc>
        <w:tc>
          <w:tcPr>
            <w:tcW w:w="6947" w:type="dxa"/>
          </w:tcPr>
          <w:p w:rsidR="00A61290" w:rsidRDefault="00A61290" w:rsidP="00A61290">
            <w:pPr>
              <w:tabs>
                <w:tab w:val="left" w:pos="1701"/>
              </w:tabs>
              <w:rPr>
                <w:b/>
                <w:bCs/>
                <w:szCs w:val="24"/>
              </w:rPr>
            </w:pPr>
            <w:r>
              <w:rPr>
                <w:b/>
                <w:bCs/>
                <w:szCs w:val="24"/>
              </w:rPr>
              <w:t>Nästa sammanträde</w:t>
            </w:r>
          </w:p>
          <w:p w:rsidR="00A61290" w:rsidRDefault="00A61290" w:rsidP="00A61290">
            <w:pPr>
              <w:tabs>
                <w:tab w:val="left" w:pos="1701"/>
              </w:tabs>
              <w:rPr>
                <w:bCs/>
                <w:szCs w:val="24"/>
              </w:rPr>
            </w:pPr>
          </w:p>
          <w:p w:rsidR="00A61290" w:rsidRDefault="00A61290" w:rsidP="00A61290">
            <w:pPr>
              <w:rPr>
                <w:b/>
                <w:bCs/>
                <w:szCs w:val="24"/>
              </w:rPr>
            </w:pPr>
            <w:r w:rsidRPr="00B214C5">
              <w:rPr>
                <w:bCs/>
                <w:szCs w:val="24"/>
              </w:rPr>
              <w:t>Utskottet beslutade att nästa sammanträde ska äga rum den</w:t>
            </w:r>
            <w:r>
              <w:rPr>
                <w:bCs/>
                <w:szCs w:val="24"/>
              </w:rPr>
              <w:t xml:space="preserve"> </w:t>
            </w:r>
            <w:r w:rsidR="00AD7E57">
              <w:rPr>
                <w:bCs/>
                <w:szCs w:val="24"/>
              </w:rPr>
              <w:t>21</w:t>
            </w:r>
            <w:r>
              <w:rPr>
                <w:bCs/>
                <w:szCs w:val="24"/>
              </w:rPr>
              <w:t xml:space="preserve"> januari 2021</w:t>
            </w:r>
            <w:r w:rsidR="008B34AC">
              <w:rPr>
                <w:bCs/>
                <w:szCs w:val="24"/>
              </w:rPr>
              <w:t xml:space="preserve"> kl. </w:t>
            </w:r>
            <w:r w:rsidR="00AD7E57">
              <w:rPr>
                <w:bCs/>
                <w:szCs w:val="24"/>
              </w:rPr>
              <w:t>9</w:t>
            </w:r>
            <w:r w:rsidR="008B34AC">
              <w:rPr>
                <w:bCs/>
                <w:szCs w:val="24"/>
              </w:rPr>
              <w:t>.</w:t>
            </w:r>
            <w:r w:rsidR="00AD7E57">
              <w:rPr>
                <w:bCs/>
                <w:szCs w:val="24"/>
              </w:rPr>
              <w:t>3</w:t>
            </w:r>
            <w:r w:rsidR="008B34AC">
              <w:rPr>
                <w:bCs/>
                <w:szCs w:val="24"/>
              </w:rPr>
              <w:t>0</w:t>
            </w:r>
            <w:r>
              <w:rPr>
                <w:bCs/>
                <w:szCs w:val="24"/>
              </w:rPr>
              <w:t>.</w:t>
            </w:r>
          </w:p>
          <w:p w:rsidR="00AB2A4D" w:rsidRPr="0003001F" w:rsidRDefault="00AB2A4D" w:rsidP="00B65CD7">
            <w:pPr>
              <w:rPr>
                <w:bCs/>
                <w:szCs w:val="24"/>
              </w:rPr>
            </w:pPr>
          </w:p>
        </w:tc>
      </w:tr>
    </w:tbl>
    <w:p w:rsidR="002F1627" w:rsidRDefault="002F1627"/>
    <w:p w:rsidR="00A33C2F" w:rsidRDefault="00A33C2F"/>
    <w:p w:rsidR="00AB2A4D" w:rsidRDefault="00AB2A4D"/>
    <w:p w:rsidR="000A6905" w:rsidRDefault="000A6905">
      <w:r>
        <w:br w:type="page"/>
      </w:r>
    </w:p>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745FE9" w:rsidRPr="00BA38FB" w:rsidTr="00982260">
        <w:tc>
          <w:tcPr>
            <w:tcW w:w="8789" w:type="dxa"/>
          </w:tcPr>
          <w:p w:rsidR="000D35E7" w:rsidRDefault="000D35E7" w:rsidP="00745FE9">
            <w:pPr>
              <w:tabs>
                <w:tab w:val="left" w:pos="1701"/>
              </w:tabs>
              <w:ind w:left="1275"/>
              <w:rPr>
                <w:szCs w:val="24"/>
              </w:rPr>
            </w:pPr>
          </w:p>
          <w:p w:rsidR="00745FE9" w:rsidRPr="00BA38FB" w:rsidRDefault="00745FE9" w:rsidP="00745FE9">
            <w:pPr>
              <w:tabs>
                <w:tab w:val="left" w:pos="1701"/>
              </w:tabs>
              <w:ind w:left="1275"/>
              <w:rPr>
                <w:szCs w:val="24"/>
              </w:rPr>
            </w:pPr>
            <w:r w:rsidRPr="00BA38FB">
              <w:rPr>
                <w:szCs w:val="24"/>
              </w:rPr>
              <w:t>Vid protokollet</w:t>
            </w: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r w:rsidRPr="00A569CA">
              <w:rPr>
                <w:szCs w:val="24"/>
              </w:rPr>
              <w:t xml:space="preserve">Justeras </w:t>
            </w:r>
            <w:r w:rsidRPr="007D072F">
              <w:rPr>
                <w:szCs w:val="24"/>
              </w:rPr>
              <w:t xml:space="preserve">den </w:t>
            </w:r>
            <w:r w:rsidR="00AD7E57">
              <w:rPr>
                <w:szCs w:val="24"/>
              </w:rPr>
              <w:t>21</w:t>
            </w:r>
            <w:r w:rsidR="001517DC">
              <w:rPr>
                <w:szCs w:val="24"/>
              </w:rPr>
              <w:t xml:space="preserve"> januari</w:t>
            </w:r>
            <w:r>
              <w:rPr>
                <w:szCs w:val="24"/>
              </w:rPr>
              <w:t xml:space="preserve"> 20</w:t>
            </w:r>
            <w:r w:rsidR="001517DC">
              <w:rPr>
                <w:szCs w:val="24"/>
              </w:rPr>
              <w:t>2</w:t>
            </w:r>
            <w:r w:rsidR="00FC5B1B">
              <w:rPr>
                <w:szCs w:val="24"/>
              </w:rPr>
              <w:t>1</w:t>
            </w:r>
          </w:p>
          <w:p w:rsidR="00745FE9" w:rsidRPr="00BA38FB" w:rsidRDefault="00745FE9" w:rsidP="00745FE9">
            <w:pPr>
              <w:tabs>
                <w:tab w:val="left" w:pos="1701"/>
              </w:tabs>
              <w:ind w:left="1275"/>
              <w:rPr>
                <w:szCs w:val="24"/>
              </w:rPr>
            </w:pPr>
          </w:p>
          <w:p w:rsidR="00745FE9" w:rsidRDefault="00745FE9" w:rsidP="00745FE9">
            <w:pPr>
              <w:tabs>
                <w:tab w:val="left" w:pos="1701"/>
              </w:tabs>
              <w:ind w:left="1275"/>
              <w:rPr>
                <w:snapToGrid w:val="0"/>
                <w:szCs w:val="24"/>
              </w:rPr>
            </w:pPr>
          </w:p>
          <w:p w:rsidR="00745FE9" w:rsidRPr="00BA38FB" w:rsidRDefault="00745FE9" w:rsidP="00745FE9">
            <w:pPr>
              <w:tabs>
                <w:tab w:val="left" w:pos="1701"/>
              </w:tabs>
              <w:ind w:left="1275"/>
              <w:rPr>
                <w:snapToGrid w:val="0"/>
                <w:szCs w:val="24"/>
              </w:rPr>
            </w:pPr>
          </w:p>
          <w:p w:rsidR="00745FE9" w:rsidRDefault="000A6905" w:rsidP="00745FE9">
            <w:pPr>
              <w:tabs>
                <w:tab w:val="left" w:pos="1701"/>
              </w:tabs>
              <w:ind w:left="1275"/>
              <w:rPr>
                <w:snapToGrid w:val="0"/>
                <w:szCs w:val="24"/>
              </w:rPr>
            </w:pPr>
            <w:r>
              <w:rPr>
                <w:snapToGrid w:val="0"/>
                <w:szCs w:val="24"/>
              </w:rPr>
              <w:t>Emma Hult</w:t>
            </w:r>
          </w:p>
          <w:p w:rsidR="006A6589" w:rsidRDefault="006A6589" w:rsidP="00745FE9">
            <w:pPr>
              <w:tabs>
                <w:tab w:val="left" w:pos="1701"/>
              </w:tabs>
              <w:ind w:left="1275"/>
              <w:rPr>
                <w:snapToGrid w:val="0"/>
                <w:szCs w:val="24"/>
              </w:rPr>
            </w:pPr>
          </w:p>
          <w:p w:rsidR="006A6589" w:rsidRDefault="006A6589" w:rsidP="00745FE9">
            <w:pPr>
              <w:tabs>
                <w:tab w:val="left" w:pos="1701"/>
              </w:tabs>
              <w:ind w:left="1275"/>
              <w:rPr>
                <w:snapToGrid w:val="0"/>
                <w:szCs w:val="24"/>
              </w:rPr>
            </w:pPr>
          </w:p>
          <w:p w:rsidR="00745FE9" w:rsidRPr="00BA38FB" w:rsidRDefault="00745FE9" w:rsidP="00745FE9">
            <w:pPr>
              <w:tabs>
                <w:tab w:val="left" w:pos="1701"/>
              </w:tabs>
              <w:rPr>
                <w:b/>
                <w:szCs w:val="24"/>
              </w:rPr>
            </w:pPr>
          </w:p>
        </w:tc>
      </w:tr>
    </w:tbl>
    <w:p w:rsidR="000F44F4" w:rsidRDefault="000F44F4"/>
    <w:p w:rsidR="00E332DE" w:rsidRDefault="004F403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7"/>
        <w:gridCol w:w="540"/>
        <w:gridCol w:w="356"/>
        <w:gridCol w:w="356"/>
        <w:gridCol w:w="356"/>
        <w:gridCol w:w="356"/>
        <w:gridCol w:w="356"/>
        <w:gridCol w:w="356"/>
        <w:gridCol w:w="356"/>
        <w:gridCol w:w="356"/>
        <w:gridCol w:w="297"/>
        <w:gridCol w:w="59"/>
        <w:gridCol w:w="356"/>
        <w:gridCol w:w="356"/>
        <w:gridCol w:w="356"/>
        <w:gridCol w:w="356"/>
        <w:gridCol w:w="356"/>
      </w:tblGrid>
      <w:tr w:rsidR="00E332DE" w:rsidTr="004B01A5">
        <w:tc>
          <w:tcPr>
            <w:tcW w:w="2907" w:type="dxa"/>
            <w:tcBorders>
              <w:top w:val="nil"/>
              <w:left w:val="nil"/>
              <w:bottom w:val="nil"/>
              <w:right w:val="nil"/>
            </w:tcBorders>
            <w:hideMark/>
          </w:tcPr>
          <w:p w:rsidR="00E332DE" w:rsidRDefault="00E332DE" w:rsidP="004B01A5">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rsidR="00E332DE" w:rsidRDefault="00E332DE" w:rsidP="004B01A5">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tcPr>
          <w:p w:rsidR="00E332DE" w:rsidRDefault="00E332DE" w:rsidP="004B01A5">
            <w:pPr>
              <w:tabs>
                <w:tab w:val="left" w:pos="1701"/>
              </w:tabs>
              <w:rPr>
                <w:b/>
                <w:sz w:val="22"/>
                <w:szCs w:val="22"/>
              </w:rPr>
            </w:pPr>
            <w:r>
              <w:rPr>
                <w:b/>
                <w:sz w:val="22"/>
                <w:szCs w:val="22"/>
              </w:rPr>
              <w:t>Bilaga 1</w:t>
            </w:r>
          </w:p>
          <w:p w:rsidR="00E332DE" w:rsidRDefault="00E332DE" w:rsidP="004B01A5">
            <w:pPr>
              <w:tabs>
                <w:tab w:val="left" w:pos="1701"/>
              </w:tabs>
              <w:rPr>
                <w:sz w:val="22"/>
                <w:szCs w:val="22"/>
              </w:rPr>
            </w:pPr>
            <w:r>
              <w:rPr>
                <w:sz w:val="22"/>
                <w:szCs w:val="22"/>
              </w:rPr>
              <w:t>till protokoll 2020/21:12</w:t>
            </w:r>
          </w:p>
        </w:tc>
      </w:tr>
      <w:tr w:rsidR="00E332DE" w:rsidTr="004B01A5">
        <w:trPr>
          <w:cantSplit/>
        </w:trPr>
        <w:tc>
          <w:tcPr>
            <w:tcW w:w="3447" w:type="dxa"/>
            <w:gridSpan w:val="2"/>
            <w:tcBorders>
              <w:top w:val="single" w:sz="6" w:space="0" w:color="auto"/>
              <w:left w:val="single" w:sz="6" w:space="0" w:color="auto"/>
              <w:bottom w:val="single" w:sz="6" w:space="0" w:color="auto"/>
              <w:right w:val="single" w:sz="6" w:space="0" w:color="auto"/>
            </w:tcBorders>
          </w:tcPr>
          <w:p w:rsidR="00E332DE"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E332DE" w:rsidRPr="00762AA7"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 1</w:t>
            </w:r>
          </w:p>
        </w:tc>
        <w:tc>
          <w:tcPr>
            <w:tcW w:w="712" w:type="dxa"/>
            <w:gridSpan w:val="2"/>
            <w:tcBorders>
              <w:top w:val="single" w:sz="6" w:space="0" w:color="auto"/>
              <w:left w:val="single" w:sz="6" w:space="0" w:color="auto"/>
              <w:bottom w:val="single" w:sz="6" w:space="0" w:color="auto"/>
              <w:right w:val="single" w:sz="6" w:space="0" w:color="auto"/>
            </w:tcBorders>
          </w:tcPr>
          <w:p w:rsidR="00E332DE" w:rsidRPr="00762AA7"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 xml:space="preserve">§ </w:t>
            </w:r>
            <w:r w:rsidR="004A3360" w:rsidRPr="00762AA7">
              <w:rPr>
                <w:sz w:val="20"/>
              </w:rPr>
              <w:t>2</w:t>
            </w:r>
          </w:p>
        </w:tc>
        <w:tc>
          <w:tcPr>
            <w:tcW w:w="712" w:type="dxa"/>
            <w:gridSpan w:val="2"/>
            <w:tcBorders>
              <w:top w:val="single" w:sz="6" w:space="0" w:color="auto"/>
              <w:left w:val="single" w:sz="6" w:space="0" w:color="auto"/>
              <w:bottom w:val="single" w:sz="6" w:space="0" w:color="auto"/>
              <w:right w:val="single" w:sz="6" w:space="0" w:color="auto"/>
            </w:tcBorders>
          </w:tcPr>
          <w:p w:rsidR="00E332DE" w:rsidRPr="00762AA7" w:rsidRDefault="002A18FD"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w:t>
            </w:r>
            <w:r w:rsidR="00CA6B36" w:rsidRPr="00762AA7">
              <w:rPr>
                <w:sz w:val="20"/>
              </w:rPr>
              <w:t xml:space="preserve"> </w:t>
            </w:r>
            <w:r w:rsidR="00CF2276" w:rsidRPr="00762AA7">
              <w:rPr>
                <w:sz w:val="20"/>
              </w:rPr>
              <w:t>3</w:t>
            </w:r>
            <w:r w:rsidR="00CF2276">
              <w:rPr>
                <w:sz w:val="20"/>
              </w:rPr>
              <w:t>–11</w:t>
            </w:r>
          </w:p>
        </w:tc>
        <w:tc>
          <w:tcPr>
            <w:tcW w:w="712" w:type="dxa"/>
            <w:gridSpan w:val="2"/>
            <w:tcBorders>
              <w:top w:val="single" w:sz="6" w:space="0" w:color="auto"/>
              <w:left w:val="single" w:sz="6" w:space="0" w:color="auto"/>
              <w:bottom w:val="single" w:sz="6" w:space="0" w:color="auto"/>
              <w:right w:val="single" w:sz="6" w:space="0" w:color="auto"/>
            </w:tcBorders>
          </w:tcPr>
          <w:p w:rsidR="00E332DE" w:rsidRPr="00762AA7"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3"/>
            <w:tcBorders>
              <w:top w:val="single" w:sz="6" w:space="0" w:color="auto"/>
              <w:left w:val="single" w:sz="6" w:space="0" w:color="auto"/>
              <w:bottom w:val="single" w:sz="6" w:space="0" w:color="auto"/>
              <w:right w:val="single" w:sz="6" w:space="0" w:color="auto"/>
            </w:tcBorders>
          </w:tcPr>
          <w:p w:rsidR="00E332DE" w:rsidRPr="00DF1CB8"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E332DE" w:rsidRPr="00DF1CB8"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E332DE" w:rsidRPr="00DF1CB8"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332DE" w:rsidTr="004B01A5">
        <w:tc>
          <w:tcPr>
            <w:tcW w:w="3447" w:type="dxa"/>
            <w:gridSpan w:val="2"/>
            <w:tcBorders>
              <w:top w:val="single" w:sz="6" w:space="0" w:color="auto"/>
              <w:left w:val="single" w:sz="6" w:space="0" w:color="auto"/>
              <w:bottom w:val="single" w:sz="6" w:space="0" w:color="auto"/>
              <w:right w:val="single" w:sz="6" w:space="0" w:color="auto"/>
            </w:tcBorders>
            <w:hideMark/>
          </w:tcPr>
          <w:p w:rsidR="00E332DE"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tcPr>
          <w:p w:rsidR="00E332DE" w:rsidRPr="00762AA7"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N</w:t>
            </w:r>
          </w:p>
        </w:tc>
        <w:tc>
          <w:tcPr>
            <w:tcW w:w="356" w:type="dxa"/>
            <w:tcBorders>
              <w:top w:val="single" w:sz="6" w:space="0" w:color="auto"/>
              <w:left w:val="single" w:sz="6" w:space="0" w:color="auto"/>
              <w:bottom w:val="single" w:sz="6" w:space="0" w:color="auto"/>
              <w:right w:val="single" w:sz="6" w:space="0" w:color="auto"/>
            </w:tcBorders>
          </w:tcPr>
          <w:p w:rsidR="00E332DE" w:rsidRPr="00762AA7"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V</w:t>
            </w:r>
          </w:p>
        </w:tc>
        <w:tc>
          <w:tcPr>
            <w:tcW w:w="356" w:type="dxa"/>
            <w:tcBorders>
              <w:top w:val="single" w:sz="6" w:space="0" w:color="auto"/>
              <w:left w:val="single" w:sz="6" w:space="0" w:color="auto"/>
              <w:bottom w:val="single" w:sz="6" w:space="0" w:color="auto"/>
              <w:right w:val="single" w:sz="6" w:space="0" w:color="auto"/>
            </w:tcBorders>
          </w:tcPr>
          <w:p w:rsidR="00E332DE" w:rsidRPr="00762AA7"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N</w:t>
            </w:r>
          </w:p>
        </w:tc>
        <w:tc>
          <w:tcPr>
            <w:tcW w:w="356" w:type="dxa"/>
            <w:tcBorders>
              <w:top w:val="single" w:sz="6" w:space="0" w:color="auto"/>
              <w:left w:val="single" w:sz="6" w:space="0" w:color="auto"/>
              <w:bottom w:val="single" w:sz="6" w:space="0" w:color="auto"/>
              <w:right w:val="single" w:sz="6" w:space="0" w:color="auto"/>
            </w:tcBorders>
          </w:tcPr>
          <w:p w:rsidR="00E332DE" w:rsidRPr="00762AA7"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V</w:t>
            </w:r>
          </w:p>
        </w:tc>
        <w:tc>
          <w:tcPr>
            <w:tcW w:w="356" w:type="dxa"/>
            <w:tcBorders>
              <w:top w:val="single" w:sz="6" w:space="0" w:color="auto"/>
              <w:left w:val="single" w:sz="6" w:space="0" w:color="auto"/>
              <w:bottom w:val="single" w:sz="6" w:space="0" w:color="auto"/>
              <w:right w:val="single" w:sz="6" w:space="0" w:color="auto"/>
            </w:tcBorders>
          </w:tcPr>
          <w:p w:rsidR="00E332DE" w:rsidRPr="00762AA7" w:rsidRDefault="00762AA7"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N</w:t>
            </w:r>
          </w:p>
        </w:tc>
        <w:tc>
          <w:tcPr>
            <w:tcW w:w="356" w:type="dxa"/>
            <w:tcBorders>
              <w:top w:val="single" w:sz="6" w:space="0" w:color="auto"/>
              <w:left w:val="single" w:sz="6" w:space="0" w:color="auto"/>
              <w:bottom w:val="single" w:sz="6" w:space="0" w:color="auto"/>
              <w:right w:val="single" w:sz="6" w:space="0" w:color="auto"/>
            </w:tcBorders>
          </w:tcPr>
          <w:p w:rsidR="00E332DE" w:rsidRPr="00762AA7" w:rsidRDefault="00762AA7"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V</w:t>
            </w:r>
          </w:p>
        </w:tc>
        <w:tc>
          <w:tcPr>
            <w:tcW w:w="356" w:type="dxa"/>
            <w:tcBorders>
              <w:top w:val="single" w:sz="6" w:space="0" w:color="auto"/>
              <w:left w:val="single" w:sz="6" w:space="0" w:color="auto"/>
              <w:bottom w:val="single" w:sz="6" w:space="0" w:color="auto"/>
              <w:right w:val="single" w:sz="6" w:space="0" w:color="auto"/>
            </w:tcBorders>
          </w:tcPr>
          <w:p w:rsidR="00E332DE" w:rsidRPr="00762AA7" w:rsidRDefault="00762AA7"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N</w:t>
            </w:r>
          </w:p>
        </w:tc>
        <w:tc>
          <w:tcPr>
            <w:tcW w:w="356" w:type="dxa"/>
            <w:tcBorders>
              <w:top w:val="single" w:sz="6" w:space="0" w:color="auto"/>
              <w:left w:val="single" w:sz="6" w:space="0" w:color="auto"/>
              <w:bottom w:val="single" w:sz="6" w:space="0" w:color="auto"/>
              <w:right w:val="single" w:sz="6" w:space="0" w:color="auto"/>
            </w:tcBorders>
          </w:tcPr>
          <w:p w:rsidR="00E332DE" w:rsidRPr="00762AA7" w:rsidRDefault="00762AA7"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V</w:t>
            </w:r>
          </w:p>
        </w:tc>
        <w:tc>
          <w:tcPr>
            <w:tcW w:w="356" w:type="dxa"/>
            <w:gridSpan w:val="2"/>
            <w:tcBorders>
              <w:top w:val="single" w:sz="6" w:space="0" w:color="auto"/>
              <w:left w:val="single" w:sz="6" w:space="0" w:color="auto"/>
              <w:bottom w:val="single" w:sz="6" w:space="0" w:color="auto"/>
              <w:right w:val="single" w:sz="6" w:space="0" w:color="auto"/>
            </w:tcBorders>
          </w:tcPr>
          <w:p w:rsidR="00E332DE" w:rsidRPr="00762AA7"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N</w:t>
            </w:r>
          </w:p>
        </w:tc>
        <w:tc>
          <w:tcPr>
            <w:tcW w:w="356" w:type="dxa"/>
            <w:tcBorders>
              <w:top w:val="single" w:sz="6" w:space="0" w:color="auto"/>
              <w:left w:val="single" w:sz="6" w:space="0" w:color="auto"/>
              <w:bottom w:val="single" w:sz="6" w:space="0" w:color="auto"/>
              <w:right w:val="single" w:sz="6" w:space="0" w:color="auto"/>
            </w:tcBorders>
          </w:tcPr>
          <w:p w:rsidR="00E332DE" w:rsidRPr="00762AA7"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V</w:t>
            </w:r>
          </w:p>
        </w:tc>
        <w:tc>
          <w:tcPr>
            <w:tcW w:w="356" w:type="dxa"/>
            <w:tcBorders>
              <w:top w:val="single" w:sz="6" w:space="0" w:color="auto"/>
              <w:left w:val="single" w:sz="6" w:space="0" w:color="auto"/>
              <w:bottom w:val="single" w:sz="6" w:space="0" w:color="auto"/>
              <w:right w:val="single" w:sz="6" w:space="0" w:color="auto"/>
            </w:tcBorders>
          </w:tcPr>
          <w:p w:rsidR="00E332DE" w:rsidRPr="00762AA7"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N</w:t>
            </w:r>
          </w:p>
        </w:tc>
        <w:tc>
          <w:tcPr>
            <w:tcW w:w="356" w:type="dxa"/>
            <w:tcBorders>
              <w:top w:val="single" w:sz="6" w:space="0" w:color="auto"/>
              <w:left w:val="single" w:sz="6" w:space="0" w:color="auto"/>
              <w:bottom w:val="single" w:sz="6" w:space="0" w:color="auto"/>
              <w:right w:val="single" w:sz="6" w:space="0" w:color="auto"/>
            </w:tcBorders>
          </w:tcPr>
          <w:p w:rsidR="00E332DE" w:rsidRPr="00762AA7"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V</w:t>
            </w:r>
          </w:p>
        </w:tc>
        <w:tc>
          <w:tcPr>
            <w:tcW w:w="356" w:type="dxa"/>
            <w:tcBorders>
              <w:top w:val="single" w:sz="6" w:space="0" w:color="auto"/>
              <w:left w:val="single" w:sz="6" w:space="0" w:color="auto"/>
              <w:bottom w:val="single" w:sz="6" w:space="0" w:color="auto"/>
              <w:right w:val="single" w:sz="6" w:space="0" w:color="auto"/>
            </w:tcBorders>
          </w:tcPr>
          <w:p w:rsidR="00E332DE" w:rsidRPr="00762AA7"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N</w:t>
            </w:r>
          </w:p>
        </w:tc>
        <w:tc>
          <w:tcPr>
            <w:tcW w:w="356" w:type="dxa"/>
            <w:tcBorders>
              <w:top w:val="single" w:sz="6" w:space="0" w:color="auto"/>
              <w:left w:val="single" w:sz="6" w:space="0" w:color="auto"/>
              <w:bottom w:val="single" w:sz="6" w:space="0" w:color="auto"/>
              <w:right w:val="single" w:sz="6" w:space="0" w:color="auto"/>
            </w:tcBorders>
          </w:tcPr>
          <w:p w:rsidR="00E332DE" w:rsidRPr="00762AA7" w:rsidRDefault="00E332DE" w:rsidP="004B01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62AA7">
              <w:rPr>
                <w:sz w:val="20"/>
              </w:rPr>
              <w:t>V</w:t>
            </w: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lang w:val="en-US"/>
              </w:rPr>
            </w:pPr>
            <w:r>
              <w:rPr>
                <w:snapToGrid w:val="0"/>
                <w:sz w:val="22"/>
                <w:szCs w:val="22"/>
                <w:lang w:val="en-US"/>
              </w:rPr>
              <w:t xml:space="preserve">Emma </w:t>
            </w:r>
            <w:proofErr w:type="spellStart"/>
            <w:r>
              <w:rPr>
                <w:snapToGrid w:val="0"/>
                <w:sz w:val="22"/>
                <w:szCs w:val="22"/>
                <w:lang w:val="en-US"/>
              </w:rPr>
              <w:t>Hult</w:t>
            </w:r>
            <w:proofErr w:type="spellEnd"/>
            <w:r>
              <w:rPr>
                <w:snapToGrid w:val="0"/>
                <w:sz w:val="22"/>
                <w:szCs w:val="22"/>
                <w:lang w:val="en-US"/>
              </w:rPr>
              <w:t xml:space="preserve">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D83123" w:rsidRPr="006A0E3F"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r w:rsidRPr="002A18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Larry </w:t>
            </w:r>
            <w:proofErr w:type="spellStart"/>
            <w:r>
              <w:rPr>
                <w:sz w:val="22"/>
                <w:szCs w:val="22"/>
                <w:lang w:val="en-US"/>
              </w:rPr>
              <w:t>Söder</w:t>
            </w:r>
            <w:proofErr w:type="spellEnd"/>
            <w:r>
              <w:rPr>
                <w:sz w:val="22"/>
                <w:szCs w:val="22"/>
                <w:lang w:val="en-US"/>
              </w:rPr>
              <w:t xml:space="preserve"> (KD)</w:t>
            </w:r>
            <w:r>
              <w:rPr>
                <w:snapToGrid w:val="0"/>
                <w:sz w:val="22"/>
                <w:szCs w:val="22"/>
                <w:lang w:val="en-US"/>
              </w:rPr>
              <w:t xml:space="preserve">, </w:t>
            </w:r>
            <w:r>
              <w:rPr>
                <w:sz w:val="22"/>
                <w:szCs w:val="22"/>
                <w:lang w:val="en-US"/>
              </w:rPr>
              <w:t xml:space="preserve">vice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D83123" w:rsidRPr="00BF3975"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rPr>
            </w:pPr>
            <w:r>
              <w:rPr>
                <w:snapToGrid w:val="0"/>
                <w:sz w:val="22"/>
                <w:szCs w:val="22"/>
              </w:rPr>
              <w:t xml:space="preserve">Carl-Oskar Bohlin (M), </w:t>
            </w:r>
            <w:r w:rsidRPr="007860C9">
              <w:rPr>
                <w:snapToGrid w:val="0"/>
                <w:sz w:val="16"/>
                <w:szCs w:val="16"/>
              </w:rPr>
              <w:t>tjl t.o.m</w:t>
            </w:r>
            <w:r>
              <w:rPr>
                <w:snapToGrid w:val="0"/>
                <w:sz w:val="16"/>
                <w:szCs w:val="16"/>
              </w:rPr>
              <w:t xml:space="preserve">. </w:t>
            </w:r>
            <w:proofErr w:type="gramStart"/>
            <w:r w:rsidRPr="007860C9">
              <w:rPr>
                <w:snapToGrid w:val="0"/>
                <w:sz w:val="16"/>
                <w:szCs w:val="16"/>
              </w:rPr>
              <w:t>210201</w:t>
            </w:r>
            <w:proofErr w:type="gramEnd"/>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rPr>
            </w:pPr>
            <w:r>
              <w:rPr>
                <w:snapToGrid w:val="0"/>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511600"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890C9E"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63D4">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7B63D4"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D83123" w:rsidRPr="00D2650F"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lang w:val="en-US"/>
              </w:rPr>
            </w:pPr>
            <w:r>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lang w:val="en-US"/>
              </w:rPr>
            </w:pPr>
            <w:r>
              <w:rPr>
                <w:snapToGrid w:val="0"/>
                <w:sz w:val="22"/>
                <w:szCs w:val="22"/>
              </w:rPr>
              <w:t>Lena Rådström Baastad (S)</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lang w:val="en-US"/>
              </w:rPr>
            </w:pPr>
            <w:r>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81F31" w:rsidTr="004B01A5">
        <w:tc>
          <w:tcPr>
            <w:tcW w:w="3447" w:type="dxa"/>
            <w:gridSpan w:val="2"/>
            <w:tcBorders>
              <w:top w:val="single" w:sz="6" w:space="0" w:color="auto"/>
              <w:left w:val="single" w:sz="6" w:space="0" w:color="auto"/>
              <w:bottom w:val="single" w:sz="6" w:space="0" w:color="auto"/>
              <w:right w:val="single" w:sz="6" w:space="0" w:color="auto"/>
            </w:tcBorders>
          </w:tcPr>
          <w:p w:rsidR="00B81F31" w:rsidRDefault="00B81F31" w:rsidP="00D83123">
            <w:pPr>
              <w:tabs>
                <w:tab w:val="left" w:pos="1701"/>
              </w:tabs>
              <w:rPr>
                <w:snapToGrid w:val="0"/>
                <w:sz w:val="22"/>
                <w:szCs w:val="22"/>
              </w:rPr>
            </w:pPr>
            <w:r>
              <w:rPr>
                <w:snapToGrid w:val="0"/>
                <w:sz w:val="22"/>
                <w:szCs w:val="22"/>
              </w:rPr>
              <w:t>Catarina Deremar (C)</w:t>
            </w:r>
          </w:p>
        </w:tc>
        <w:tc>
          <w:tcPr>
            <w:tcW w:w="356" w:type="dxa"/>
            <w:tcBorders>
              <w:top w:val="single" w:sz="6" w:space="0" w:color="auto"/>
              <w:left w:val="single" w:sz="6" w:space="0" w:color="auto"/>
              <w:bottom w:val="single" w:sz="6" w:space="0" w:color="auto"/>
              <w:right w:val="single" w:sz="6" w:space="0" w:color="auto"/>
            </w:tcBorders>
          </w:tcPr>
          <w:p w:rsidR="00B81F31" w:rsidRPr="00644DFC" w:rsidRDefault="00B81F31"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81F31" w:rsidRPr="00644DFC" w:rsidRDefault="00B81F31"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81F31" w:rsidRPr="00644DFC" w:rsidRDefault="00B81F31"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81F31" w:rsidRPr="00644DFC" w:rsidRDefault="00B81F31"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81F31" w:rsidRDefault="00B81F31"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B81F31" w:rsidRDefault="00B81F31"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81F31" w:rsidRDefault="00B81F31"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81F31" w:rsidRDefault="00B81F31"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81F31" w:rsidRDefault="00B81F31"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81F31" w:rsidRDefault="00B81F31"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81F31" w:rsidRDefault="00B81F31"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81F31" w:rsidRDefault="00B81F31"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81F31" w:rsidRDefault="00B81F31"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81F31" w:rsidRDefault="00B81F31"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B81F31"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z w:val="22"/>
                <w:szCs w:val="22"/>
              </w:rPr>
            </w:pPr>
            <w:r>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rPr>
          <w:trHeight w:val="113"/>
        </w:trPr>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napToGrid w:val="0"/>
                <w:sz w:val="22"/>
                <w:szCs w:val="22"/>
              </w:rPr>
            </w:pPr>
            <w:r>
              <w:rPr>
                <w:snapToGrid w:val="0"/>
                <w:sz w:val="22"/>
                <w:szCs w:val="22"/>
              </w:rPr>
              <w:t>Barbro Westerholm (L)</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hideMark/>
          </w:tcPr>
          <w:p w:rsidR="00D83123" w:rsidRDefault="00D83123" w:rsidP="00D83123">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701"/>
              </w:tabs>
              <w:rPr>
                <w:snapToGrid w:val="0"/>
                <w:sz w:val="22"/>
                <w:szCs w:val="22"/>
              </w:rPr>
            </w:pPr>
            <w:r>
              <w:rPr>
                <w:snapToGrid w:val="0"/>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4" w:space="0" w:color="auto"/>
              <w:right w:val="single" w:sz="6" w:space="0" w:color="auto"/>
            </w:tcBorders>
            <w:hideMark/>
          </w:tcPr>
          <w:p w:rsidR="00D83123" w:rsidRDefault="00D83123" w:rsidP="00D83123">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4" w:space="0" w:color="auto"/>
              <w:right w:val="single" w:sz="6" w:space="0" w:color="auto"/>
            </w:tcBorders>
            <w:hideMark/>
          </w:tcPr>
          <w:p w:rsidR="00D83123" w:rsidRDefault="00D83123" w:rsidP="00D83123">
            <w:pPr>
              <w:tabs>
                <w:tab w:val="left" w:pos="1701"/>
              </w:tabs>
              <w:rPr>
                <w:snapToGrid w:val="0"/>
                <w:sz w:val="22"/>
                <w:szCs w:val="22"/>
              </w:rPr>
            </w:pPr>
            <w:r>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701"/>
              </w:tabs>
              <w:rPr>
                <w:snapToGrid w:val="0"/>
                <w:sz w:val="22"/>
                <w:szCs w:val="22"/>
              </w:rPr>
            </w:pPr>
            <w:r>
              <w:rPr>
                <w:snapToGrid w:val="0"/>
                <w:sz w:val="22"/>
                <w:szCs w:val="22"/>
              </w:rPr>
              <w:t>Emma Berginger (MP)</w:t>
            </w: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4" w:space="0" w:color="auto"/>
              <w:right w:val="single" w:sz="6" w:space="0" w:color="auto"/>
            </w:tcBorders>
            <w:hideMark/>
          </w:tcPr>
          <w:p w:rsidR="00D83123" w:rsidRDefault="00D83123" w:rsidP="00D83123">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4" w:space="0" w:color="auto"/>
              <w:right w:val="single" w:sz="6" w:space="0" w:color="auto"/>
            </w:tcBorders>
            <w:hideMark/>
          </w:tcPr>
          <w:p w:rsidR="00D83123" w:rsidRDefault="00D83123" w:rsidP="00D83123">
            <w:pPr>
              <w:tabs>
                <w:tab w:val="left" w:pos="1701"/>
              </w:tabs>
              <w:rPr>
                <w:snapToGrid w:val="0"/>
                <w:sz w:val="22"/>
                <w:szCs w:val="22"/>
              </w:rPr>
            </w:pPr>
            <w:r>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4" w:space="0" w:color="auto"/>
              <w:right w:val="single" w:sz="6" w:space="0" w:color="auto"/>
            </w:tcBorders>
            <w:hideMark/>
          </w:tcPr>
          <w:p w:rsidR="00D83123" w:rsidRDefault="00D83123" w:rsidP="00D83123">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4" w:space="0" w:color="auto"/>
              <w:right w:val="single" w:sz="6" w:space="0" w:color="auto"/>
            </w:tcBorders>
            <w:hideMark/>
          </w:tcPr>
          <w:p w:rsidR="00D83123" w:rsidRDefault="00D83123" w:rsidP="00D83123">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4" w:space="0" w:color="auto"/>
              <w:right w:val="single" w:sz="6" w:space="0" w:color="auto"/>
            </w:tcBorders>
            <w:hideMark/>
          </w:tcPr>
          <w:p w:rsidR="00D83123" w:rsidRDefault="00D83123" w:rsidP="00D83123">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701"/>
              </w:tabs>
              <w:rPr>
                <w:snapToGrid w:val="0"/>
                <w:sz w:val="22"/>
                <w:szCs w:val="22"/>
              </w:rPr>
            </w:pPr>
            <w:r>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tcPr>
          <w:p w:rsidR="00D83123" w:rsidRPr="009F56CF" w:rsidRDefault="00D83123" w:rsidP="00D83123">
            <w:pPr>
              <w:tabs>
                <w:tab w:val="left" w:pos="1701"/>
              </w:tabs>
              <w:rPr>
                <w:snapToGrid w:val="0"/>
                <w:sz w:val="22"/>
                <w:szCs w:val="22"/>
              </w:rPr>
            </w:pPr>
            <w:r>
              <w:rPr>
                <w:snapToGrid w:val="0"/>
                <w:sz w:val="22"/>
                <w:szCs w:val="22"/>
              </w:rPr>
              <w:t xml:space="preserve">Josefin Malmqvist (M), </w:t>
            </w:r>
            <w:r w:rsidRPr="007860C9">
              <w:rPr>
                <w:snapToGrid w:val="0"/>
                <w:sz w:val="16"/>
                <w:szCs w:val="16"/>
              </w:rPr>
              <w:t>ers.t.o.m</w:t>
            </w:r>
            <w:r>
              <w:rPr>
                <w:snapToGrid w:val="0"/>
                <w:sz w:val="16"/>
                <w:szCs w:val="16"/>
              </w:rPr>
              <w:t>.</w:t>
            </w:r>
            <w:proofErr w:type="gramStart"/>
            <w:r w:rsidRPr="007860C9">
              <w:rPr>
                <w:snapToGrid w:val="0"/>
                <w:sz w:val="16"/>
                <w:szCs w:val="16"/>
              </w:rPr>
              <w:t>210201</w:t>
            </w:r>
            <w:proofErr w:type="gramEnd"/>
          </w:p>
        </w:tc>
        <w:tc>
          <w:tcPr>
            <w:tcW w:w="356" w:type="dxa"/>
            <w:tcBorders>
              <w:top w:val="single" w:sz="6" w:space="0" w:color="auto"/>
              <w:left w:val="single" w:sz="6" w:space="0" w:color="auto"/>
              <w:bottom w:val="single" w:sz="6" w:space="0" w:color="auto"/>
              <w:right w:val="single" w:sz="6" w:space="0" w:color="auto"/>
            </w:tcBorders>
          </w:tcPr>
          <w:p w:rsidR="00D83123" w:rsidRPr="00D2650F"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D83123" w:rsidRPr="00D2650F"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37509B"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D83123" w:rsidRPr="00644DFC"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37509B"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c>
          <w:tcPr>
            <w:tcW w:w="3447"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83123"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83123" w:rsidTr="004B01A5">
        <w:trPr>
          <w:trHeight w:val="263"/>
        </w:trPr>
        <w:tc>
          <w:tcPr>
            <w:tcW w:w="2907" w:type="dxa"/>
            <w:tcBorders>
              <w:top w:val="nil"/>
              <w:left w:val="nil"/>
              <w:bottom w:val="nil"/>
              <w:right w:val="nil"/>
            </w:tcBorders>
            <w:hideMark/>
          </w:tcPr>
          <w:p w:rsidR="00D83123" w:rsidRPr="002230C1"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N = Närvarande</w:t>
            </w:r>
          </w:p>
        </w:tc>
        <w:tc>
          <w:tcPr>
            <w:tcW w:w="5524" w:type="dxa"/>
            <w:gridSpan w:val="16"/>
            <w:tcBorders>
              <w:top w:val="nil"/>
              <w:left w:val="nil"/>
              <w:bottom w:val="nil"/>
              <w:right w:val="nil"/>
            </w:tcBorders>
            <w:hideMark/>
          </w:tcPr>
          <w:p w:rsidR="00D83123" w:rsidRPr="002230C1"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2230C1">
              <w:rPr>
                <w:sz w:val="16"/>
                <w:szCs w:val="16"/>
              </w:rPr>
              <w:t xml:space="preserve"> = ledamöter som deltagit i handläggningen</w:t>
            </w:r>
          </w:p>
        </w:tc>
      </w:tr>
      <w:tr w:rsidR="00D83123" w:rsidTr="004B01A5">
        <w:trPr>
          <w:trHeight w:val="262"/>
        </w:trPr>
        <w:tc>
          <w:tcPr>
            <w:tcW w:w="2907" w:type="dxa"/>
            <w:tcBorders>
              <w:top w:val="nil"/>
              <w:left w:val="nil"/>
              <w:bottom w:val="nil"/>
              <w:right w:val="nil"/>
            </w:tcBorders>
            <w:hideMark/>
          </w:tcPr>
          <w:p w:rsidR="00D83123" w:rsidRPr="002230C1"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V = Votering</w:t>
            </w:r>
          </w:p>
        </w:tc>
        <w:tc>
          <w:tcPr>
            <w:tcW w:w="5524" w:type="dxa"/>
            <w:gridSpan w:val="16"/>
            <w:tcBorders>
              <w:top w:val="nil"/>
              <w:left w:val="nil"/>
              <w:bottom w:val="nil"/>
              <w:right w:val="nil"/>
            </w:tcBorders>
            <w:hideMark/>
          </w:tcPr>
          <w:p w:rsidR="00D83123" w:rsidRPr="002230C1" w:rsidRDefault="00D83123" w:rsidP="00D8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2230C1">
              <w:rPr>
                <w:sz w:val="16"/>
                <w:szCs w:val="16"/>
              </w:rPr>
              <w:t xml:space="preserve"> = ledamöter som härutöver har varit närvarande</w:t>
            </w:r>
          </w:p>
        </w:tc>
      </w:tr>
    </w:tbl>
    <w:p w:rsidR="004F4038" w:rsidRDefault="004F4038" w:rsidP="0099207D">
      <w:pPr>
        <w:widowControl/>
      </w:pPr>
    </w:p>
    <w:p w:rsidR="00CD5689" w:rsidRPr="00BE00B9" w:rsidRDefault="00CD5689" w:rsidP="00CD5689">
      <w:pPr>
        <w:widowControl/>
        <w:ind w:left="-1134"/>
        <w:rPr>
          <w:rFonts w:cstheme="majorHAnsi"/>
          <w:sz w:val="22"/>
          <w:szCs w:val="22"/>
        </w:rPr>
      </w:pPr>
      <w:r w:rsidRPr="00BE00B9">
        <w:rPr>
          <w:rFonts w:cstheme="majorHAnsi"/>
          <w:sz w:val="22"/>
          <w:szCs w:val="22"/>
        </w:rPr>
        <w:lastRenderedPageBreak/>
        <w:t>Bilaga 2</w:t>
      </w:r>
    </w:p>
    <w:p w:rsidR="00CD5689" w:rsidRPr="00E106A5" w:rsidRDefault="00CD5689" w:rsidP="00CD5689">
      <w:pPr>
        <w:widowControl/>
        <w:rPr>
          <w:rFonts w:cstheme="majorHAnsi"/>
          <w:szCs w:val="26"/>
        </w:rPr>
      </w:pPr>
      <w:r w:rsidRPr="00BE00B9">
        <w:rPr>
          <w:rFonts w:cstheme="majorHAnsi"/>
          <w:szCs w:val="26"/>
        </w:rPr>
        <w:tab/>
      </w:r>
      <w:r w:rsidRPr="00BE00B9">
        <w:rPr>
          <w:rFonts w:cstheme="majorHAnsi"/>
          <w:szCs w:val="26"/>
        </w:rPr>
        <w:tab/>
      </w:r>
      <w:r w:rsidRPr="00BE00B9">
        <w:rPr>
          <w:rFonts w:cstheme="majorHAnsi"/>
          <w:szCs w:val="26"/>
        </w:rPr>
        <w:tab/>
      </w:r>
      <w:r w:rsidRPr="00BE00B9">
        <w:rPr>
          <w:rFonts w:cstheme="majorHAnsi"/>
          <w:szCs w:val="26"/>
        </w:rPr>
        <w:tab/>
      </w:r>
    </w:p>
    <w:p w:rsidR="00CD5689" w:rsidRPr="00BE00B9" w:rsidRDefault="00CD5689" w:rsidP="00CD5689">
      <w:pPr>
        <w:widowControl/>
        <w:ind w:left="3912"/>
        <w:rPr>
          <w:sz w:val="20"/>
        </w:rPr>
      </w:pPr>
      <w:r>
        <w:rPr>
          <w:rFonts w:ascii="Arial" w:hAnsi="Arial" w:cs="Arial"/>
          <w:b/>
          <w:sz w:val="19"/>
          <w:szCs w:val="19"/>
        </w:rPr>
        <w:t>Överläggningsp</w:t>
      </w:r>
      <w:r w:rsidRPr="00BE00B9">
        <w:rPr>
          <w:rFonts w:ascii="Arial" w:hAnsi="Arial" w:cs="Arial"/>
          <w:b/>
          <w:sz w:val="19"/>
          <w:szCs w:val="19"/>
        </w:rPr>
        <w:t xml:space="preserve">romemoria </w:t>
      </w:r>
    </w:p>
    <w:p w:rsidR="00CD5689" w:rsidRDefault="00CD5689" w:rsidP="00CD5689">
      <w:pPr>
        <w:keepNext/>
        <w:keepLines/>
        <w:widowControl/>
        <w:spacing w:after="600" w:line="276" w:lineRule="auto"/>
        <w:ind w:left="-1276"/>
        <w:contextualSpacing/>
        <w:rPr>
          <w:rFonts w:ascii="Arial" w:eastAsiaTheme="minorHAnsi" w:hAnsi="Arial" w:cs="Arial"/>
          <w:kern w:val="28"/>
          <w:sz w:val="19"/>
          <w:szCs w:val="19"/>
          <w:lang w:eastAsia="en-US"/>
        </w:rPr>
      </w:pPr>
      <w:r w:rsidRPr="00BE00B9">
        <w:rPr>
          <w:rFonts w:asciiTheme="majorHAnsi" w:eastAsiaTheme="majorEastAsia" w:hAnsiTheme="majorHAnsi" w:cstheme="majorBidi"/>
          <w:noProof/>
          <w:kern w:val="28"/>
          <w:sz w:val="26"/>
          <w:szCs w:val="56"/>
          <w:lang w:eastAsia="en-US"/>
        </w:rPr>
        <w:drawing>
          <wp:inline distT="0" distB="0" distL="0" distR="0" wp14:anchorId="13B1FF8C" wp14:editId="2EA55F5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r w:rsidRPr="00BE00B9">
        <w:rPr>
          <w:rFonts w:asciiTheme="minorHAnsi" w:eastAsiaTheme="minorHAnsi" w:hAnsiTheme="minorHAnsi" w:cstheme="minorBidi"/>
          <w:kern w:val="28"/>
          <w:sz w:val="25"/>
          <w:szCs w:val="56"/>
          <w:lang w:eastAsia="en-US"/>
        </w:rPr>
        <w:tab/>
      </w:r>
      <w:r w:rsidRPr="00BE00B9">
        <w:rPr>
          <w:rFonts w:asciiTheme="minorHAnsi" w:eastAsiaTheme="minorHAnsi" w:hAnsiTheme="minorHAnsi" w:cstheme="minorBidi"/>
          <w:kern w:val="28"/>
          <w:sz w:val="25"/>
          <w:szCs w:val="56"/>
          <w:lang w:eastAsia="en-US"/>
        </w:rPr>
        <w:tab/>
      </w:r>
      <w:r w:rsidRPr="00BE00B9">
        <w:rPr>
          <w:rFonts w:ascii="Arial" w:eastAsiaTheme="minorHAnsi" w:hAnsi="Arial" w:cs="Arial"/>
          <w:kern w:val="28"/>
          <w:sz w:val="19"/>
          <w:szCs w:val="19"/>
          <w:lang w:eastAsia="en-US"/>
        </w:rPr>
        <w:t>202</w:t>
      </w:r>
      <w:r>
        <w:rPr>
          <w:rFonts w:ascii="Arial" w:eastAsiaTheme="minorHAnsi" w:hAnsi="Arial" w:cs="Arial"/>
          <w:kern w:val="28"/>
          <w:sz w:val="19"/>
          <w:szCs w:val="19"/>
          <w:lang w:eastAsia="en-US"/>
        </w:rPr>
        <w:t>1-01-19</w:t>
      </w:r>
    </w:p>
    <w:p w:rsidR="00CD5689" w:rsidRDefault="00CD5689" w:rsidP="00CD5689">
      <w:pPr>
        <w:keepNext/>
        <w:keepLines/>
        <w:widowControl/>
        <w:spacing w:after="600" w:line="276" w:lineRule="auto"/>
        <w:ind w:left="-1276"/>
        <w:contextualSpacing/>
        <w:rPr>
          <w:rFonts w:ascii="Arial" w:eastAsiaTheme="majorEastAsia" w:hAnsi="Arial" w:cs="Arial"/>
          <w:b/>
          <w:kern w:val="28"/>
          <w:sz w:val="19"/>
          <w:szCs w:val="19"/>
          <w:lang w:eastAsia="en-US"/>
        </w:rPr>
      </w:pPr>
      <w:r>
        <w:rPr>
          <w:rFonts w:ascii="Arial" w:eastAsiaTheme="majorEastAsia" w:hAnsi="Arial" w:cs="Arial"/>
          <w:b/>
          <w:kern w:val="28"/>
          <w:sz w:val="19"/>
          <w:szCs w:val="19"/>
          <w:lang w:eastAsia="en-US"/>
        </w:rPr>
        <w:br/>
      </w:r>
      <w:r>
        <w:rPr>
          <w:rFonts w:ascii="Arial" w:eastAsiaTheme="majorEastAsia" w:hAnsi="Arial" w:cs="Arial"/>
          <w:b/>
          <w:kern w:val="28"/>
          <w:sz w:val="19"/>
          <w:szCs w:val="19"/>
          <w:lang w:eastAsia="en-US"/>
        </w:rPr>
        <w:br/>
      </w:r>
      <w:r>
        <w:rPr>
          <w:rFonts w:ascii="Arial" w:eastAsiaTheme="majorEastAsia" w:hAnsi="Arial" w:cs="Arial"/>
          <w:b/>
          <w:kern w:val="28"/>
          <w:sz w:val="19"/>
          <w:szCs w:val="19"/>
          <w:lang w:eastAsia="en-US"/>
        </w:rPr>
        <w:br/>
        <w:t xml:space="preserve"> </w:t>
      </w:r>
      <w:r>
        <w:rPr>
          <w:rFonts w:ascii="Arial" w:eastAsiaTheme="majorEastAsia" w:hAnsi="Arial" w:cs="Arial"/>
          <w:b/>
          <w:kern w:val="28"/>
          <w:sz w:val="19"/>
          <w:szCs w:val="19"/>
          <w:lang w:eastAsia="en-US"/>
        </w:rPr>
        <w:br/>
        <w:t xml:space="preserve">  Justitiedepartementet</w:t>
      </w:r>
    </w:p>
    <w:p w:rsidR="00CD5689" w:rsidRDefault="00CD5689" w:rsidP="00CD5689">
      <w:pPr>
        <w:keepNext/>
        <w:keepLines/>
        <w:widowControl/>
        <w:spacing w:after="600" w:line="276" w:lineRule="auto"/>
        <w:ind w:left="-1276"/>
        <w:contextualSpacing/>
        <w:rPr>
          <w:rFonts w:ascii="Arial" w:eastAsiaTheme="majorEastAsia" w:hAnsi="Arial" w:cs="Arial"/>
          <w:b/>
          <w:kern w:val="28"/>
          <w:sz w:val="19"/>
          <w:szCs w:val="19"/>
          <w:lang w:eastAsia="en-US"/>
        </w:rPr>
      </w:pPr>
    </w:p>
    <w:p w:rsidR="00CD5689" w:rsidRDefault="00CD5689" w:rsidP="00CD5689">
      <w:pPr>
        <w:keepNext/>
        <w:keepLines/>
        <w:widowControl/>
        <w:spacing w:after="600" w:line="276" w:lineRule="auto"/>
        <w:contextualSpacing/>
        <w:rPr>
          <w:rFonts w:ascii="Arial" w:eastAsiaTheme="majorEastAsia" w:hAnsi="Arial" w:cs="Arial"/>
          <w:b/>
          <w:kern w:val="28"/>
          <w:sz w:val="19"/>
          <w:szCs w:val="19"/>
          <w:lang w:eastAsia="en-US"/>
        </w:rPr>
      </w:pPr>
    </w:p>
    <w:p w:rsidR="00CD5689" w:rsidRDefault="00CD5689" w:rsidP="00CD5689">
      <w:pPr>
        <w:pStyle w:val="Rubrik"/>
        <w:rPr>
          <w:rFonts w:ascii="Arial" w:hAnsi="Arial" w:cs="Arial"/>
        </w:rPr>
      </w:pPr>
      <w:r w:rsidRPr="004B1E95">
        <w:rPr>
          <w:rFonts w:ascii="Arial" w:hAnsi="Arial" w:cs="Arial"/>
        </w:rPr>
        <w:t>Överläggning</w:t>
      </w:r>
      <w:r>
        <w:rPr>
          <w:rFonts w:ascii="Arial" w:hAnsi="Arial" w:cs="Arial"/>
        </w:rPr>
        <w:t xml:space="preserve"> i civilutskottet den 19 januari 2021 om kommande EU-initiativ om bolagsledningens skyldigheter och hållbar bolagsstyrning </w:t>
      </w:r>
    </w:p>
    <w:p w:rsidR="00CD5689" w:rsidRPr="00AE24F7" w:rsidRDefault="00CD5689" w:rsidP="00CD5689">
      <w:pPr>
        <w:pStyle w:val="Brdtext"/>
        <w:rPr>
          <w:rFonts w:ascii="Garamond" w:hAnsi="Garamond"/>
        </w:rPr>
      </w:pPr>
      <w:r w:rsidRPr="00AE24F7">
        <w:rPr>
          <w:rFonts w:ascii="Garamond" w:hAnsi="Garamond"/>
        </w:rPr>
        <w:t>Rättsaktens fullständiga namn: Kommande förslag.</w:t>
      </w:r>
    </w:p>
    <w:p w:rsidR="00CD5689" w:rsidRPr="00AE24F7" w:rsidRDefault="00CD5689" w:rsidP="00CD5689">
      <w:pPr>
        <w:pStyle w:val="Brdtext"/>
        <w:tabs>
          <w:tab w:val="left" w:pos="6946"/>
        </w:tabs>
        <w:rPr>
          <w:rFonts w:ascii="Garamond" w:hAnsi="Garamond"/>
        </w:rPr>
      </w:pPr>
      <w:r w:rsidRPr="00AE24F7">
        <w:rPr>
          <w:rFonts w:ascii="Garamond" w:hAnsi="Garamond"/>
        </w:rPr>
        <w:t>Dokument: Inte aktuellt.</w:t>
      </w:r>
    </w:p>
    <w:p w:rsidR="00CD5689" w:rsidRPr="00AE24F7" w:rsidRDefault="00CD5689" w:rsidP="00CD5689">
      <w:pPr>
        <w:pStyle w:val="Brdtext"/>
        <w:rPr>
          <w:rFonts w:ascii="Garamond" w:hAnsi="Garamond"/>
        </w:rPr>
      </w:pPr>
      <w:r w:rsidRPr="00AE24F7">
        <w:rPr>
          <w:rFonts w:ascii="Garamond" w:hAnsi="Garamond"/>
        </w:rPr>
        <w:t>Tidigare dokument: Inte aktuellt.</w:t>
      </w:r>
    </w:p>
    <w:p w:rsidR="00CD5689" w:rsidRPr="00AE24F7" w:rsidRDefault="00CD5689" w:rsidP="00CD5689">
      <w:pPr>
        <w:pStyle w:val="Brdtext"/>
        <w:rPr>
          <w:rFonts w:ascii="Garamond" w:hAnsi="Garamond"/>
        </w:rPr>
      </w:pPr>
      <w:r w:rsidRPr="00AE24F7">
        <w:rPr>
          <w:rFonts w:ascii="Garamond" w:hAnsi="Garamond"/>
        </w:rPr>
        <w:t xml:space="preserve">Tidigare behandlad vid samråd i EU-nämnden: Nej. </w:t>
      </w:r>
    </w:p>
    <w:p w:rsidR="00CD5689" w:rsidRDefault="00CD5689" w:rsidP="00CD5689">
      <w:pPr>
        <w:pStyle w:val="Brdtext"/>
        <w:rPr>
          <w:rFonts w:ascii="Garamond" w:hAnsi="Garamond"/>
        </w:rPr>
      </w:pPr>
      <w:r w:rsidRPr="00AE24F7">
        <w:rPr>
          <w:rFonts w:ascii="Garamond" w:hAnsi="Garamond"/>
        </w:rPr>
        <w:t>Tidigare behandlad vid möte i civilutskottet: Nej</w:t>
      </w:r>
    </w:p>
    <w:p w:rsidR="00CD5689" w:rsidRPr="00AE24F7" w:rsidRDefault="00CD5689" w:rsidP="00CD5689">
      <w:pPr>
        <w:pStyle w:val="Rubrik1utannumrering"/>
        <w:rPr>
          <w:rFonts w:ascii="Arial" w:eastAsiaTheme="minorHAnsi" w:hAnsi="Arial" w:cs="Arial"/>
          <w:sz w:val="25"/>
          <w:szCs w:val="25"/>
        </w:rPr>
      </w:pPr>
      <w:r w:rsidRPr="00AE24F7">
        <w:rPr>
          <w:rFonts w:ascii="Arial" w:hAnsi="Arial" w:cs="Arial"/>
        </w:rPr>
        <w:t xml:space="preserve">Bakgrund </w:t>
      </w:r>
    </w:p>
    <w:p w:rsidR="00CD5689" w:rsidRPr="00AE24F7" w:rsidRDefault="00CD5689" w:rsidP="00CD5689">
      <w:pPr>
        <w:pStyle w:val="Brdtext"/>
        <w:rPr>
          <w:rFonts w:ascii="Garamond" w:hAnsi="Garamond"/>
        </w:rPr>
      </w:pPr>
      <w:bookmarkStart w:id="1" w:name="_Hlk59455331"/>
      <w:r w:rsidRPr="00AE24F7">
        <w:rPr>
          <w:rFonts w:ascii="Garamond" w:hAnsi="Garamond"/>
        </w:rPr>
        <w:t xml:space="preserve">Europeiska kommissionen lanserade under 2020 två studier på området hållbar bolagsstyrning. Den första studien, som publicerades i februari, rör tillbörlig aktsamhet i globala leverantörskedjor, även kallat Human </w:t>
      </w:r>
      <w:proofErr w:type="spellStart"/>
      <w:r w:rsidRPr="00AE24F7">
        <w:rPr>
          <w:rFonts w:ascii="Garamond" w:hAnsi="Garamond"/>
        </w:rPr>
        <w:t>Rights</w:t>
      </w:r>
      <w:proofErr w:type="spellEnd"/>
      <w:r w:rsidRPr="00AE24F7">
        <w:rPr>
          <w:rFonts w:ascii="Garamond" w:hAnsi="Garamond"/>
        </w:rPr>
        <w:t xml:space="preserve"> </w:t>
      </w:r>
      <w:proofErr w:type="spellStart"/>
      <w:r w:rsidRPr="00AE24F7">
        <w:rPr>
          <w:rFonts w:ascii="Garamond" w:hAnsi="Garamond"/>
        </w:rPr>
        <w:t>Due</w:t>
      </w:r>
      <w:proofErr w:type="spellEnd"/>
      <w:r w:rsidRPr="00AE24F7">
        <w:rPr>
          <w:rFonts w:ascii="Garamond" w:hAnsi="Garamond"/>
        </w:rPr>
        <w:t xml:space="preserve"> </w:t>
      </w:r>
      <w:proofErr w:type="spellStart"/>
      <w:r w:rsidRPr="00AE24F7">
        <w:rPr>
          <w:rFonts w:ascii="Garamond" w:hAnsi="Garamond"/>
        </w:rPr>
        <w:t>Diligence</w:t>
      </w:r>
      <w:proofErr w:type="spellEnd"/>
      <w:r w:rsidRPr="00AE24F7">
        <w:rPr>
          <w:rFonts w:ascii="Garamond" w:hAnsi="Garamond"/>
        </w:rPr>
        <w:t>. Den andra studien, om ledningens skyldigheter och hållbar bolags</w:t>
      </w:r>
      <w:r w:rsidRPr="00AE24F7">
        <w:rPr>
          <w:rFonts w:ascii="Garamond" w:hAnsi="Garamond"/>
        </w:rPr>
        <w:softHyphen/>
        <w:t>styrning publicerades i juli.</w:t>
      </w:r>
    </w:p>
    <w:p w:rsidR="00CD5689" w:rsidRPr="00AE24F7" w:rsidRDefault="00CD5689" w:rsidP="00CD5689">
      <w:pPr>
        <w:pStyle w:val="Brdtext"/>
        <w:rPr>
          <w:rFonts w:ascii="Garamond" w:hAnsi="Garamond"/>
        </w:rPr>
      </w:pPr>
      <w:r w:rsidRPr="00AE24F7">
        <w:rPr>
          <w:rFonts w:ascii="Garamond" w:hAnsi="Garamond"/>
        </w:rPr>
        <w:t>Kommissionen inledde under hösten 2020 en konsultation om hållbar bolags</w:t>
      </w:r>
      <w:r w:rsidRPr="00AE24F7">
        <w:rPr>
          <w:rFonts w:ascii="Garamond" w:hAnsi="Garamond"/>
        </w:rPr>
        <w:softHyphen/>
        <w:t>styrning baserad på de två studierna. Konsultationen avslutas den 8 februari 2021. Arbetet med att analysera konsultationen pågår i Regerings</w:t>
      </w:r>
      <w:r w:rsidRPr="00AE24F7">
        <w:rPr>
          <w:rFonts w:ascii="Garamond" w:hAnsi="Garamond"/>
        </w:rPr>
        <w:softHyphen/>
        <w:t xml:space="preserve">kansliet. </w:t>
      </w:r>
      <w:bookmarkStart w:id="2" w:name="_Hlk59455685"/>
      <w:r w:rsidRPr="00AE24F7">
        <w:rPr>
          <w:rFonts w:ascii="Garamond" w:hAnsi="Garamond"/>
        </w:rPr>
        <w:t>Kommis</w:t>
      </w:r>
      <w:r w:rsidRPr="00AE24F7">
        <w:rPr>
          <w:rFonts w:ascii="Garamond" w:hAnsi="Garamond"/>
        </w:rPr>
        <w:softHyphen/>
        <w:t xml:space="preserve">sionen har aviserat att ett förslag till ett EU-gemensamt regelverk </w:t>
      </w:r>
      <w:bookmarkEnd w:id="2"/>
      <w:r w:rsidRPr="00AE24F7">
        <w:rPr>
          <w:rFonts w:ascii="Garamond" w:hAnsi="Garamond"/>
        </w:rPr>
        <w:t>som omfattar såväl ledningens skyldigheter och hållbar bolags</w:t>
      </w:r>
      <w:r w:rsidRPr="00AE24F7">
        <w:rPr>
          <w:rFonts w:ascii="Garamond" w:hAnsi="Garamond"/>
        </w:rPr>
        <w:softHyphen/>
        <w:t xml:space="preserve">styrning som tillbörlig aktsamhet i globala leverantörskedjor kommer att presenteras under andra kvartalet 2021. </w:t>
      </w:r>
    </w:p>
    <w:bookmarkEnd w:id="1"/>
    <w:p w:rsidR="00CD5689" w:rsidRDefault="00CD5689" w:rsidP="00CD5689">
      <w:pPr>
        <w:pStyle w:val="Brdtext"/>
        <w:rPr>
          <w:rFonts w:ascii="Garamond" w:hAnsi="Garamond"/>
        </w:rPr>
      </w:pPr>
      <w:r w:rsidRPr="00AE24F7">
        <w:rPr>
          <w:rFonts w:ascii="Garamond" w:hAnsi="Garamond"/>
        </w:rPr>
        <w:t xml:space="preserve">Efter </w:t>
      </w:r>
      <w:bookmarkStart w:id="3" w:name="_Hlk59456104"/>
      <w:r w:rsidRPr="00AE24F7">
        <w:rPr>
          <w:rFonts w:ascii="Garamond" w:hAnsi="Garamond"/>
        </w:rPr>
        <w:t xml:space="preserve">överläggningar i arbetsmarknadsutskottet den 13 oktober 2020 om rådslutsatser och föreslagna svenska ståndpunkter har utskottet gett stöd för bl.a. en lansering av en EU-handlingsplan för att stärka företagens sociala ansvar i globala leverantörskedjor. Utskottet har också gett </w:t>
      </w:r>
      <w:r w:rsidRPr="00AE24F7">
        <w:rPr>
          <w:rFonts w:ascii="Garamond" w:hAnsi="Garamond"/>
        </w:rPr>
        <w:lastRenderedPageBreak/>
        <w:t>stöd för att EU-regleringen ska innehålla sektorsövergripande skyldigheter för att tydliggöra företagens ansvar att respektera mänskliga rättigheter i globala leverantörs</w:t>
      </w:r>
      <w:r w:rsidRPr="00AE24F7">
        <w:rPr>
          <w:rFonts w:ascii="Garamond" w:hAnsi="Garamond"/>
        </w:rPr>
        <w:softHyphen/>
        <w:t>kedjor</w:t>
      </w:r>
      <w:bookmarkEnd w:id="3"/>
      <w:r w:rsidRPr="00AE24F7">
        <w:rPr>
          <w:rFonts w:ascii="Garamond" w:hAnsi="Garamond"/>
        </w:rPr>
        <w:t xml:space="preserve">. </w:t>
      </w:r>
    </w:p>
    <w:p w:rsidR="00CD5689" w:rsidRPr="00AE24F7" w:rsidRDefault="00CD5689" w:rsidP="00CD5689">
      <w:pPr>
        <w:pStyle w:val="Brdtext"/>
        <w:rPr>
          <w:rFonts w:ascii="Garamond" w:hAnsi="Garamond"/>
        </w:rPr>
      </w:pPr>
      <w:r w:rsidRPr="00AE24F7">
        <w:rPr>
          <w:rFonts w:ascii="Garamond" w:hAnsi="Garamond"/>
        </w:rPr>
        <w:t>I november 2020 höll Justitiedepartementet tillsammans med Utrikes</w:t>
      </w:r>
      <w:r w:rsidRPr="00AE24F7">
        <w:rPr>
          <w:rFonts w:ascii="Garamond" w:hAnsi="Garamond"/>
        </w:rPr>
        <w:softHyphen/>
        <w:t>departe</w:t>
      </w:r>
      <w:r w:rsidRPr="00AE24F7">
        <w:rPr>
          <w:rFonts w:ascii="Garamond" w:hAnsi="Garamond"/>
        </w:rPr>
        <w:softHyphen/>
        <w:t xml:space="preserve">mentet ett samrådsmöte med representanter för företag, fackföreningar, näringslivsorganisationer, civilsamhälle och vissa myndigheter. Av de synpunkter som framfördes vid mötet framkom att det finns brett stöd för EU-lagstiftning inom området tillbörlig aktsamhet i globala värdekedjor, medan de delar som specifikt rör bolagsstyrningsfrågor kritiserades av bl.a. företrädare för näringslivet. </w:t>
      </w:r>
    </w:p>
    <w:p w:rsidR="00CD5689" w:rsidRPr="00AE24F7" w:rsidRDefault="00CD5689" w:rsidP="00CD5689">
      <w:pPr>
        <w:pStyle w:val="Brdtext"/>
        <w:rPr>
          <w:rFonts w:ascii="Garamond" w:hAnsi="Garamond"/>
        </w:rPr>
      </w:pPr>
      <w:r w:rsidRPr="00AE24F7">
        <w:rPr>
          <w:rFonts w:ascii="Garamond" w:hAnsi="Garamond"/>
        </w:rPr>
        <w:t xml:space="preserve">Hur förslagen på bolagsrättens område kommer att se ut är ännu okänt. Utifrån studien och konsultationen är det dock troligt att det bl.a. kommer röra sig om regler om </w:t>
      </w:r>
      <w:r w:rsidRPr="00AE24F7">
        <w:rPr>
          <w:rFonts w:ascii="Garamond" w:hAnsi="Garamond"/>
          <w:i/>
          <w:iCs/>
        </w:rPr>
        <w:t>att</w:t>
      </w:r>
      <w:r w:rsidRPr="00AE24F7">
        <w:rPr>
          <w:rFonts w:ascii="Garamond" w:hAnsi="Garamond"/>
        </w:rPr>
        <w:t xml:space="preserve"> bolagets styrelse och verkställande ledning ska beakta långsiktig hållbarhet i sitt beslutsfattande, </w:t>
      </w:r>
      <w:r w:rsidRPr="00AE24F7">
        <w:rPr>
          <w:rFonts w:ascii="Garamond" w:hAnsi="Garamond"/>
          <w:i/>
          <w:iCs/>
        </w:rPr>
        <w:t>att</w:t>
      </w:r>
      <w:r w:rsidRPr="00AE24F7">
        <w:rPr>
          <w:rFonts w:ascii="Garamond" w:hAnsi="Garamond"/>
        </w:rPr>
        <w:t xml:space="preserve"> styrelsen ska vara skyldig att identifiera, förebygga och åtgärda eventuella risker kopplade till mänskliga rättigheter, miljö, hälsa och sociala förhållanden, </w:t>
      </w:r>
      <w:r w:rsidRPr="00AE24F7">
        <w:rPr>
          <w:rFonts w:ascii="Garamond" w:hAnsi="Garamond"/>
          <w:i/>
          <w:iCs/>
        </w:rPr>
        <w:t>att</w:t>
      </w:r>
      <w:r w:rsidRPr="00AE24F7">
        <w:rPr>
          <w:rFonts w:ascii="Garamond" w:hAnsi="Garamond"/>
        </w:rPr>
        <w:t xml:space="preserve"> det i bolagets styrelse ska finnas kompetens inom hållbarhetsfrågor samt </w:t>
      </w:r>
      <w:r w:rsidRPr="00AE24F7">
        <w:rPr>
          <w:rFonts w:ascii="Garamond" w:hAnsi="Garamond"/>
          <w:i/>
          <w:iCs/>
        </w:rPr>
        <w:t>att</w:t>
      </w:r>
      <w:r w:rsidRPr="00AE24F7">
        <w:rPr>
          <w:rFonts w:ascii="Garamond" w:hAnsi="Garamond"/>
        </w:rPr>
        <w:t xml:space="preserve"> reglerna om ersättning till ledande befattnings</w:t>
      </w:r>
      <w:r w:rsidRPr="00AE24F7">
        <w:rPr>
          <w:rFonts w:ascii="Garamond" w:hAnsi="Garamond"/>
        </w:rPr>
        <w:softHyphen/>
        <w:t xml:space="preserve">havare ska inriktas mer på att motverka kortsiktigt handlande från befattningshavarnas sida. </w:t>
      </w:r>
    </w:p>
    <w:p w:rsidR="00F855D7" w:rsidRDefault="00CD5689" w:rsidP="00CD5689">
      <w:pPr>
        <w:pStyle w:val="Brdtext"/>
        <w:rPr>
          <w:rFonts w:ascii="Garamond" w:hAnsi="Garamond"/>
        </w:rPr>
      </w:pPr>
      <w:r w:rsidRPr="00AE24F7">
        <w:rPr>
          <w:rFonts w:ascii="Garamond" w:hAnsi="Garamond"/>
        </w:rPr>
        <w:t>Nedanstående förslag till ståndpunkter avser frågorna om ledningens skyldigheter och hållbar bolagsstyrning. De är avsedda att ligga till grund för regeringens arbete i anledning av kommissionens pågående konsultation och det vidare förhandlingsarbetet</w:t>
      </w:r>
      <w:r w:rsidR="00F855D7">
        <w:rPr>
          <w:rFonts w:ascii="Garamond" w:hAnsi="Garamond"/>
        </w:rPr>
        <w:t xml:space="preserve">. </w:t>
      </w:r>
    </w:p>
    <w:p w:rsidR="005A1961" w:rsidRDefault="005A1961" w:rsidP="00CD5689">
      <w:pPr>
        <w:pStyle w:val="Brdtext"/>
        <w:rPr>
          <w:rFonts w:ascii="Garamond" w:hAnsi="Garamond"/>
        </w:rPr>
      </w:pPr>
    </w:p>
    <w:p w:rsidR="00CD5689" w:rsidRPr="00AE24F7" w:rsidRDefault="00CD5689" w:rsidP="00CD5689">
      <w:pPr>
        <w:pStyle w:val="Rubrik1utannumrering"/>
        <w:rPr>
          <w:rFonts w:ascii="Arial" w:hAnsi="Arial" w:cs="Arial"/>
        </w:rPr>
      </w:pPr>
      <w:r w:rsidRPr="00AE24F7">
        <w:rPr>
          <w:rFonts w:ascii="Arial" w:hAnsi="Arial" w:cs="Arial"/>
        </w:rPr>
        <w:t xml:space="preserve">Rättslig grund och beslutsförfarande </w:t>
      </w:r>
    </w:p>
    <w:p w:rsidR="00CD5689" w:rsidRPr="00AE24F7" w:rsidRDefault="00CD5689" w:rsidP="00CD5689">
      <w:pPr>
        <w:pStyle w:val="Brdtext"/>
        <w:rPr>
          <w:rFonts w:ascii="Garamond" w:hAnsi="Garamond"/>
        </w:rPr>
      </w:pPr>
      <w:r w:rsidRPr="00AE24F7">
        <w:rPr>
          <w:rFonts w:ascii="Garamond" w:hAnsi="Garamond"/>
        </w:rPr>
        <w:t xml:space="preserve">Inte aktuellt in nuläget. </w:t>
      </w:r>
    </w:p>
    <w:p w:rsidR="00CD5689" w:rsidRPr="00AE24F7" w:rsidRDefault="00CD5689" w:rsidP="00CD5689">
      <w:pPr>
        <w:pStyle w:val="Rubrik1utannumrering"/>
        <w:rPr>
          <w:rFonts w:ascii="Arial" w:hAnsi="Arial" w:cs="Arial"/>
        </w:rPr>
      </w:pPr>
      <w:r w:rsidRPr="00AE24F7">
        <w:rPr>
          <w:rFonts w:ascii="Arial" w:hAnsi="Arial" w:cs="Arial"/>
        </w:rPr>
        <w:t>Förslag till svensk ståndpunkt</w:t>
      </w:r>
    </w:p>
    <w:p w:rsidR="00CD5689" w:rsidRPr="00AE24F7" w:rsidRDefault="00CD5689" w:rsidP="00CD5689">
      <w:pPr>
        <w:pStyle w:val="Brdtext"/>
        <w:rPr>
          <w:rFonts w:ascii="Garamond" w:hAnsi="Garamond"/>
        </w:rPr>
      </w:pPr>
      <w:r w:rsidRPr="00AE24F7">
        <w:rPr>
          <w:rFonts w:ascii="Garamond" w:hAnsi="Garamond"/>
        </w:rPr>
        <w:t xml:space="preserve">Sverige har sedan länge en hög ambitionsnivå i arbetet för mänskliga rättigheter, social trygghet, och ett skärpt regelverk kring miljö- och klimatfrågor. Näringslivet har en mycket viktig roll att spela i arbetet för en hållbar utveckling och svenska företag bör fortsätta att ligga i framkant i det arbetet. </w:t>
      </w:r>
    </w:p>
    <w:p w:rsidR="00CD5689" w:rsidRPr="00AE24F7" w:rsidRDefault="00CD5689" w:rsidP="00CD5689">
      <w:pPr>
        <w:pStyle w:val="Brdtext"/>
        <w:rPr>
          <w:rFonts w:ascii="Garamond" w:hAnsi="Garamond"/>
        </w:rPr>
      </w:pPr>
      <w:r w:rsidRPr="00AE24F7">
        <w:rPr>
          <w:rFonts w:ascii="Garamond" w:hAnsi="Garamond"/>
        </w:rPr>
        <w:t xml:space="preserve">Regeringen ser därför positivt på att det på EU-nivå tas fram bindande regler för tillbörlig aktsamhet i globala leverantörskedjor. Regeringen stödjer också ambitionen att integrera hållbarhet i all EU-politik för att nå bl.a. klimat- och miljömålen. Därtill verkar regeringen för en grön ekonomisk återhämtning i linje med den gröna given och dess målsättningar. </w:t>
      </w:r>
    </w:p>
    <w:p w:rsidR="00CD5689" w:rsidRPr="00AE24F7" w:rsidRDefault="00CD5689" w:rsidP="00CD5689">
      <w:pPr>
        <w:pStyle w:val="Brdtext"/>
        <w:rPr>
          <w:rFonts w:ascii="Garamond" w:hAnsi="Garamond"/>
        </w:rPr>
      </w:pPr>
      <w:r w:rsidRPr="00AE24F7">
        <w:rPr>
          <w:rFonts w:ascii="Garamond" w:hAnsi="Garamond"/>
        </w:rPr>
        <w:lastRenderedPageBreak/>
        <w:t xml:space="preserve">Regeringen anser emellertid att regler om tillbörlig aktsamhet i globala leverantörskedjor och regler om bolagsstyrning inte nödvändigtvis har något omedelbart samband med varandra. Det kan därför finnas skäl för att arbeta med frågorna separat och lägga fram förslag i skilda rättsakter. </w:t>
      </w:r>
    </w:p>
    <w:p w:rsidR="00CD5689" w:rsidRPr="00AE24F7" w:rsidRDefault="00CD5689" w:rsidP="00CD5689">
      <w:pPr>
        <w:pStyle w:val="Brdtext"/>
        <w:rPr>
          <w:rFonts w:ascii="Garamond" w:hAnsi="Garamond"/>
        </w:rPr>
      </w:pPr>
      <w:r w:rsidRPr="00AE24F7">
        <w:rPr>
          <w:rFonts w:ascii="Garamond" w:hAnsi="Garamond"/>
        </w:rPr>
        <w:t>De förslag som lämnas bör beakta relevanta internationella standarder för näringsverksamhet, inklusive t.ex. FN:s vägledande principer för företagande och mänskliga rättigheter och OECD:s riktlinjer för multinationella företag. Förslagen bör också beakta målen för hållbar utveckling i Agenda 2030 och Addis Ababa Action Agenda för utvecklingsfinansiering.</w:t>
      </w:r>
    </w:p>
    <w:p w:rsidR="00CD5689" w:rsidRPr="00AE24F7" w:rsidRDefault="00CD5689" w:rsidP="00CD5689">
      <w:pPr>
        <w:pStyle w:val="Brdtext"/>
        <w:rPr>
          <w:rFonts w:ascii="Garamond" w:hAnsi="Garamond"/>
        </w:rPr>
      </w:pPr>
      <w:r w:rsidRPr="00AE24F7">
        <w:rPr>
          <w:rFonts w:ascii="Garamond" w:hAnsi="Garamond"/>
        </w:rPr>
        <w:t>Det är viktigt att de åtgärder som vidtas är genomtänkta och ändamålsenligt utformade så att de bidrar till att skapa goda förutsättningar och leder i rätt riktning utan oönskade konsekvenser på andra områden. Det är också viktigt att åtgärderna är i linje med svensk</w:t>
      </w:r>
      <w:r>
        <w:rPr>
          <w:rFonts w:ascii="Garamond" w:hAnsi="Garamond"/>
        </w:rPr>
        <w:t xml:space="preserve"> </w:t>
      </w:r>
      <w:r w:rsidRPr="00AE24F7">
        <w:rPr>
          <w:rFonts w:ascii="Garamond" w:hAnsi="Garamond"/>
        </w:rPr>
        <w:t xml:space="preserve">syn på kompetensfördelning mellan unionen och medlemsstaterna. En god balans mellan aktieägare och styrelse är en förutsättning för effektiv bolagsstyrning och i förlängningen även för bolagens möjlighet att attrahera kapital. En fungerande kapitalförsörjning är inte minst viktig för ett gott hållbarhetsarbete. Regeringen avser därför att noga analysera de förslag som läggs inom bolagsrättens område. En viktig utgångspunkt i arbetet är att den svenska bolagsstyrningsmodellen bör värnas i så hög utsträckning som möjligt. </w:t>
      </w:r>
    </w:p>
    <w:p w:rsidR="00CD5689" w:rsidRPr="00AE24F7" w:rsidRDefault="00CD5689" w:rsidP="00CD5689">
      <w:pPr>
        <w:pStyle w:val="Brdtext"/>
        <w:rPr>
          <w:rFonts w:ascii="Garamond" w:hAnsi="Garamond"/>
        </w:rPr>
      </w:pPr>
      <w:r w:rsidRPr="00AE24F7">
        <w:rPr>
          <w:rFonts w:ascii="Garamond" w:hAnsi="Garamond"/>
        </w:rPr>
        <w:t>Det är genom lagstiftning, andra styrmedel och myndighetsbeslut som grunden för hållbarhetsarbetet läggs fast. Dock har alla aktörer, inklusive företagen, ett ansvar för att genom egna åtgärder bidra till att uppfylla målen i Agenda 2030 och nationella mål. Företagen själva besitter en stor kunskap om vilka konsekvenser deras verksamhet för med sig. Regeringen avser därför att verka för att företagens eget arbete med hållbarhetsfrågor främjas och att företagen ges utrymme att utforma egna effektiva mål och genomföra åtgärder för att uppnå dessa mål.</w:t>
      </w:r>
    </w:p>
    <w:p w:rsidR="00CD5689" w:rsidRDefault="00CD5689" w:rsidP="00CD5689">
      <w:pPr>
        <w:pStyle w:val="Brdtext"/>
        <w:rPr>
          <w:rFonts w:ascii="Garamond" w:hAnsi="Garamond"/>
        </w:rPr>
      </w:pPr>
      <w:r w:rsidRPr="00AE24F7">
        <w:rPr>
          <w:rFonts w:ascii="Garamond" w:hAnsi="Garamond"/>
        </w:rPr>
        <w:t>Direktivet om aktieägares rättigheter, som bl.a. reglerar ersättning till ledande befattningshavare ändrades så sent som 2019. Ett av syftena med de ändringar som genomfördes var att stärka incitamentet för företags</w:t>
      </w:r>
      <w:r w:rsidRPr="00AE24F7">
        <w:rPr>
          <w:rFonts w:ascii="Garamond" w:hAnsi="Garamond"/>
        </w:rPr>
        <w:softHyphen/>
        <w:t>ledningarna att tänka och agera med långsiktig hållbarhet för ögonen. Det bör enligt regeringens mening noga övervägas om det är nödvändigt att ändra reglerna så snart efter den senaste ändringen.</w:t>
      </w:r>
    </w:p>
    <w:p w:rsidR="00CD5689" w:rsidRPr="00AE24F7" w:rsidRDefault="00CD5689" w:rsidP="00CD5689">
      <w:pPr>
        <w:pStyle w:val="Rubrik1utannumrering"/>
        <w:rPr>
          <w:rFonts w:ascii="Arial" w:hAnsi="Arial" w:cs="Arial"/>
        </w:rPr>
      </w:pPr>
      <w:r w:rsidRPr="00AE24F7">
        <w:rPr>
          <w:rFonts w:ascii="Arial" w:hAnsi="Arial" w:cs="Arial"/>
        </w:rPr>
        <w:t>Europaparlamentets inställning</w:t>
      </w:r>
    </w:p>
    <w:p w:rsidR="00CD5689" w:rsidRPr="00AE24F7" w:rsidRDefault="00CD5689" w:rsidP="00CD5689">
      <w:pPr>
        <w:pStyle w:val="Brdtext"/>
        <w:rPr>
          <w:rFonts w:ascii="Garamond" w:hAnsi="Garamond"/>
        </w:rPr>
      </w:pPr>
      <w:r w:rsidRPr="00AE24F7">
        <w:rPr>
          <w:rFonts w:ascii="Garamond" w:hAnsi="Garamond"/>
        </w:rPr>
        <w:t>Europaparlamentet röstade i december 2020 igenom en rapport om hållbar bolagsstyrning som gav kommissionen stöd för att presentera ett lagstiftnings</w:t>
      </w:r>
      <w:r w:rsidRPr="00AE24F7">
        <w:rPr>
          <w:rFonts w:ascii="Garamond" w:hAnsi="Garamond"/>
        </w:rPr>
        <w:softHyphen/>
        <w:t>förslag på området. Rapporten röstades igenom med knapp majoritet där 347 parlamentariker röstade för och 307 mot medan 42 lade ned sina röster.</w:t>
      </w:r>
    </w:p>
    <w:p w:rsidR="00CD5689" w:rsidRPr="00AE24F7" w:rsidRDefault="00CD5689" w:rsidP="00CD5689">
      <w:pPr>
        <w:pStyle w:val="Rubrik1utannumrering"/>
        <w:rPr>
          <w:rFonts w:ascii="Arial" w:hAnsi="Arial" w:cs="Arial"/>
        </w:rPr>
      </w:pPr>
      <w:r w:rsidRPr="00AE24F7">
        <w:rPr>
          <w:rFonts w:ascii="Arial" w:hAnsi="Arial" w:cs="Arial"/>
        </w:rPr>
        <w:lastRenderedPageBreak/>
        <w:t>Förslaget</w:t>
      </w:r>
    </w:p>
    <w:p w:rsidR="00CD5689" w:rsidRPr="00AE24F7" w:rsidRDefault="00CD5689" w:rsidP="00CD5689">
      <w:pPr>
        <w:pStyle w:val="Brdtext"/>
        <w:rPr>
          <w:rFonts w:ascii="Garamond" w:hAnsi="Garamond"/>
        </w:rPr>
      </w:pPr>
      <w:r w:rsidRPr="00AE24F7">
        <w:rPr>
          <w:rFonts w:ascii="Garamond" w:hAnsi="Garamond"/>
        </w:rPr>
        <w:t>I dagsläget finns inget förslag till nytt regelverk att ta ställning till.</w:t>
      </w:r>
    </w:p>
    <w:p w:rsidR="00CD5689" w:rsidRPr="00AE24F7" w:rsidRDefault="00CD5689" w:rsidP="00CD5689">
      <w:pPr>
        <w:pStyle w:val="Rubrik1utannumrering"/>
        <w:rPr>
          <w:rFonts w:ascii="Arial" w:hAnsi="Arial" w:cs="Arial"/>
        </w:rPr>
      </w:pPr>
      <w:r w:rsidRPr="00AE24F7">
        <w:rPr>
          <w:rFonts w:ascii="Arial" w:hAnsi="Arial" w:cs="Arial"/>
        </w:rPr>
        <w:t>Gällande svenska regler och förslagets effekter på dessa</w:t>
      </w:r>
    </w:p>
    <w:p w:rsidR="00CD5689" w:rsidRPr="00AE24F7" w:rsidRDefault="00CD5689" w:rsidP="00CD5689">
      <w:pPr>
        <w:pStyle w:val="Brdtext"/>
        <w:rPr>
          <w:rFonts w:ascii="Garamond" w:hAnsi="Garamond"/>
        </w:rPr>
      </w:pPr>
      <w:r w:rsidRPr="00AE24F7">
        <w:rPr>
          <w:rFonts w:ascii="Garamond" w:hAnsi="Garamond"/>
        </w:rPr>
        <w:t>Den europeiska bolagsrätten är delvis kodifierad i Europaparlamentets och rådets direktiv (EU) 2017/1132 av den 14 juni 2017 om vissa aspekter av bolagsrätt. Till detta kommer bl.a. Europaparlamentets och rådets direktiv 2007/36/EG av den 11 juli 2007 om utnyttjande av vissa av aktieägares rättigheter i börsnoterade företag. Medlemsstaterna tillämpar dessutom sina egna bolagsrättsliga bestämmelser. De svenska lagreglerna om bolagsstyrning finns i huvudsak i aktiebolags</w:t>
      </w:r>
      <w:r w:rsidRPr="00AE24F7">
        <w:rPr>
          <w:rFonts w:ascii="Garamond" w:hAnsi="Garamond"/>
        </w:rPr>
        <w:softHyphen/>
        <w:t xml:space="preserve">lagen (2005:551). För företag på finansmarknaden finns det även regler i den finansiella lagstiftningen. Implementeringen av ändringsdirektivet om aktieägares rättigheter behandlades i prop. 2018/19:56 och 2019/20:116. </w:t>
      </w:r>
    </w:p>
    <w:p w:rsidR="00CD5689" w:rsidRPr="009E5F6C" w:rsidRDefault="00CD5689" w:rsidP="00CD5689">
      <w:pPr>
        <w:pStyle w:val="Rubrik1utannumrering"/>
        <w:rPr>
          <w:rFonts w:ascii="Arial" w:hAnsi="Arial" w:cs="Arial"/>
        </w:rPr>
      </w:pPr>
      <w:r w:rsidRPr="009E5F6C">
        <w:rPr>
          <w:rFonts w:ascii="Arial" w:hAnsi="Arial" w:cs="Arial"/>
        </w:rPr>
        <w:t>Budgetära konsekvenser/konsekvensanalys</w:t>
      </w:r>
    </w:p>
    <w:p w:rsidR="00CD5689" w:rsidRPr="009E5F6C" w:rsidRDefault="00CD5689" w:rsidP="00CD5689">
      <w:pPr>
        <w:pStyle w:val="Brdtext"/>
        <w:rPr>
          <w:rFonts w:ascii="Garamond" w:hAnsi="Garamond"/>
        </w:rPr>
      </w:pPr>
      <w:r w:rsidRPr="009E5F6C">
        <w:rPr>
          <w:rFonts w:ascii="Garamond" w:hAnsi="Garamond"/>
        </w:rPr>
        <w:t xml:space="preserve">Det går i nuläget inte att bedöma om förslaget får någon påverkan på EU-budgeten eller statsbudgeten. Statsbudgeten skulle kunna påverkas t.ex. om det föreslås att regelverket ska omfattas av offentlig tillsyn. </w:t>
      </w:r>
    </w:p>
    <w:p w:rsidR="00CD5689" w:rsidRPr="00AE24F7" w:rsidRDefault="00CD5689" w:rsidP="00CD5689">
      <w:pPr>
        <w:pStyle w:val="Brdtext"/>
        <w:rPr>
          <w:rFonts w:ascii="Garamond" w:hAnsi="Garamond"/>
        </w:rPr>
      </w:pPr>
    </w:p>
    <w:p w:rsidR="00CD5689" w:rsidRPr="00AE24F7" w:rsidRDefault="00CD5689" w:rsidP="00CD5689">
      <w:pPr>
        <w:pStyle w:val="Brdtext"/>
        <w:rPr>
          <w:rFonts w:ascii="Garamond" w:hAnsi="Garamond"/>
        </w:rPr>
      </w:pPr>
    </w:p>
    <w:p w:rsidR="00CD5689" w:rsidRDefault="00CD5689" w:rsidP="00CD5689">
      <w:pPr>
        <w:keepNext/>
        <w:keepLines/>
        <w:widowControl/>
        <w:tabs>
          <w:tab w:val="left" w:pos="2235"/>
        </w:tabs>
        <w:spacing w:after="600" w:line="276" w:lineRule="auto"/>
        <w:ind w:left="-1276"/>
        <w:contextualSpacing/>
        <w:rPr>
          <w:rFonts w:ascii="Arial" w:eastAsiaTheme="majorEastAsia" w:hAnsi="Arial" w:cs="Arial"/>
          <w:b/>
          <w:kern w:val="28"/>
          <w:sz w:val="19"/>
          <w:szCs w:val="19"/>
          <w:lang w:eastAsia="en-US"/>
        </w:rPr>
      </w:pPr>
    </w:p>
    <w:p w:rsidR="00CD5689" w:rsidRDefault="00CD5689" w:rsidP="00CD5689">
      <w:pPr>
        <w:keepNext/>
        <w:keepLines/>
        <w:widowControl/>
        <w:spacing w:after="600" w:line="276" w:lineRule="auto"/>
        <w:ind w:left="-1276"/>
        <w:contextualSpacing/>
        <w:rPr>
          <w:rFonts w:ascii="Arial" w:eastAsiaTheme="majorEastAsia" w:hAnsi="Arial" w:cs="Arial"/>
          <w:b/>
          <w:kern w:val="28"/>
          <w:sz w:val="19"/>
          <w:szCs w:val="19"/>
          <w:lang w:eastAsia="en-US"/>
        </w:rPr>
      </w:pPr>
    </w:p>
    <w:p w:rsidR="00CD5689" w:rsidRDefault="00CD5689" w:rsidP="00CD5689">
      <w:pPr>
        <w:keepNext/>
        <w:keepLines/>
        <w:widowControl/>
        <w:spacing w:after="600" w:line="276" w:lineRule="auto"/>
        <w:ind w:left="-1276"/>
        <w:contextualSpacing/>
        <w:rPr>
          <w:rFonts w:ascii="Arial" w:eastAsiaTheme="majorEastAsia" w:hAnsi="Arial" w:cs="Arial"/>
          <w:b/>
          <w:kern w:val="28"/>
          <w:sz w:val="19"/>
          <w:szCs w:val="19"/>
          <w:lang w:eastAsia="en-US"/>
        </w:rPr>
      </w:pPr>
    </w:p>
    <w:p w:rsidR="00CD5689" w:rsidRDefault="00CD5689" w:rsidP="00CD5689">
      <w:pPr>
        <w:keepNext/>
        <w:keepLines/>
        <w:widowControl/>
        <w:spacing w:after="600" w:line="276" w:lineRule="auto"/>
        <w:ind w:left="-1276"/>
        <w:contextualSpacing/>
        <w:rPr>
          <w:rFonts w:ascii="Arial" w:eastAsiaTheme="majorEastAsia" w:hAnsi="Arial" w:cs="Arial"/>
          <w:b/>
          <w:kern w:val="28"/>
          <w:sz w:val="19"/>
          <w:szCs w:val="19"/>
          <w:lang w:eastAsia="en-US"/>
        </w:rPr>
      </w:pPr>
    </w:p>
    <w:p w:rsidR="00CD5689" w:rsidRDefault="00CD5689" w:rsidP="00CD5689">
      <w:pPr>
        <w:keepNext/>
        <w:keepLines/>
        <w:widowControl/>
        <w:spacing w:after="600" w:line="276" w:lineRule="auto"/>
        <w:ind w:left="-1276"/>
        <w:contextualSpacing/>
        <w:rPr>
          <w:rFonts w:ascii="Arial" w:eastAsiaTheme="minorHAnsi" w:hAnsi="Arial" w:cs="Arial"/>
          <w:kern w:val="28"/>
          <w:sz w:val="19"/>
          <w:szCs w:val="19"/>
          <w:lang w:eastAsia="en-US"/>
        </w:rPr>
      </w:pPr>
      <w:r>
        <w:rPr>
          <w:rFonts w:ascii="Arial" w:eastAsiaTheme="majorEastAsia" w:hAnsi="Arial" w:cs="Arial"/>
          <w:b/>
          <w:kern w:val="28"/>
          <w:sz w:val="19"/>
          <w:szCs w:val="19"/>
          <w:lang w:eastAsia="en-US"/>
        </w:rPr>
        <w:br/>
      </w: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Pr="00CD5689" w:rsidRDefault="00CD5689" w:rsidP="00CD5689">
      <w:pPr>
        <w:rPr>
          <w:rFonts w:ascii="Arial" w:eastAsiaTheme="minorHAnsi" w:hAnsi="Arial" w:cs="Arial"/>
          <w:sz w:val="19"/>
          <w:szCs w:val="19"/>
          <w:lang w:eastAsia="en-US"/>
        </w:rPr>
      </w:pPr>
    </w:p>
    <w:p w:rsidR="00CD5689" w:rsidRDefault="00CD5689" w:rsidP="00CD5689">
      <w:pPr>
        <w:rPr>
          <w:rFonts w:ascii="Arial" w:hAnsi="Arial" w:cs="Arial"/>
          <w:sz w:val="19"/>
          <w:szCs w:val="19"/>
          <w:lang w:eastAsia="en-US"/>
        </w:rPr>
      </w:pPr>
    </w:p>
    <w:p w:rsidR="00CD5689" w:rsidRPr="00CD5689" w:rsidRDefault="00CD5689" w:rsidP="00CD5689">
      <w:pPr>
        <w:rPr>
          <w:rFonts w:ascii="Arial" w:hAnsi="Arial" w:cs="Arial"/>
          <w:sz w:val="19"/>
          <w:szCs w:val="19"/>
          <w:lang w:eastAsia="en-US"/>
        </w:rPr>
      </w:pPr>
    </w:p>
    <w:p w:rsidR="00CD5689" w:rsidRPr="00CD5689" w:rsidRDefault="00CD5689" w:rsidP="00CD5689">
      <w:pPr>
        <w:rPr>
          <w:rFonts w:ascii="Arial" w:hAnsi="Arial" w:cs="Arial"/>
          <w:sz w:val="19"/>
          <w:szCs w:val="19"/>
          <w:lang w:eastAsia="en-US"/>
        </w:rPr>
      </w:pPr>
    </w:p>
    <w:p w:rsidR="00CD5689" w:rsidRPr="00CD5689" w:rsidRDefault="00CD5689" w:rsidP="00CD5689">
      <w:pPr>
        <w:rPr>
          <w:rFonts w:ascii="Arial" w:hAnsi="Arial" w:cs="Arial"/>
          <w:sz w:val="19"/>
          <w:szCs w:val="19"/>
          <w:lang w:eastAsia="en-US"/>
        </w:rPr>
      </w:pPr>
    </w:p>
    <w:p w:rsidR="00CD5689" w:rsidRDefault="00CD5689" w:rsidP="00CD5689">
      <w:pPr>
        <w:rPr>
          <w:rFonts w:ascii="Arial" w:hAnsi="Arial" w:cs="Arial"/>
          <w:sz w:val="19"/>
          <w:szCs w:val="19"/>
          <w:lang w:eastAsia="en-US"/>
        </w:rPr>
      </w:pPr>
    </w:p>
    <w:p w:rsidR="00CD5689" w:rsidRDefault="00CD5689" w:rsidP="00CD5689">
      <w:pPr>
        <w:rPr>
          <w:rFonts w:ascii="Arial" w:hAnsi="Arial" w:cs="Arial"/>
          <w:sz w:val="19"/>
          <w:szCs w:val="19"/>
          <w:lang w:eastAsia="en-US"/>
        </w:rPr>
      </w:pPr>
    </w:p>
    <w:p w:rsidR="00CD5689" w:rsidRDefault="00CD5689" w:rsidP="00CD5689">
      <w:pPr>
        <w:rPr>
          <w:rFonts w:ascii="Arial" w:hAnsi="Arial" w:cs="Arial"/>
          <w:sz w:val="19"/>
          <w:szCs w:val="19"/>
          <w:lang w:eastAsia="en-US"/>
        </w:rPr>
      </w:pPr>
    </w:p>
    <w:p w:rsidR="00B40DDA" w:rsidRPr="00B40DDA" w:rsidRDefault="00B40DDA" w:rsidP="00B40DDA">
      <w:pPr>
        <w:pStyle w:val="Brdtext"/>
        <w:ind w:left="-993"/>
        <w:rPr>
          <w:rFonts w:ascii="Times New Roman" w:hAnsi="Times New Roman" w:cs="Times New Roman"/>
          <w:sz w:val="22"/>
          <w:szCs w:val="22"/>
        </w:rPr>
      </w:pPr>
      <w:r w:rsidRPr="00B40DDA">
        <w:rPr>
          <w:rFonts w:ascii="Times New Roman" w:hAnsi="Times New Roman" w:cs="Times New Roman"/>
          <w:sz w:val="22"/>
          <w:szCs w:val="22"/>
        </w:rPr>
        <w:lastRenderedPageBreak/>
        <w:t>Bilaga 3</w:t>
      </w:r>
    </w:p>
    <w:p w:rsidR="00CD5689" w:rsidRDefault="00CD5689" w:rsidP="00CD5689">
      <w:pPr>
        <w:rPr>
          <w:rFonts w:ascii="Arial" w:hAnsi="Arial" w:cs="Arial"/>
          <w:sz w:val="19"/>
          <w:szCs w:val="19"/>
          <w:lang w:eastAsia="en-US"/>
        </w:rPr>
      </w:pPr>
    </w:p>
    <w:p w:rsidR="00CD5689" w:rsidRDefault="00CD5689" w:rsidP="00CD5689">
      <w:pPr>
        <w:rPr>
          <w:rFonts w:ascii="Arial" w:hAnsi="Arial" w:cs="Arial"/>
          <w:sz w:val="19"/>
          <w:szCs w:val="19"/>
          <w:lang w:eastAsia="en-US"/>
        </w:rPr>
      </w:pPr>
    </w:p>
    <w:p w:rsidR="00CD5689" w:rsidRDefault="00CD5689" w:rsidP="00CD5689">
      <w:pPr>
        <w:rPr>
          <w:rFonts w:ascii="Arial" w:hAnsi="Arial" w:cs="Arial"/>
          <w:sz w:val="19"/>
          <w:szCs w:val="19"/>
          <w:lang w:eastAsia="en-US"/>
        </w:rPr>
      </w:pPr>
    </w:p>
    <w:p w:rsidR="00CD5689" w:rsidRDefault="00CD5689" w:rsidP="00CD5689">
      <w:pPr>
        <w:rPr>
          <w:rFonts w:ascii="Arial" w:hAnsi="Arial" w:cs="Arial"/>
          <w:sz w:val="19"/>
          <w:szCs w:val="19"/>
          <w:lang w:eastAsia="en-US"/>
        </w:rPr>
      </w:pPr>
    </w:p>
    <w:p w:rsidR="00CD5689" w:rsidRDefault="00CD5689" w:rsidP="00CD5689">
      <w:pPr>
        <w:rPr>
          <w:rFonts w:ascii="Arial" w:hAnsi="Arial" w:cs="Arial"/>
          <w:sz w:val="19"/>
          <w:szCs w:val="19"/>
          <w:lang w:eastAsia="en-US"/>
        </w:rPr>
      </w:pPr>
    </w:p>
    <w:p w:rsidR="00CD5689" w:rsidRDefault="00CD5689" w:rsidP="00CD5689">
      <w:pPr>
        <w:pStyle w:val="Brdtext"/>
        <w:rPr>
          <w:rFonts w:ascii="Times New Roman" w:hAnsi="Times New Roman" w:cs="Times New Roman"/>
          <w:szCs w:val="24"/>
        </w:rPr>
      </w:pPr>
      <w:r w:rsidRPr="00CD5689">
        <w:rPr>
          <w:rFonts w:ascii="Times New Roman" w:hAnsi="Times New Roman" w:cs="Times New Roman"/>
          <w:szCs w:val="24"/>
        </w:rPr>
        <w:t>M</w:t>
      </w:r>
      <w:r w:rsidR="00DC2D40">
        <w:rPr>
          <w:rFonts w:ascii="Times New Roman" w:hAnsi="Times New Roman" w:cs="Times New Roman"/>
          <w:szCs w:val="24"/>
        </w:rPr>
        <w:t xml:space="preserve"> och KD</w:t>
      </w:r>
      <w:r w:rsidRPr="00CD5689">
        <w:rPr>
          <w:rFonts w:ascii="Times New Roman" w:hAnsi="Times New Roman" w:cs="Times New Roman"/>
          <w:szCs w:val="24"/>
        </w:rPr>
        <w:t xml:space="preserve">-ledamöternas avvikande ståndpunkt: </w:t>
      </w:r>
    </w:p>
    <w:p w:rsidR="00DC2D40" w:rsidRPr="008D00CB" w:rsidRDefault="00DC2D40" w:rsidP="00DC2D40">
      <w:pPr>
        <w:ind w:left="1304"/>
        <w:rPr>
          <w:iCs/>
          <w:sz w:val="22"/>
        </w:rPr>
      </w:pPr>
      <w:r w:rsidRPr="008D00CB">
        <w:rPr>
          <w:iCs/>
        </w:rPr>
        <w:t xml:space="preserve">Vi anser att den svenska ståndpunkten bör vara att regelverk för hållbar bolagsstyrning i enlighet med </w:t>
      </w:r>
      <w:proofErr w:type="spellStart"/>
      <w:r w:rsidRPr="008D00CB">
        <w:rPr>
          <w:iCs/>
        </w:rPr>
        <w:t>subsidaritetsprincipen</w:t>
      </w:r>
      <w:proofErr w:type="spellEnd"/>
      <w:r w:rsidRPr="008D00CB">
        <w:rPr>
          <w:iCs/>
        </w:rPr>
        <w:t xml:space="preserve"> är en fråga som ska avgöras på nationell nivå. Sverige har idag en välfungerande bolagsstyrningsmodell som ska värnas och därför regleras på nationell nivå.</w:t>
      </w:r>
    </w:p>
    <w:p w:rsidR="00DC2D40" w:rsidRDefault="00DC2D40" w:rsidP="00CD5689">
      <w:pPr>
        <w:pStyle w:val="Brdtext"/>
        <w:rPr>
          <w:szCs w:val="24"/>
        </w:rPr>
      </w:pPr>
    </w:p>
    <w:p w:rsidR="00CD5689" w:rsidRPr="00CD5689" w:rsidRDefault="00CD5689" w:rsidP="00CD5689">
      <w:pPr>
        <w:pStyle w:val="Brdtext"/>
        <w:rPr>
          <w:rFonts w:ascii="Times New Roman" w:hAnsi="Times New Roman" w:cs="Times New Roman"/>
          <w:sz w:val="24"/>
          <w:szCs w:val="24"/>
        </w:rPr>
      </w:pPr>
      <w:r w:rsidRPr="00CD5689">
        <w:rPr>
          <w:rFonts w:ascii="Times New Roman" w:hAnsi="Times New Roman" w:cs="Times New Roman"/>
          <w:sz w:val="24"/>
          <w:szCs w:val="24"/>
        </w:rPr>
        <w:t xml:space="preserve">SD-ledamöternas avvikande ståndpunkt: </w:t>
      </w:r>
    </w:p>
    <w:p w:rsidR="00CD5689" w:rsidRDefault="00CD5689" w:rsidP="00CD5689">
      <w:pPr>
        <w:ind w:left="1304"/>
        <w:rPr>
          <w:sz w:val="22"/>
        </w:rPr>
      </w:pPr>
      <w:bookmarkStart w:id="4" w:name="_Hlk61891821"/>
      <w:r>
        <w:t>Vår uppfattning är att det inte ska regleras av EU, hur svenska företags hållbarhetsarbete ska värderas. Det framgår dessutom i ärendehandlingarna att det i dagsläget inte finns förslag till något nytt regelverk att ta ställning till. Begreppet hållbarhet och vad det innebär, är omfattande och tolkningsbart. Det är fel att från svensk sida ställa sig positiv till bolagshållbarhetsstyrning där innehållet är okänt. Sverige och svenska företag har en hög ambitionsnivå i många viktiga hållbarhetsfrågor, men en europeisk standardisering riskerar att enbart koncentreras till några få av dessa. Om hållbarhetsstyrning regleras på EU-nivå så riskerar man därför att nivån sjunker ur svenskt perspektiv, som en anpassning till andra företag i Europa. Detta som ett direkt resultat av att hållbarhetsfrågan då begränsas till att innefatta det som politikerna i EU anser är viktigt för stunden. Svensk bolagsstyrnings självständighet ska värnas och onödig byråkrati undvikas.</w:t>
      </w:r>
      <w:bookmarkEnd w:id="4"/>
    </w:p>
    <w:p w:rsidR="00CD5689" w:rsidRDefault="00CD5689" w:rsidP="00CD5689">
      <w:pPr>
        <w:rPr>
          <w:rFonts w:ascii="Arial" w:hAnsi="Arial" w:cs="Arial"/>
          <w:sz w:val="19"/>
          <w:szCs w:val="19"/>
          <w:lang w:eastAsia="en-US"/>
        </w:rPr>
      </w:pPr>
    </w:p>
    <w:p w:rsidR="008D75AC" w:rsidRDefault="008D75AC" w:rsidP="00CD5689">
      <w:pPr>
        <w:rPr>
          <w:rFonts w:ascii="Arial" w:hAnsi="Arial" w:cs="Arial"/>
          <w:sz w:val="19"/>
          <w:szCs w:val="19"/>
          <w:lang w:eastAsia="en-US"/>
        </w:rPr>
      </w:pPr>
    </w:p>
    <w:p w:rsidR="008D75AC" w:rsidRDefault="008D75AC" w:rsidP="00CD5689">
      <w:pPr>
        <w:rPr>
          <w:rFonts w:ascii="Arial" w:hAnsi="Arial" w:cs="Arial"/>
          <w:sz w:val="19"/>
          <w:szCs w:val="19"/>
          <w:lang w:eastAsia="en-US"/>
        </w:rPr>
      </w:pPr>
    </w:p>
    <w:p w:rsidR="008D75AC" w:rsidRDefault="008D75AC" w:rsidP="00CD5689">
      <w:pPr>
        <w:rPr>
          <w:rFonts w:ascii="Arial" w:hAnsi="Arial" w:cs="Arial"/>
          <w:sz w:val="19"/>
          <w:szCs w:val="19"/>
          <w:lang w:eastAsia="en-US"/>
        </w:rPr>
      </w:pPr>
    </w:p>
    <w:p w:rsidR="008D75AC" w:rsidRPr="008D75AC" w:rsidRDefault="008D75AC" w:rsidP="00CD5689">
      <w:pPr>
        <w:rPr>
          <w:szCs w:val="24"/>
          <w:lang w:eastAsia="en-US"/>
        </w:rPr>
      </w:pPr>
      <w:r w:rsidRPr="008D75AC">
        <w:rPr>
          <w:szCs w:val="24"/>
          <w:lang w:eastAsia="en-US"/>
        </w:rPr>
        <w:t xml:space="preserve"> </w:t>
      </w:r>
    </w:p>
    <w:sectPr w:rsidR="008D75AC" w:rsidRPr="008D75AC"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400" w:rsidRDefault="00723400" w:rsidP="00AD6647">
      <w:r>
        <w:separator/>
      </w:r>
    </w:p>
  </w:endnote>
  <w:endnote w:type="continuationSeparator" w:id="0">
    <w:p w:rsidR="00723400" w:rsidRDefault="00723400"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400" w:rsidRDefault="00723400" w:rsidP="00AD6647">
      <w:r>
        <w:separator/>
      </w:r>
    </w:p>
  </w:footnote>
  <w:footnote w:type="continuationSeparator" w:id="0">
    <w:p w:rsidR="00723400" w:rsidRDefault="00723400"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B4B"/>
    <w:rsid w:val="00011A79"/>
    <w:rsid w:val="000152B7"/>
    <w:rsid w:val="0002111F"/>
    <w:rsid w:val="000211BD"/>
    <w:rsid w:val="00022B82"/>
    <w:rsid w:val="0003001F"/>
    <w:rsid w:val="0003470E"/>
    <w:rsid w:val="0004044D"/>
    <w:rsid w:val="000502BA"/>
    <w:rsid w:val="00051185"/>
    <w:rsid w:val="0005467D"/>
    <w:rsid w:val="00060181"/>
    <w:rsid w:val="00060329"/>
    <w:rsid w:val="000615E7"/>
    <w:rsid w:val="00065C96"/>
    <w:rsid w:val="000666DB"/>
    <w:rsid w:val="00080CCF"/>
    <w:rsid w:val="00093120"/>
    <w:rsid w:val="000938AB"/>
    <w:rsid w:val="00094923"/>
    <w:rsid w:val="000A0240"/>
    <w:rsid w:val="000A2920"/>
    <w:rsid w:val="000A6905"/>
    <w:rsid w:val="000A6D91"/>
    <w:rsid w:val="000A758E"/>
    <w:rsid w:val="000A75EE"/>
    <w:rsid w:val="000A7D1F"/>
    <w:rsid w:val="000B05CA"/>
    <w:rsid w:val="000B77A9"/>
    <w:rsid w:val="000C3B91"/>
    <w:rsid w:val="000C4E1E"/>
    <w:rsid w:val="000C576D"/>
    <w:rsid w:val="000C58D3"/>
    <w:rsid w:val="000C6D5F"/>
    <w:rsid w:val="000D35E7"/>
    <w:rsid w:val="000D4A15"/>
    <w:rsid w:val="000D6C51"/>
    <w:rsid w:val="000E021E"/>
    <w:rsid w:val="000E2E7D"/>
    <w:rsid w:val="000E4362"/>
    <w:rsid w:val="000E6777"/>
    <w:rsid w:val="000E6B25"/>
    <w:rsid w:val="000E71E7"/>
    <w:rsid w:val="000E74D7"/>
    <w:rsid w:val="000E78D9"/>
    <w:rsid w:val="000F07A1"/>
    <w:rsid w:val="000F0BBD"/>
    <w:rsid w:val="000F44F4"/>
    <w:rsid w:val="001038A6"/>
    <w:rsid w:val="001079DD"/>
    <w:rsid w:val="00113437"/>
    <w:rsid w:val="0012486D"/>
    <w:rsid w:val="00131006"/>
    <w:rsid w:val="00140136"/>
    <w:rsid w:val="00141EE8"/>
    <w:rsid w:val="00146F2D"/>
    <w:rsid w:val="001477F4"/>
    <w:rsid w:val="001517DC"/>
    <w:rsid w:val="0015180D"/>
    <w:rsid w:val="00152374"/>
    <w:rsid w:val="00157358"/>
    <w:rsid w:val="00160ED5"/>
    <w:rsid w:val="00161AA6"/>
    <w:rsid w:val="00162744"/>
    <w:rsid w:val="00162E43"/>
    <w:rsid w:val="00163FC2"/>
    <w:rsid w:val="00170A07"/>
    <w:rsid w:val="00171F2F"/>
    <w:rsid w:val="00172651"/>
    <w:rsid w:val="00173B10"/>
    <w:rsid w:val="00176834"/>
    <w:rsid w:val="00184907"/>
    <w:rsid w:val="0018499A"/>
    <w:rsid w:val="00194708"/>
    <w:rsid w:val="001952F3"/>
    <w:rsid w:val="00196E7E"/>
    <w:rsid w:val="001A2EFB"/>
    <w:rsid w:val="001A6BFD"/>
    <w:rsid w:val="001A6EDE"/>
    <w:rsid w:val="001B037F"/>
    <w:rsid w:val="001B1AEC"/>
    <w:rsid w:val="001B334D"/>
    <w:rsid w:val="001B638C"/>
    <w:rsid w:val="001C3D38"/>
    <w:rsid w:val="001C72E1"/>
    <w:rsid w:val="001D2A2F"/>
    <w:rsid w:val="001D6700"/>
    <w:rsid w:val="001F040B"/>
    <w:rsid w:val="001F1BB9"/>
    <w:rsid w:val="001F23F5"/>
    <w:rsid w:val="001F42E1"/>
    <w:rsid w:val="002108A9"/>
    <w:rsid w:val="00213C1D"/>
    <w:rsid w:val="002174A8"/>
    <w:rsid w:val="00221B55"/>
    <w:rsid w:val="002226B9"/>
    <w:rsid w:val="002230C1"/>
    <w:rsid w:val="002240C8"/>
    <w:rsid w:val="00224846"/>
    <w:rsid w:val="00230E6A"/>
    <w:rsid w:val="00231D6A"/>
    <w:rsid w:val="002335AA"/>
    <w:rsid w:val="00234652"/>
    <w:rsid w:val="00237871"/>
    <w:rsid w:val="00242799"/>
    <w:rsid w:val="002457B2"/>
    <w:rsid w:val="002457DC"/>
    <w:rsid w:val="002457E5"/>
    <w:rsid w:val="00250924"/>
    <w:rsid w:val="002544E0"/>
    <w:rsid w:val="0026165C"/>
    <w:rsid w:val="002624FF"/>
    <w:rsid w:val="002646A2"/>
    <w:rsid w:val="00267961"/>
    <w:rsid w:val="00271038"/>
    <w:rsid w:val="0027779C"/>
    <w:rsid w:val="00282A97"/>
    <w:rsid w:val="00284BC2"/>
    <w:rsid w:val="002926A4"/>
    <w:rsid w:val="00295BE3"/>
    <w:rsid w:val="002962E4"/>
    <w:rsid w:val="00296D10"/>
    <w:rsid w:val="0029744B"/>
    <w:rsid w:val="002A12CA"/>
    <w:rsid w:val="002A1733"/>
    <w:rsid w:val="002A18FD"/>
    <w:rsid w:val="002A2D95"/>
    <w:rsid w:val="002A3EC9"/>
    <w:rsid w:val="002A40B2"/>
    <w:rsid w:val="002A4AD0"/>
    <w:rsid w:val="002B07B8"/>
    <w:rsid w:val="002B495D"/>
    <w:rsid w:val="002C1AF4"/>
    <w:rsid w:val="002C6E95"/>
    <w:rsid w:val="002D1197"/>
    <w:rsid w:val="002D2AB5"/>
    <w:rsid w:val="002E2017"/>
    <w:rsid w:val="002E60FE"/>
    <w:rsid w:val="002F1627"/>
    <w:rsid w:val="002F284C"/>
    <w:rsid w:val="002F33BF"/>
    <w:rsid w:val="00300054"/>
    <w:rsid w:val="00307165"/>
    <w:rsid w:val="00307355"/>
    <w:rsid w:val="00313774"/>
    <w:rsid w:val="00317F49"/>
    <w:rsid w:val="00320ED3"/>
    <w:rsid w:val="003222AC"/>
    <w:rsid w:val="00323112"/>
    <w:rsid w:val="00335156"/>
    <w:rsid w:val="00337C70"/>
    <w:rsid w:val="003405BC"/>
    <w:rsid w:val="003510FA"/>
    <w:rsid w:val="00355A31"/>
    <w:rsid w:val="00357DCA"/>
    <w:rsid w:val="00360479"/>
    <w:rsid w:val="00361BD5"/>
    <w:rsid w:val="00370C65"/>
    <w:rsid w:val="0037509B"/>
    <w:rsid w:val="00377F9C"/>
    <w:rsid w:val="00380D46"/>
    <w:rsid w:val="0038263B"/>
    <w:rsid w:val="0038651A"/>
    <w:rsid w:val="00386DD7"/>
    <w:rsid w:val="00387092"/>
    <w:rsid w:val="003908A8"/>
    <w:rsid w:val="003952A4"/>
    <w:rsid w:val="00395763"/>
    <w:rsid w:val="0039591D"/>
    <w:rsid w:val="0039683D"/>
    <w:rsid w:val="003A48EB"/>
    <w:rsid w:val="003A5A30"/>
    <w:rsid w:val="003A5F33"/>
    <w:rsid w:val="003B7324"/>
    <w:rsid w:val="003B76DA"/>
    <w:rsid w:val="003C356F"/>
    <w:rsid w:val="003C7167"/>
    <w:rsid w:val="003D07F1"/>
    <w:rsid w:val="003E20D4"/>
    <w:rsid w:val="003E6E48"/>
    <w:rsid w:val="003F3EC5"/>
    <w:rsid w:val="003F41A0"/>
    <w:rsid w:val="003F6DD5"/>
    <w:rsid w:val="004021CA"/>
    <w:rsid w:val="0040542E"/>
    <w:rsid w:val="004124C9"/>
    <w:rsid w:val="0041580F"/>
    <w:rsid w:val="004255FA"/>
    <w:rsid w:val="004258CF"/>
    <w:rsid w:val="00433B81"/>
    <w:rsid w:val="0043601F"/>
    <w:rsid w:val="00436913"/>
    <w:rsid w:val="00436AB2"/>
    <w:rsid w:val="00436C71"/>
    <w:rsid w:val="00436FC7"/>
    <w:rsid w:val="00442B03"/>
    <w:rsid w:val="004474EE"/>
    <w:rsid w:val="00460857"/>
    <w:rsid w:val="00463804"/>
    <w:rsid w:val="004640B8"/>
    <w:rsid w:val="0047440D"/>
    <w:rsid w:val="00474C15"/>
    <w:rsid w:val="00477939"/>
    <w:rsid w:val="004800F9"/>
    <w:rsid w:val="0048401D"/>
    <w:rsid w:val="00485A25"/>
    <w:rsid w:val="004875D6"/>
    <w:rsid w:val="004903AB"/>
    <w:rsid w:val="004913CC"/>
    <w:rsid w:val="00491F31"/>
    <w:rsid w:val="00494212"/>
    <w:rsid w:val="004944D8"/>
    <w:rsid w:val="0049632C"/>
    <w:rsid w:val="004A04F7"/>
    <w:rsid w:val="004A3360"/>
    <w:rsid w:val="004B1E95"/>
    <w:rsid w:val="004B3E3A"/>
    <w:rsid w:val="004C0DA0"/>
    <w:rsid w:val="004C5D17"/>
    <w:rsid w:val="004C7878"/>
    <w:rsid w:val="004E05D5"/>
    <w:rsid w:val="004E24F9"/>
    <w:rsid w:val="004E25A8"/>
    <w:rsid w:val="004E2630"/>
    <w:rsid w:val="004E569D"/>
    <w:rsid w:val="004F0C54"/>
    <w:rsid w:val="004F0F2C"/>
    <w:rsid w:val="004F1B55"/>
    <w:rsid w:val="004F26DF"/>
    <w:rsid w:val="004F4038"/>
    <w:rsid w:val="004F680C"/>
    <w:rsid w:val="004F7012"/>
    <w:rsid w:val="005109B9"/>
    <w:rsid w:val="00511600"/>
    <w:rsid w:val="00513D16"/>
    <w:rsid w:val="005148DF"/>
    <w:rsid w:val="00522CD4"/>
    <w:rsid w:val="00526E06"/>
    <w:rsid w:val="00531477"/>
    <w:rsid w:val="00542726"/>
    <w:rsid w:val="00547B84"/>
    <w:rsid w:val="005522C5"/>
    <w:rsid w:val="00554C06"/>
    <w:rsid w:val="00555707"/>
    <w:rsid w:val="005626C5"/>
    <w:rsid w:val="00563C65"/>
    <w:rsid w:val="005667D7"/>
    <w:rsid w:val="00566B06"/>
    <w:rsid w:val="00570BE5"/>
    <w:rsid w:val="00570CB6"/>
    <w:rsid w:val="005719BC"/>
    <w:rsid w:val="0057225A"/>
    <w:rsid w:val="005726A3"/>
    <w:rsid w:val="00572EB6"/>
    <w:rsid w:val="00573AF7"/>
    <w:rsid w:val="00575117"/>
    <w:rsid w:val="00575862"/>
    <w:rsid w:val="005770F9"/>
    <w:rsid w:val="005855DC"/>
    <w:rsid w:val="005920D7"/>
    <w:rsid w:val="00592875"/>
    <w:rsid w:val="00595117"/>
    <w:rsid w:val="005A0E06"/>
    <w:rsid w:val="005A1961"/>
    <w:rsid w:val="005A2779"/>
    <w:rsid w:val="005B5D60"/>
    <w:rsid w:val="005C1541"/>
    <w:rsid w:val="005C351D"/>
    <w:rsid w:val="005C7D58"/>
    <w:rsid w:val="005D7B12"/>
    <w:rsid w:val="005E28B9"/>
    <w:rsid w:val="005E439C"/>
    <w:rsid w:val="005E484A"/>
    <w:rsid w:val="005E49AA"/>
    <w:rsid w:val="005E4CF2"/>
    <w:rsid w:val="005E4EB8"/>
    <w:rsid w:val="005E6DB0"/>
    <w:rsid w:val="005F7D91"/>
    <w:rsid w:val="00603322"/>
    <w:rsid w:val="00611378"/>
    <w:rsid w:val="00615E83"/>
    <w:rsid w:val="00622B38"/>
    <w:rsid w:val="0062438A"/>
    <w:rsid w:val="00627A02"/>
    <w:rsid w:val="00631327"/>
    <w:rsid w:val="00636DFA"/>
    <w:rsid w:val="00643F2C"/>
    <w:rsid w:val="00646C10"/>
    <w:rsid w:val="006614A8"/>
    <w:rsid w:val="00682EDC"/>
    <w:rsid w:val="0068476B"/>
    <w:rsid w:val="00687478"/>
    <w:rsid w:val="006A180F"/>
    <w:rsid w:val="006A32B0"/>
    <w:rsid w:val="006A5459"/>
    <w:rsid w:val="006A6589"/>
    <w:rsid w:val="006A7297"/>
    <w:rsid w:val="006B7B0C"/>
    <w:rsid w:val="006C1741"/>
    <w:rsid w:val="006C21FA"/>
    <w:rsid w:val="006C2302"/>
    <w:rsid w:val="006C26B7"/>
    <w:rsid w:val="006D0481"/>
    <w:rsid w:val="006D0665"/>
    <w:rsid w:val="006D0C64"/>
    <w:rsid w:val="006D3126"/>
    <w:rsid w:val="006D4093"/>
    <w:rsid w:val="006D44BF"/>
    <w:rsid w:val="006E5F7A"/>
    <w:rsid w:val="006F10CD"/>
    <w:rsid w:val="006F159A"/>
    <w:rsid w:val="006F64E5"/>
    <w:rsid w:val="006F66E1"/>
    <w:rsid w:val="006F7C33"/>
    <w:rsid w:val="00701933"/>
    <w:rsid w:val="00712B0A"/>
    <w:rsid w:val="00722E42"/>
    <w:rsid w:val="00723400"/>
    <w:rsid w:val="00723D66"/>
    <w:rsid w:val="00730E81"/>
    <w:rsid w:val="00742212"/>
    <w:rsid w:val="007422F5"/>
    <w:rsid w:val="00744916"/>
    <w:rsid w:val="00744AF5"/>
    <w:rsid w:val="00745FE9"/>
    <w:rsid w:val="0074664F"/>
    <w:rsid w:val="00750FF0"/>
    <w:rsid w:val="007510F8"/>
    <w:rsid w:val="0075365A"/>
    <w:rsid w:val="00761574"/>
    <w:rsid w:val="00762AA7"/>
    <w:rsid w:val="00762E5A"/>
    <w:rsid w:val="00763199"/>
    <w:rsid w:val="00767BDA"/>
    <w:rsid w:val="007741F5"/>
    <w:rsid w:val="007778C7"/>
    <w:rsid w:val="00781130"/>
    <w:rsid w:val="007828A1"/>
    <w:rsid w:val="00786E2B"/>
    <w:rsid w:val="007929F8"/>
    <w:rsid w:val="0079549C"/>
    <w:rsid w:val="00797111"/>
    <w:rsid w:val="007A2598"/>
    <w:rsid w:val="007A7301"/>
    <w:rsid w:val="007B25F3"/>
    <w:rsid w:val="007B2705"/>
    <w:rsid w:val="007B43F1"/>
    <w:rsid w:val="007B57FC"/>
    <w:rsid w:val="007B768B"/>
    <w:rsid w:val="007B7BBF"/>
    <w:rsid w:val="007B7EFA"/>
    <w:rsid w:val="007C44BA"/>
    <w:rsid w:val="007C610E"/>
    <w:rsid w:val="007D072F"/>
    <w:rsid w:val="007D250B"/>
    <w:rsid w:val="007D3439"/>
    <w:rsid w:val="007D4290"/>
    <w:rsid w:val="007D740C"/>
    <w:rsid w:val="007E5E33"/>
    <w:rsid w:val="007E73D9"/>
    <w:rsid w:val="007F2890"/>
    <w:rsid w:val="007F7513"/>
    <w:rsid w:val="008010E2"/>
    <w:rsid w:val="008015C1"/>
    <w:rsid w:val="00802F70"/>
    <w:rsid w:val="008030AA"/>
    <w:rsid w:val="008067DF"/>
    <w:rsid w:val="00811175"/>
    <w:rsid w:val="00812B29"/>
    <w:rsid w:val="00813916"/>
    <w:rsid w:val="008145FC"/>
    <w:rsid w:val="00815B9D"/>
    <w:rsid w:val="00816C5D"/>
    <w:rsid w:val="0083383F"/>
    <w:rsid w:val="00834B38"/>
    <w:rsid w:val="00835AE2"/>
    <w:rsid w:val="008366D8"/>
    <w:rsid w:val="00844336"/>
    <w:rsid w:val="008465D6"/>
    <w:rsid w:val="008502F7"/>
    <w:rsid w:val="008524F1"/>
    <w:rsid w:val="00853D32"/>
    <w:rsid w:val="008557FA"/>
    <w:rsid w:val="00860E0F"/>
    <w:rsid w:val="008616CD"/>
    <w:rsid w:val="0086544C"/>
    <w:rsid w:val="008708C6"/>
    <w:rsid w:val="00877630"/>
    <w:rsid w:val="00880CCA"/>
    <w:rsid w:val="00885DAE"/>
    <w:rsid w:val="008862F7"/>
    <w:rsid w:val="00890555"/>
    <w:rsid w:val="00890C9E"/>
    <w:rsid w:val="00892F17"/>
    <w:rsid w:val="008A1E51"/>
    <w:rsid w:val="008A5A80"/>
    <w:rsid w:val="008B0FEB"/>
    <w:rsid w:val="008B34AC"/>
    <w:rsid w:val="008B6181"/>
    <w:rsid w:val="008B737A"/>
    <w:rsid w:val="008B7C61"/>
    <w:rsid w:val="008C05EE"/>
    <w:rsid w:val="008D012F"/>
    <w:rsid w:val="008D2D4E"/>
    <w:rsid w:val="008D6F8F"/>
    <w:rsid w:val="008D75AC"/>
    <w:rsid w:val="008E14C5"/>
    <w:rsid w:val="008E1BC5"/>
    <w:rsid w:val="008E5AB8"/>
    <w:rsid w:val="008E5B89"/>
    <w:rsid w:val="008E60BE"/>
    <w:rsid w:val="008F08E5"/>
    <w:rsid w:val="008F4D68"/>
    <w:rsid w:val="00902EB5"/>
    <w:rsid w:val="00903A9A"/>
    <w:rsid w:val="00906C2D"/>
    <w:rsid w:val="00907558"/>
    <w:rsid w:val="00911096"/>
    <w:rsid w:val="009152A2"/>
    <w:rsid w:val="00921232"/>
    <w:rsid w:val="00924427"/>
    <w:rsid w:val="00924436"/>
    <w:rsid w:val="00937A42"/>
    <w:rsid w:val="00942BFE"/>
    <w:rsid w:val="00943A88"/>
    <w:rsid w:val="00944CD9"/>
    <w:rsid w:val="00946978"/>
    <w:rsid w:val="0095061D"/>
    <w:rsid w:val="00950D27"/>
    <w:rsid w:val="00951110"/>
    <w:rsid w:val="009519BD"/>
    <w:rsid w:val="009618C8"/>
    <w:rsid w:val="0096269A"/>
    <w:rsid w:val="00962800"/>
    <w:rsid w:val="0096348C"/>
    <w:rsid w:val="0096358D"/>
    <w:rsid w:val="00963A4D"/>
    <w:rsid w:val="00966B40"/>
    <w:rsid w:val="00971890"/>
    <w:rsid w:val="00971D76"/>
    <w:rsid w:val="00973D8B"/>
    <w:rsid w:val="00976C1F"/>
    <w:rsid w:val="00982260"/>
    <w:rsid w:val="0098234B"/>
    <w:rsid w:val="00982BC2"/>
    <w:rsid w:val="00985298"/>
    <w:rsid w:val="00985875"/>
    <w:rsid w:val="0099207D"/>
    <w:rsid w:val="00992CD4"/>
    <w:rsid w:val="009937F7"/>
    <w:rsid w:val="00995900"/>
    <w:rsid w:val="009A2E17"/>
    <w:rsid w:val="009A3EEB"/>
    <w:rsid w:val="009A68FE"/>
    <w:rsid w:val="009A6A3C"/>
    <w:rsid w:val="009A6E27"/>
    <w:rsid w:val="009B0A01"/>
    <w:rsid w:val="009B13A1"/>
    <w:rsid w:val="009B3008"/>
    <w:rsid w:val="009B6CB5"/>
    <w:rsid w:val="009B75CD"/>
    <w:rsid w:val="009C1310"/>
    <w:rsid w:val="009C307C"/>
    <w:rsid w:val="009C3770"/>
    <w:rsid w:val="009C56EA"/>
    <w:rsid w:val="009D1085"/>
    <w:rsid w:val="009D276E"/>
    <w:rsid w:val="009D2BC5"/>
    <w:rsid w:val="009D3BD1"/>
    <w:rsid w:val="009E3284"/>
    <w:rsid w:val="009E3AC0"/>
    <w:rsid w:val="009E3C4A"/>
    <w:rsid w:val="009E7759"/>
    <w:rsid w:val="00A02042"/>
    <w:rsid w:val="00A025BF"/>
    <w:rsid w:val="00A03AEA"/>
    <w:rsid w:val="00A03D34"/>
    <w:rsid w:val="00A0519C"/>
    <w:rsid w:val="00A06191"/>
    <w:rsid w:val="00A10A0F"/>
    <w:rsid w:val="00A10D79"/>
    <w:rsid w:val="00A10F5E"/>
    <w:rsid w:val="00A11ED5"/>
    <w:rsid w:val="00A24ED8"/>
    <w:rsid w:val="00A257C5"/>
    <w:rsid w:val="00A314AA"/>
    <w:rsid w:val="00A32B11"/>
    <w:rsid w:val="00A33C2F"/>
    <w:rsid w:val="00A33FE3"/>
    <w:rsid w:val="00A35092"/>
    <w:rsid w:val="00A401A5"/>
    <w:rsid w:val="00A5280C"/>
    <w:rsid w:val="00A54FD1"/>
    <w:rsid w:val="00A5656D"/>
    <w:rsid w:val="00A569CA"/>
    <w:rsid w:val="00A57E60"/>
    <w:rsid w:val="00A61290"/>
    <w:rsid w:val="00A61C93"/>
    <w:rsid w:val="00A61CBD"/>
    <w:rsid w:val="00A649B8"/>
    <w:rsid w:val="00A70EA8"/>
    <w:rsid w:val="00A73F6F"/>
    <w:rsid w:val="00A744C3"/>
    <w:rsid w:val="00A769F0"/>
    <w:rsid w:val="00A823F9"/>
    <w:rsid w:val="00A8525A"/>
    <w:rsid w:val="00A928A7"/>
    <w:rsid w:val="00A92DD1"/>
    <w:rsid w:val="00A94074"/>
    <w:rsid w:val="00AA3419"/>
    <w:rsid w:val="00AA3E8B"/>
    <w:rsid w:val="00AA41CE"/>
    <w:rsid w:val="00AB2A4D"/>
    <w:rsid w:val="00AB460B"/>
    <w:rsid w:val="00AB4858"/>
    <w:rsid w:val="00AC404C"/>
    <w:rsid w:val="00AD105F"/>
    <w:rsid w:val="00AD2B17"/>
    <w:rsid w:val="00AD3F5C"/>
    <w:rsid w:val="00AD5FAD"/>
    <w:rsid w:val="00AD6647"/>
    <w:rsid w:val="00AD7E57"/>
    <w:rsid w:val="00AE39AD"/>
    <w:rsid w:val="00AE6609"/>
    <w:rsid w:val="00AE6E0B"/>
    <w:rsid w:val="00AF2BF0"/>
    <w:rsid w:val="00AF3CB7"/>
    <w:rsid w:val="00AF3DDD"/>
    <w:rsid w:val="00AF4134"/>
    <w:rsid w:val="00AF60A7"/>
    <w:rsid w:val="00B02CCB"/>
    <w:rsid w:val="00B05D7C"/>
    <w:rsid w:val="00B10892"/>
    <w:rsid w:val="00B1251F"/>
    <w:rsid w:val="00B14BC1"/>
    <w:rsid w:val="00B16790"/>
    <w:rsid w:val="00B22051"/>
    <w:rsid w:val="00B24139"/>
    <w:rsid w:val="00B25235"/>
    <w:rsid w:val="00B27A57"/>
    <w:rsid w:val="00B327BA"/>
    <w:rsid w:val="00B32DC7"/>
    <w:rsid w:val="00B361CC"/>
    <w:rsid w:val="00B40DDA"/>
    <w:rsid w:val="00B42E61"/>
    <w:rsid w:val="00B5365D"/>
    <w:rsid w:val="00B62814"/>
    <w:rsid w:val="00B62AA2"/>
    <w:rsid w:val="00B62ADD"/>
    <w:rsid w:val="00B63459"/>
    <w:rsid w:val="00B642A3"/>
    <w:rsid w:val="00B656FB"/>
    <w:rsid w:val="00B65CD7"/>
    <w:rsid w:val="00B66085"/>
    <w:rsid w:val="00B6646B"/>
    <w:rsid w:val="00B81F31"/>
    <w:rsid w:val="00B83F14"/>
    <w:rsid w:val="00B9203B"/>
    <w:rsid w:val="00B96D33"/>
    <w:rsid w:val="00BA38FB"/>
    <w:rsid w:val="00BA596F"/>
    <w:rsid w:val="00BA7269"/>
    <w:rsid w:val="00BB1303"/>
    <w:rsid w:val="00BB7105"/>
    <w:rsid w:val="00BB7E0D"/>
    <w:rsid w:val="00BC0110"/>
    <w:rsid w:val="00BC0668"/>
    <w:rsid w:val="00BC0EDA"/>
    <w:rsid w:val="00BD253C"/>
    <w:rsid w:val="00BD2A4C"/>
    <w:rsid w:val="00BD4382"/>
    <w:rsid w:val="00BD5D83"/>
    <w:rsid w:val="00BD7D25"/>
    <w:rsid w:val="00BE21C4"/>
    <w:rsid w:val="00BF768C"/>
    <w:rsid w:val="00C00CB4"/>
    <w:rsid w:val="00C03596"/>
    <w:rsid w:val="00C14520"/>
    <w:rsid w:val="00C210B3"/>
    <w:rsid w:val="00C249B2"/>
    <w:rsid w:val="00C26641"/>
    <w:rsid w:val="00C26E45"/>
    <w:rsid w:val="00C30EB3"/>
    <w:rsid w:val="00C357B4"/>
    <w:rsid w:val="00C37125"/>
    <w:rsid w:val="00C43C12"/>
    <w:rsid w:val="00C61546"/>
    <w:rsid w:val="00C62D4C"/>
    <w:rsid w:val="00C637D4"/>
    <w:rsid w:val="00C659B8"/>
    <w:rsid w:val="00C675CE"/>
    <w:rsid w:val="00C730EF"/>
    <w:rsid w:val="00C74837"/>
    <w:rsid w:val="00C7561C"/>
    <w:rsid w:val="00C85407"/>
    <w:rsid w:val="00C862CF"/>
    <w:rsid w:val="00C90C3B"/>
    <w:rsid w:val="00C917F3"/>
    <w:rsid w:val="00C93236"/>
    <w:rsid w:val="00C93E34"/>
    <w:rsid w:val="00CA00B2"/>
    <w:rsid w:val="00CA618B"/>
    <w:rsid w:val="00CA6B36"/>
    <w:rsid w:val="00CA6DD4"/>
    <w:rsid w:val="00CB002D"/>
    <w:rsid w:val="00CD0AC3"/>
    <w:rsid w:val="00CD2820"/>
    <w:rsid w:val="00CD424F"/>
    <w:rsid w:val="00CD49C4"/>
    <w:rsid w:val="00CD5689"/>
    <w:rsid w:val="00CD59E4"/>
    <w:rsid w:val="00CE0016"/>
    <w:rsid w:val="00CE200F"/>
    <w:rsid w:val="00CF2276"/>
    <w:rsid w:val="00CF4563"/>
    <w:rsid w:val="00CF4611"/>
    <w:rsid w:val="00D00386"/>
    <w:rsid w:val="00D00DF1"/>
    <w:rsid w:val="00D03AC8"/>
    <w:rsid w:val="00D0597A"/>
    <w:rsid w:val="00D078BC"/>
    <w:rsid w:val="00D12B40"/>
    <w:rsid w:val="00D13D09"/>
    <w:rsid w:val="00D2768E"/>
    <w:rsid w:val="00D326C7"/>
    <w:rsid w:val="00D36729"/>
    <w:rsid w:val="00D36EE0"/>
    <w:rsid w:val="00D37126"/>
    <w:rsid w:val="00D4281D"/>
    <w:rsid w:val="00D44BB6"/>
    <w:rsid w:val="00D46AA6"/>
    <w:rsid w:val="00D50411"/>
    <w:rsid w:val="00D51784"/>
    <w:rsid w:val="00D538B8"/>
    <w:rsid w:val="00D615B9"/>
    <w:rsid w:val="00D67DCA"/>
    <w:rsid w:val="00D711B5"/>
    <w:rsid w:val="00D75215"/>
    <w:rsid w:val="00D7770E"/>
    <w:rsid w:val="00D77805"/>
    <w:rsid w:val="00D80363"/>
    <w:rsid w:val="00D83123"/>
    <w:rsid w:val="00D84C9E"/>
    <w:rsid w:val="00D8714B"/>
    <w:rsid w:val="00D94175"/>
    <w:rsid w:val="00DA066D"/>
    <w:rsid w:val="00DA5156"/>
    <w:rsid w:val="00DA5A87"/>
    <w:rsid w:val="00DB0378"/>
    <w:rsid w:val="00DB123A"/>
    <w:rsid w:val="00DB7C77"/>
    <w:rsid w:val="00DC2075"/>
    <w:rsid w:val="00DC2D40"/>
    <w:rsid w:val="00DC40CE"/>
    <w:rsid w:val="00DD3014"/>
    <w:rsid w:val="00DD5844"/>
    <w:rsid w:val="00DD67F0"/>
    <w:rsid w:val="00DE54AF"/>
    <w:rsid w:val="00DE54DD"/>
    <w:rsid w:val="00DE5E6B"/>
    <w:rsid w:val="00DF10D2"/>
    <w:rsid w:val="00DF1362"/>
    <w:rsid w:val="00E02462"/>
    <w:rsid w:val="00E036C4"/>
    <w:rsid w:val="00E05CBD"/>
    <w:rsid w:val="00E065C3"/>
    <w:rsid w:val="00E102B9"/>
    <w:rsid w:val="00E15A27"/>
    <w:rsid w:val="00E22247"/>
    <w:rsid w:val="00E24574"/>
    <w:rsid w:val="00E2675F"/>
    <w:rsid w:val="00E306CB"/>
    <w:rsid w:val="00E332DE"/>
    <w:rsid w:val="00E3458A"/>
    <w:rsid w:val="00E3779D"/>
    <w:rsid w:val="00E40826"/>
    <w:rsid w:val="00E40B7F"/>
    <w:rsid w:val="00E41A2F"/>
    <w:rsid w:val="00E44B96"/>
    <w:rsid w:val="00E44BD5"/>
    <w:rsid w:val="00E64074"/>
    <w:rsid w:val="00E67EBA"/>
    <w:rsid w:val="00E71A65"/>
    <w:rsid w:val="00E742EA"/>
    <w:rsid w:val="00E75C43"/>
    <w:rsid w:val="00E75CC6"/>
    <w:rsid w:val="00E761A2"/>
    <w:rsid w:val="00E776F8"/>
    <w:rsid w:val="00E83814"/>
    <w:rsid w:val="00E8555C"/>
    <w:rsid w:val="00E855B4"/>
    <w:rsid w:val="00E855C8"/>
    <w:rsid w:val="00E916EA"/>
    <w:rsid w:val="00E935B5"/>
    <w:rsid w:val="00EA2288"/>
    <w:rsid w:val="00EB1AF4"/>
    <w:rsid w:val="00EC097B"/>
    <w:rsid w:val="00EC0ACE"/>
    <w:rsid w:val="00EC1B80"/>
    <w:rsid w:val="00EC3AB3"/>
    <w:rsid w:val="00ED11BF"/>
    <w:rsid w:val="00ED23A3"/>
    <w:rsid w:val="00ED2F65"/>
    <w:rsid w:val="00ED335D"/>
    <w:rsid w:val="00ED588F"/>
    <w:rsid w:val="00ED68C1"/>
    <w:rsid w:val="00EF09BA"/>
    <w:rsid w:val="00EF0EA5"/>
    <w:rsid w:val="00F03B32"/>
    <w:rsid w:val="00F05D79"/>
    <w:rsid w:val="00F100F1"/>
    <w:rsid w:val="00F12457"/>
    <w:rsid w:val="00F14195"/>
    <w:rsid w:val="00F21DEA"/>
    <w:rsid w:val="00F26A07"/>
    <w:rsid w:val="00F27916"/>
    <w:rsid w:val="00F27A44"/>
    <w:rsid w:val="00F27FB5"/>
    <w:rsid w:val="00F30E27"/>
    <w:rsid w:val="00F34838"/>
    <w:rsid w:val="00F37ACC"/>
    <w:rsid w:val="00F45BFD"/>
    <w:rsid w:val="00F478AA"/>
    <w:rsid w:val="00F6283B"/>
    <w:rsid w:val="00F6675C"/>
    <w:rsid w:val="00F675CB"/>
    <w:rsid w:val="00F70E11"/>
    <w:rsid w:val="00F71787"/>
    <w:rsid w:val="00F7604D"/>
    <w:rsid w:val="00F8102A"/>
    <w:rsid w:val="00F8376C"/>
    <w:rsid w:val="00F8547D"/>
    <w:rsid w:val="00F855D7"/>
    <w:rsid w:val="00F91659"/>
    <w:rsid w:val="00F91A34"/>
    <w:rsid w:val="00FA08AC"/>
    <w:rsid w:val="00FA0CAB"/>
    <w:rsid w:val="00FA365F"/>
    <w:rsid w:val="00FA4169"/>
    <w:rsid w:val="00FA5106"/>
    <w:rsid w:val="00FB2A0F"/>
    <w:rsid w:val="00FC0925"/>
    <w:rsid w:val="00FC1C61"/>
    <w:rsid w:val="00FC247D"/>
    <w:rsid w:val="00FC4753"/>
    <w:rsid w:val="00FC5B1B"/>
    <w:rsid w:val="00FD13A3"/>
    <w:rsid w:val="00FD7115"/>
    <w:rsid w:val="00FE0868"/>
    <w:rsid w:val="00FE0D25"/>
    <w:rsid w:val="00FE3E45"/>
    <w:rsid w:val="00FE7056"/>
    <w:rsid w:val="00FF01B7"/>
    <w:rsid w:val="00FF0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478"/>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rsid w:val="007929F8"/>
    <w:pPr>
      <w:tabs>
        <w:tab w:val="center" w:pos="4536"/>
        <w:tab w:val="right" w:pos="9072"/>
      </w:tabs>
    </w:pPr>
  </w:style>
  <w:style w:type="character" w:customStyle="1" w:styleId="SidhuvudChar">
    <w:name w:val="Sidhuvud Char"/>
    <w:basedOn w:val="Standardstycketeckensnitt"/>
    <w:link w:val="Sidhuvud"/>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5C768-AEE5-476A-B978-16613E7C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1799</Words>
  <Characters>11951</Characters>
  <Application>Microsoft Office Word</Application>
  <DocSecurity>4</DocSecurity>
  <Lines>1195</Lines>
  <Paragraphs>259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Anna Bolmström</cp:lastModifiedBy>
  <cp:revision>2</cp:revision>
  <cp:lastPrinted>2020-12-15T13:51:00Z</cp:lastPrinted>
  <dcterms:created xsi:type="dcterms:W3CDTF">2021-01-22T12:34:00Z</dcterms:created>
  <dcterms:modified xsi:type="dcterms:W3CDTF">2021-01-22T12:34:00Z</dcterms:modified>
</cp:coreProperties>
</file>