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5370B" w:rsidRPr="00C10E4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5370B" w:rsidRPr="00C10E4A" w:rsidRDefault="00B5370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5370B" w:rsidRPr="00C10E4A" w:rsidRDefault="00B5370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5370B" w:rsidRPr="00C10E4A" w:rsidRDefault="00B5370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10E4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5370B" w:rsidRPr="00C10E4A" w:rsidRDefault="00B5370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5370B" w:rsidRPr="00C10E4A" w:rsidRDefault="00B5370B">
            <w:pPr>
              <w:framePr w:w="4400" w:h="1644" w:wrap="notBeside" w:vAnchor="page" w:hAnchor="page" w:x="6573" w:y="721"/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5370B" w:rsidRPr="00C10E4A" w:rsidRDefault="00B5370B">
            <w:pPr>
              <w:framePr w:w="4400" w:h="1644" w:wrap="notBeside" w:vAnchor="page" w:hAnchor="page" w:x="6573" w:y="721"/>
            </w:pPr>
            <w:r w:rsidRPr="00C10E4A">
              <w:t>2007-01-31</w:t>
            </w:r>
          </w:p>
        </w:tc>
        <w:tc>
          <w:tcPr>
            <w:tcW w:w="2347" w:type="dxa"/>
            <w:gridSpan w:val="2"/>
          </w:tcPr>
          <w:p w:rsidR="00B5370B" w:rsidRPr="00C10E4A" w:rsidRDefault="00B5370B">
            <w:pPr>
              <w:framePr w:w="4400" w:h="1644" w:wrap="notBeside" w:vAnchor="page" w:hAnchor="page" w:x="6573" w:y="721"/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5370B" w:rsidRPr="00C10E4A" w:rsidRDefault="00B5370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5370B" w:rsidRPr="00C10E4A" w:rsidRDefault="00B5370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10E4A">
              <w:rPr>
                <w:b/>
                <w:i w:val="0"/>
                <w:sz w:val="22"/>
              </w:rPr>
              <w:t>Justitiedepartementet</w:t>
            </w: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10E4A">
              <w:rPr>
                <w:bCs/>
                <w:iCs/>
              </w:rPr>
              <w:t>Polisenheten</w:t>
            </w: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370B" w:rsidRPr="00C10E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5370B" w:rsidRPr="00C10E4A" w:rsidRDefault="00B537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5370B" w:rsidRPr="00C10E4A" w:rsidRDefault="00B5370B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10E4A">
        <w:t>Rådets möte (rättsliga och inrikes frågor) den 15 fe</w:t>
      </w:r>
      <w:r w:rsidRPr="00C10E4A">
        <w:t>b</w:t>
      </w:r>
      <w:r w:rsidRPr="00C10E4A">
        <w:t>ruari 2007</w:t>
      </w:r>
    </w:p>
    <w:p w:rsidR="003D4460" w:rsidRPr="00C10E4A" w:rsidRDefault="003D4460" w:rsidP="003D4460">
      <w:pPr>
        <w:pStyle w:val="RKnormal"/>
        <w:rPr>
          <w:b/>
        </w:rPr>
      </w:pPr>
    </w:p>
    <w:p w:rsidR="003D4460" w:rsidRPr="00C10E4A" w:rsidRDefault="00B5370B" w:rsidP="003D4460">
      <w:pPr>
        <w:pStyle w:val="RKnormal"/>
        <w:rPr>
          <w:b/>
        </w:rPr>
      </w:pPr>
      <w:r w:rsidRPr="00C10E4A">
        <w:rPr>
          <w:b/>
        </w:rPr>
        <w:t xml:space="preserve">3. Integreringen av Prümfördraget i EU:s rättsordning </w:t>
      </w:r>
    </w:p>
    <w:p w:rsidR="00B5370B" w:rsidRPr="00C10E4A" w:rsidRDefault="00B5370B" w:rsidP="003D4460">
      <w:pPr>
        <w:pStyle w:val="RKnormal"/>
        <w:rPr>
          <w:b/>
        </w:rPr>
      </w:pPr>
      <w:r w:rsidRPr="00C10E4A">
        <w:rPr>
          <w:b/>
        </w:rPr>
        <w:t>– Diskussion och b</w:t>
      </w:r>
      <w:r w:rsidRPr="00C10E4A">
        <w:rPr>
          <w:b/>
        </w:rPr>
        <w:t>e</w:t>
      </w:r>
      <w:r w:rsidRPr="00C10E4A">
        <w:rPr>
          <w:b/>
        </w:rPr>
        <w:t>slut om fortsatt arbete</w:t>
      </w:r>
    </w:p>
    <w:p w:rsidR="00B5370B" w:rsidRPr="00C10E4A" w:rsidRDefault="00B5370B">
      <w:pPr>
        <w:pStyle w:val="RKnormal"/>
      </w:pPr>
    </w:p>
    <w:p w:rsidR="00B5370B" w:rsidRPr="00C10E4A" w:rsidRDefault="00B5370B">
      <w:pPr>
        <w:pStyle w:val="RKnormal"/>
      </w:pPr>
      <w:r w:rsidRPr="00C10E4A">
        <w:t xml:space="preserve">Dokument: </w:t>
      </w:r>
    </w:p>
    <w:p w:rsidR="00B5370B" w:rsidRPr="00C10E4A" w:rsidRDefault="00B5370B">
      <w:pPr>
        <w:pStyle w:val="RKnormal"/>
      </w:pPr>
      <w:r w:rsidRPr="00C10E4A">
        <w:t>16382/06 CRIMORG 194 (Prümfördraget i svensk översättning)</w:t>
      </w:r>
      <w:r w:rsidR="00410F99" w:rsidRPr="00C10E4A">
        <w:t xml:space="preserve"> (bif</w:t>
      </w:r>
      <w:r w:rsidR="00410F99" w:rsidRPr="00C10E4A">
        <w:t>o</w:t>
      </w:r>
      <w:r w:rsidR="00410F99" w:rsidRPr="00C10E4A">
        <w:t>gas)</w:t>
      </w:r>
    </w:p>
    <w:p w:rsidR="00B5370B" w:rsidRPr="00C10E4A" w:rsidRDefault="00B5370B">
      <w:pPr>
        <w:pStyle w:val="RKnormal"/>
      </w:pPr>
      <w:r w:rsidRPr="00C10E4A">
        <w:t>xxxxx/07 ENFOPOL yy (Förslag till rådsbeslut, dokumentet blir fä</w:t>
      </w:r>
      <w:r w:rsidRPr="00C10E4A">
        <w:t>r</w:t>
      </w:r>
      <w:r w:rsidRPr="00C10E4A">
        <w:t>digt först inför COREPER den 7 fe</w:t>
      </w:r>
      <w:r w:rsidRPr="00C10E4A">
        <w:t>b</w:t>
      </w:r>
      <w:r w:rsidRPr="00C10E4A">
        <w:t>ruari)</w:t>
      </w:r>
    </w:p>
    <w:p w:rsidR="00B5370B" w:rsidRPr="00C10E4A" w:rsidRDefault="00B5370B">
      <w:pPr>
        <w:pStyle w:val="RKnormal"/>
      </w:pPr>
    </w:p>
    <w:p w:rsidR="00B5370B" w:rsidRPr="00C10E4A" w:rsidRDefault="00B5370B">
      <w:pPr>
        <w:pStyle w:val="RKnormal"/>
      </w:pPr>
      <w:r w:rsidRPr="00C10E4A">
        <w:t>Tidigare dokument: -</w:t>
      </w:r>
    </w:p>
    <w:p w:rsidR="00B5370B" w:rsidRPr="00C10E4A" w:rsidRDefault="00B5370B">
      <w:pPr>
        <w:pStyle w:val="RKnormal"/>
      </w:pPr>
    </w:p>
    <w:p w:rsidR="00B5370B" w:rsidRPr="00C10E4A" w:rsidRDefault="00B5370B">
      <w:pPr>
        <w:pStyle w:val="RKnormal"/>
      </w:pPr>
      <w:r w:rsidRPr="00C10E4A">
        <w:t>Tidigare behandlad vid samråd med EU-nämnden:</w:t>
      </w:r>
    </w:p>
    <w:p w:rsidR="00B5370B" w:rsidRPr="00C10E4A" w:rsidRDefault="00B5370B">
      <w:pPr>
        <w:pStyle w:val="RKnormal"/>
      </w:pPr>
      <w:r w:rsidRPr="00C10E4A">
        <w:rPr>
          <w:rFonts w:cs="OrigGarmnd BT"/>
          <w:color w:val="000000"/>
          <w:szCs w:val="24"/>
          <w:lang w:eastAsia="sv-SE"/>
        </w:rPr>
        <w:t>Information till EU-nämnden den 1 december 2006. Information har också lämnats till justitieutskottet den 10 november 2005, den 14 d</w:t>
      </w:r>
      <w:r w:rsidRPr="00C10E4A">
        <w:rPr>
          <w:rFonts w:cs="OrigGarmnd BT"/>
          <w:color w:val="000000"/>
          <w:szCs w:val="24"/>
          <w:lang w:eastAsia="sv-SE"/>
        </w:rPr>
        <w:t>e</w:t>
      </w:r>
      <w:r w:rsidRPr="00C10E4A">
        <w:rPr>
          <w:rFonts w:cs="OrigGarmnd BT"/>
          <w:color w:val="000000"/>
          <w:szCs w:val="24"/>
          <w:lang w:eastAsia="sv-SE"/>
        </w:rPr>
        <w:t>cember 2005, den 7 november 2006 samt den 11 januari 2007.</w:t>
      </w:r>
    </w:p>
    <w:p w:rsidR="00B5370B" w:rsidRPr="00C10E4A" w:rsidRDefault="00B5370B">
      <w:pPr>
        <w:pStyle w:val="RKrubrik"/>
      </w:pPr>
      <w:r w:rsidRPr="00C10E4A">
        <w:t>Bakgrund</w:t>
      </w:r>
    </w:p>
    <w:p w:rsidR="00B5370B" w:rsidRPr="00C10E4A" w:rsidRDefault="00B5370B">
      <w:pPr>
        <w:pStyle w:val="RKnormal"/>
      </w:pPr>
      <w:r w:rsidRPr="00C10E4A">
        <w:t>Den 27 maj 2005 ingick Belgien, Tyskland, Spanien, Frankrike, Luxe</w:t>
      </w:r>
      <w:r w:rsidRPr="00C10E4A">
        <w:t>m</w:t>
      </w:r>
      <w:r w:rsidRPr="00C10E4A">
        <w:t>burg, Nederländerna och Österrike ett fördrag om fördjupat gränsöve</w:t>
      </w:r>
      <w:r w:rsidRPr="00C10E4A">
        <w:t>r</w:t>
      </w:r>
      <w:r w:rsidRPr="00C10E4A">
        <w:t>skridande samarbete för bekämpning av terrorism, gränsöverskridande brottsli</w:t>
      </w:r>
      <w:r w:rsidRPr="00C10E4A">
        <w:t>g</w:t>
      </w:r>
      <w:r w:rsidRPr="00C10E4A">
        <w:t>het och olaglig migration. Fördraget undertecknades i den tyska staden Prüm. Fö</w:t>
      </w:r>
      <w:r w:rsidRPr="00C10E4A">
        <w:t>r</w:t>
      </w:r>
      <w:r w:rsidRPr="00C10E4A">
        <w:t>dragsstaternas uttalade målsättning är att utveckla i</w:t>
      </w:r>
      <w:r w:rsidRPr="00C10E4A">
        <w:t>n</w:t>
      </w:r>
      <w:r w:rsidRPr="00C10E4A">
        <w:t>formationsutbytet inom hela EU, framför allt avseende DNA, fingera</w:t>
      </w:r>
      <w:r w:rsidRPr="00C10E4A">
        <w:t>v</w:t>
      </w:r>
      <w:r w:rsidRPr="00C10E4A">
        <w:t>tryck och bilregisteruppgifter. Fördraget är öppet för alla EU:s me</w:t>
      </w:r>
      <w:r w:rsidRPr="00C10E4A">
        <w:t>d</w:t>
      </w:r>
      <w:r w:rsidRPr="00C10E4A">
        <w:t>lemsstater att tillträda. En uttrycklig strävan är också att omvandla fördragets bestämmelser till ett eller flera i</w:t>
      </w:r>
      <w:r w:rsidRPr="00C10E4A">
        <w:t>n</w:t>
      </w:r>
      <w:r w:rsidRPr="00C10E4A">
        <w:t>strument inom ramen för EU:s regelverk. Fördraget trädde i kraft i nove</w:t>
      </w:r>
      <w:r w:rsidRPr="00C10E4A">
        <w:t>m</w:t>
      </w:r>
      <w:r w:rsidRPr="00C10E4A">
        <w:t>ber 2006 mellan Österrike, Tyskland och Spanien. Sedan i maj 2005 har fö</w:t>
      </w:r>
      <w:r w:rsidRPr="00C10E4A">
        <w:t>r</w:t>
      </w:r>
      <w:r w:rsidRPr="00C10E4A">
        <w:t>utom de ursprungliga sju staterna också F</w:t>
      </w:r>
      <w:r w:rsidR="00387FE3" w:rsidRPr="00C10E4A">
        <w:t xml:space="preserve">inland, Portugal, Slovenien, </w:t>
      </w:r>
      <w:r w:rsidRPr="00C10E4A">
        <w:t>Italien</w:t>
      </w:r>
      <w:r w:rsidR="00387FE3" w:rsidRPr="00C10E4A">
        <w:t xml:space="preserve"> och Sverige</w:t>
      </w:r>
      <w:r w:rsidRPr="00C10E4A">
        <w:t xml:space="preserve"> tillträtt eller anmält intresse att göra det. </w:t>
      </w:r>
    </w:p>
    <w:p w:rsidR="00410F99" w:rsidRPr="00C10E4A" w:rsidRDefault="00B5370B">
      <w:pPr>
        <w:pStyle w:val="RKnormal"/>
      </w:pPr>
      <w:r w:rsidRPr="00C10E4A">
        <w:t>Tyskland har tillsammans med Portugal och Slovenien i ordförandeskap</w:t>
      </w:r>
      <w:r w:rsidRPr="00C10E4A">
        <w:t>s</w:t>
      </w:r>
      <w:r w:rsidRPr="00C10E4A">
        <w:t>trojkan för avsikt att arbeta för en inkorporering av Prümfördr</w:t>
      </w:r>
      <w:r w:rsidRPr="00C10E4A">
        <w:t>a</w:t>
      </w:r>
      <w:r w:rsidRPr="00C10E4A">
        <w:t>get i EU. Vid informella RIF-rådet i Dresden den 15-16 januari 2007 konstaterade det ty</w:t>
      </w:r>
      <w:r w:rsidRPr="00C10E4A">
        <w:t>s</w:t>
      </w:r>
      <w:r w:rsidRPr="00C10E4A">
        <w:t>ka ordförandeskapet att det fanns ett brett stöd för att i</w:t>
      </w:r>
      <w:r w:rsidRPr="00C10E4A">
        <w:t>n</w:t>
      </w:r>
      <w:r w:rsidRPr="00C10E4A">
        <w:t>korporera fördragets regler avseende tredjepelarfrågorna i EU. Vid Artikel 36-</w:t>
      </w:r>
      <w:r w:rsidRPr="00C10E4A">
        <w:lastRenderedPageBreak/>
        <w:t>kommittémötet den 25-26 januari 2007 diskuterades Prümfördragets artikel 27 (bistånd på beg</w:t>
      </w:r>
      <w:r w:rsidRPr="00C10E4A">
        <w:t>ä</w:t>
      </w:r>
      <w:r w:rsidRPr="00C10E4A">
        <w:t>ran i enlighet med artikel 39.1 i Schenge</w:t>
      </w:r>
      <w:r w:rsidRPr="00C10E4A">
        <w:t>n</w:t>
      </w:r>
      <w:r w:rsidRPr="00C10E4A">
        <w:t>fördraget) samt övriga delar av Prümfördraget, förutom kapitel 4 (fö</w:t>
      </w:r>
      <w:r w:rsidRPr="00C10E4A">
        <w:t>r</w:t>
      </w:r>
      <w:r w:rsidRPr="00C10E4A">
        <w:t xml:space="preserve">stapelarfrågorna) och artikel 17 om air marshalls. </w:t>
      </w:r>
    </w:p>
    <w:p w:rsidR="00410F99" w:rsidRPr="00C10E4A" w:rsidRDefault="00410F99">
      <w:pPr>
        <w:pStyle w:val="RKnormal"/>
      </w:pPr>
    </w:p>
    <w:p w:rsidR="00B5370B" w:rsidRPr="00C10E4A" w:rsidRDefault="00B5370B">
      <w:pPr>
        <w:pStyle w:val="RKnormal"/>
      </w:pPr>
      <w:r w:rsidRPr="00C10E4A">
        <w:t>Ordförandeskapet kommer tillsammans med kommissionen att utifrån me</w:t>
      </w:r>
      <w:r w:rsidRPr="00C10E4A">
        <w:t>d</w:t>
      </w:r>
      <w:r w:rsidRPr="00C10E4A">
        <w:t>lemsstaternas synpunkter utforma ett förslag om det fortsatta arb</w:t>
      </w:r>
      <w:r w:rsidRPr="00C10E4A">
        <w:t>e</w:t>
      </w:r>
      <w:r w:rsidRPr="00C10E4A">
        <w:t>tet som kommer att behandlas vid RIF-rådet den 15 februari. Troligen kommer då artikel 27 att ha lyfts bort. Vissa MS kommer troligen också att vilja plocka bort artikel 25 om gränsöverskridande ingripanden vid omede</w:t>
      </w:r>
      <w:r w:rsidRPr="00C10E4A">
        <w:t>l</w:t>
      </w:r>
      <w:r w:rsidRPr="00C10E4A">
        <w:t>bar fara.</w:t>
      </w:r>
    </w:p>
    <w:p w:rsidR="00B5370B" w:rsidRPr="00C10E4A" w:rsidRDefault="00B5370B">
      <w:pPr>
        <w:pStyle w:val="RKnormal"/>
        <w:rPr>
          <w:color w:val="000000"/>
        </w:rPr>
      </w:pPr>
    </w:p>
    <w:p w:rsidR="00B5370B" w:rsidRPr="00C10E4A" w:rsidRDefault="00B5370B">
      <w:pPr>
        <w:pStyle w:val="RKnormal"/>
      </w:pPr>
      <w:r w:rsidRPr="00C10E4A">
        <w:rPr>
          <w:color w:val="000000"/>
        </w:rPr>
        <w:t>Prümfördraget är ett utslag av att många medlemsstater inte är nöjda med takten i utvecklingen på tredje pelarens område. Samtliga ingredienser i fö</w:t>
      </w:r>
      <w:r w:rsidRPr="00C10E4A">
        <w:rPr>
          <w:color w:val="000000"/>
        </w:rPr>
        <w:t>r</w:t>
      </w:r>
      <w:r w:rsidRPr="00C10E4A">
        <w:rPr>
          <w:color w:val="000000"/>
        </w:rPr>
        <w:t>draget finns på olika sätt aktuella inom EU i form av främst punkter i Haag-programmet men även inom Schengensamarbetet. Prümfördraget benäm</w:t>
      </w:r>
      <w:r w:rsidRPr="00C10E4A">
        <w:rPr>
          <w:color w:val="000000"/>
        </w:rPr>
        <w:t>n</w:t>
      </w:r>
      <w:r w:rsidRPr="00C10E4A">
        <w:rPr>
          <w:color w:val="000000"/>
        </w:rPr>
        <w:t xml:space="preserve">des i inledningsskedet ”Schengen III” vilket mycket väl </w:t>
      </w:r>
      <w:r w:rsidR="00EA6D9C" w:rsidRPr="00C10E4A">
        <w:rPr>
          <w:color w:val="000000"/>
        </w:rPr>
        <w:t>betecknar vad det är fråga om; e</w:t>
      </w:r>
      <w:r w:rsidRPr="00C10E4A">
        <w:rPr>
          <w:color w:val="000000"/>
        </w:rPr>
        <w:t>tt antal medlemsstater vill driva på u</w:t>
      </w:r>
      <w:r w:rsidRPr="00C10E4A">
        <w:rPr>
          <w:color w:val="000000"/>
        </w:rPr>
        <w:t>t</w:t>
      </w:r>
      <w:r w:rsidRPr="00C10E4A">
        <w:rPr>
          <w:color w:val="000000"/>
        </w:rPr>
        <w:t>vecklingen och väljer att göra det i särskild ordning utanför unionens ram, i syfte att sedan införliva det färdiga resultatet med unionens rege</w:t>
      </w:r>
      <w:r w:rsidRPr="00C10E4A">
        <w:rPr>
          <w:color w:val="000000"/>
        </w:rPr>
        <w:t>l</w:t>
      </w:r>
      <w:r w:rsidRPr="00C10E4A">
        <w:rPr>
          <w:color w:val="000000"/>
        </w:rPr>
        <w:t>verk, precis som skedde med Schengenfördr</w:t>
      </w:r>
      <w:r w:rsidRPr="00C10E4A">
        <w:rPr>
          <w:color w:val="000000"/>
        </w:rPr>
        <w:t>a</w:t>
      </w:r>
      <w:r w:rsidRPr="00C10E4A">
        <w:rPr>
          <w:color w:val="000000"/>
        </w:rPr>
        <w:t>get.</w:t>
      </w:r>
    </w:p>
    <w:p w:rsidR="00B5370B" w:rsidRPr="00C10E4A" w:rsidRDefault="00B5370B">
      <w:pPr>
        <w:pStyle w:val="RKrubrik"/>
      </w:pPr>
      <w:r w:rsidRPr="00C10E4A">
        <w:t>Rättslig grund och beslutsförfarande</w:t>
      </w:r>
    </w:p>
    <w:p w:rsidR="00B5370B" w:rsidRPr="00C10E4A" w:rsidRDefault="00B5370B">
      <w:pPr>
        <w:pStyle w:val="RKnormal"/>
      </w:pPr>
      <w:r w:rsidRPr="00C10E4A">
        <w:t>Artikel 34, punkt 2 c) i FEU.</w:t>
      </w:r>
    </w:p>
    <w:p w:rsidR="00B5370B" w:rsidRPr="00C10E4A" w:rsidRDefault="00B5370B" w:rsidP="00AE18B8">
      <w:pPr>
        <w:pStyle w:val="RKrubrik"/>
        <w:rPr>
          <w:i/>
          <w:iCs/>
        </w:rPr>
      </w:pPr>
      <w:r w:rsidRPr="00C10E4A">
        <w:t>Svensk ståndpunkt</w:t>
      </w:r>
    </w:p>
    <w:p w:rsidR="00B5370B" w:rsidRPr="00C10E4A" w:rsidRDefault="00B5370B">
      <w:pPr>
        <w:rPr>
          <w:color w:val="000000"/>
        </w:rPr>
      </w:pPr>
      <w:r w:rsidRPr="00C10E4A">
        <w:rPr>
          <w:color w:val="000000"/>
        </w:rPr>
        <w:t>Från brottsbekämpande utgångspunkter finns fördelar med Prümfördr</w:t>
      </w:r>
      <w:r w:rsidRPr="00C10E4A">
        <w:rPr>
          <w:color w:val="000000"/>
        </w:rPr>
        <w:t>a</w:t>
      </w:r>
      <w:r w:rsidRPr="00C10E4A">
        <w:rPr>
          <w:color w:val="000000"/>
        </w:rPr>
        <w:t>gets regler. En snabbare och mer direkt tillgång till andra länders DNA-, finge</w:t>
      </w:r>
      <w:r w:rsidRPr="00C10E4A">
        <w:rPr>
          <w:color w:val="000000"/>
        </w:rPr>
        <w:t>r</w:t>
      </w:r>
      <w:r w:rsidRPr="00C10E4A">
        <w:rPr>
          <w:color w:val="000000"/>
        </w:rPr>
        <w:t>avtrycks- och fordonsinformation skulle innebära en påtaglig e</w:t>
      </w:r>
      <w:r w:rsidRPr="00C10E4A">
        <w:rPr>
          <w:color w:val="000000"/>
        </w:rPr>
        <w:t>f</w:t>
      </w:r>
      <w:r w:rsidRPr="00C10E4A">
        <w:rPr>
          <w:color w:val="000000"/>
        </w:rPr>
        <w:t>fektivisering av informationsutbytet och därmed av brottsbekämpnin</w:t>
      </w:r>
      <w:r w:rsidRPr="00C10E4A">
        <w:rPr>
          <w:color w:val="000000"/>
        </w:rPr>
        <w:t>g</w:t>
      </w:r>
      <w:r w:rsidRPr="00C10E4A">
        <w:rPr>
          <w:color w:val="000000"/>
        </w:rPr>
        <w:t>en.</w:t>
      </w:r>
    </w:p>
    <w:p w:rsidR="00B5370B" w:rsidRPr="00C10E4A" w:rsidRDefault="00B5370B">
      <w:pPr>
        <w:rPr>
          <w:color w:val="000000"/>
        </w:rPr>
      </w:pPr>
    </w:p>
    <w:p w:rsidR="00B5370B" w:rsidRPr="00C10E4A" w:rsidRDefault="00B5370B">
      <w:pPr>
        <w:rPr>
          <w:color w:val="000000"/>
        </w:rPr>
      </w:pPr>
      <w:bookmarkStart w:id="1" w:name="Text12"/>
      <w:r w:rsidRPr="00C10E4A">
        <w:rPr>
          <w:color w:val="000000"/>
        </w:rPr>
        <w:t>Sverige ser därför positivt på många av åtgärderna i Prümfördraget och är redo att inleda en dialog om tillträde till fördraget. Målsättnin</w:t>
      </w:r>
      <w:r w:rsidRPr="00C10E4A">
        <w:rPr>
          <w:color w:val="000000"/>
        </w:rPr>
        <w:t>g</w:t>
      </w:r>
      <w:r w:rsidRPr="00C10E4A">
        <w:rPr>
          <w:color w:val="000000"/>
        </w:rPr>
        <w:t>en måste dock vara att alla EU-medlemmar omfa</w:t>
      </w:r>
      <w:r w:rsidRPr="00C10E4A">
        <w:rPr>
          <w:color w:val="000000"/>
        </w:rPr>
        <w:t>t</w:t>
      </w:r>
      <w:r w:rsidRPr="00C10E4A">
        <w:rPr>
          <w:color w:val="000000"/>
        </w:rPr>
        <w:t>tas av samarbetet. Därför ställer Sverige sig positivt till förhandlingar för att hela eller delar av Prümfördr</w:t>
      </w:r>
      <w:r w:rsidRPr="00C10E4A">
        <w:rPr>
          <w:color w:val="000000"/>
        </w:rPr>
        <w:t>a</w:t>
      </w:r>
      <w:r w:rsidRPr="00C10E4A">
        <w:rPr>
          <w:color w:val="000000"/>
        </w:rPr>
        <w:t>get, med undantag av kapital fyra som berör migrationsfrågor, ska ku</w:t>
      </w:r>
      <w:r w:rsidRPr="00C10E4A">
        <w:rPr>
          <w:color w:val="000000"/>
        </w:rPr>
        <w:t>n</w:t>
      </w:r>
      <w:r w:rsidRPr="00C10E4A">
        <w:rPr>
          <w:color w:val="000000"/>
        </w:rPr>
        <w:t>na integreras i EU.</w:t>
      </w:r>
    </w:p>
    <w:bookmarkEnd w:id="1"/>
    <w:p w:rsidR="00B5370B" w:rsidRPr="00C10E4A" w:rsidRDefault="00B5370B">
      <w:pPr>
        <w:rPr>
          <w:color w:val="000000"/>
        </w:rPr>
      </w:pPr>
    </w:p>
    <w:p w:rsidR="00B5370B" w:rsidRPr="00C10E4A" w:rsidRDefault="00B5370B">
      <w:pPr>
        <w:rPr>
          <w:color w:val="000000"/>
        </w:rPr>
      </w:pPr>
      <w:r w:rsidRPr="00C10E4A">
        <w:rPr>
          <w:color w:val="000000"/>
        </w:rPr>
        <w:t>Sverige är sedan tidigare drivande i frågor om förbättrat informationsu</w:t>
      </w:r>
      <w:r w:rsidRPr="00C10E4A">
        <w:rPr>
          <w:color w:val="000000"/>
        </w:rPr>
        <w:t>t</w:t>
      </w:r>
      <w:r w:rsidRPr="00C10E4A">
        <w:rPr>
          <w:color w:val="000000"/>
        </w:rPr>
        <w:t xml:space="preserve">byte, vilket också är kärnan i Prümfördraget. </w:t>
      </w:r>
    </w:p>
    <w:p w:rsidR="00B5370B" w:rsidRPr="00C10E4A" w:rsidRDefault="00B5370B">
      <w:pPr>
        <w:rPr>
          <w:color w:val="000000"/>
        </w:rPr>
      </w:pPr>
    </w:p>
    <w:p w:rsidR="00B5370B" w:rsidRPr="00C10E4A" w:rsidRDefault="00B5370B">
      <w:pPr>
        <w:rPr>
          <w:color w:val="000000"/>
        </w:rPr>
      </w:pPr>
      <w:r w:rsidRPr="00C10E4A">
        <w:rPr>
          <w:color w:val="000000"/>
        </w:rPr>
        <w:t>Sverige har tidigare i andra sammanhang, tillsammans med major</w:t>
      </w:r>
      <w:r w:rsidRPr="00C10E4A">
        <w:rPr>
          <w:color w:val="000000"/>
        </w:rPr>
        <w:t>i</w:t>
      </w:r>
      <w:r w:rsidRPr="00C10E4A">
        <w:rPr>
          <w:color w:val="000000"/>
        </w:rPr>
        <w:t xml:space="preserve">teten av MS, uttalat sig för den sorts lösningar som Prümstaterna nu skapar för sitt informationsutbyte. </w:t>
      </w:r>
    </w:p>
    <w:p w:rsidR="00795966" w:rsidRPr="00C10E4A" w:rsidRDefault="00795966">
      <w:pPr>
        <w:rPr>
          <w:color w:val="000000"/>
        </w:rPr>
      </w:pPr>
    </w:p>
    <w:p w:rsidR="00B5370B" w:rsidRPr="00C10E4A" w:rsidRDefault="00B5370B">
      <w:pPr>
        <w:rPr>
          <w:color w:val="000000"/>
        </w:rPr>
      </w:pPr>
      <w:r w:rsidRPr="00C10E4A">
        <w:rPr>
          <w:color w:val="000000"/>
        </w:rPr>
        <w:t xml:space="preserve">Sverige har </w:t>
      </w:r>
      <w:r w:rsidR="00795966" w:rsidRPr="00C10E4A">
        <w:rPr>
          <w:color w:val="000000"/>
        </w:rPr>
        <w:t xml:space="preserve">också </w:t>
      </w:r>
      <w:r w:rsidRPr="00C10E4A">
        <w:rPr>
          <w:color w:val="000000"/>
        </w:rPr>
        <w:t>tidigare stött initiativ till förbättrat operativt gränssama</w:t>
      </w:r>
      <w:r w:rsidRPr="00C10E4A">
        <w:rPr>
          <w:color w:val="000000"/>
        </w:rPr>
        <w:t>r</w:t>
      </w:r>
      <w:r w:rsidRPr="00C10E4A">
        <w:rPr>
          <w:color w:val="000000"/>
        </w:rPr>
        <w:t>bete delvis motsvarande Prümfördragets reglering.</w:t>
      </w:r>
    </w:p>
    <w:p w:rsidR="00B5370B" w:rsidRPr="00C10E4A" w:rsidRDefault="00B5370B">
      <w:pPr>
        <w:pStyle w:val="RKrubrik"/>
      </w:pPr>
      <w:r w:rsidRPr="00C10E4A">
        <w:t>Europaparlamentets inställning</w:t>
      </w:r>
    </w:p>
    <w:p w:rsidR="00B5370B" w:rsidRPr="00C10E4A" w:rsidRDefault="00B5370B">
      <w:pPr>
        <w:pStyle w:val="RKnormal"/>
      </w:pPr>
      <w:r w:rsidRPr="00C10E4A">
        <w:t>Europaparlamentet har inte tagit ställning till förslaget.</w:t>
      </w:r>
    </w:p>
    <w:p w:rsidR="00B5370B" w:rsidRPr="00C10E4A" w:rsidRDefault="00B5370B">
      <w:pPr>
        <w:pStyle w:val="RKrubrik"/>
        <w:rPr>
          <w:i/>
          <w:iCs/>
        </w:rPr>
      </w:pPr>
      <w:r w:rsidRPr="00C10E4A">
        <w:rPr>
          <w:i/>
          <w:iCs/>
        </w:rPr>
        <w:t>Förslaget</w:t>
      </w:r>
    </w:p>
    <w:p w:rsidR="00B5370B" w:rsidRPr="00C10E4A" w:rsidRDefault="00B5370B">
      <w:pPr>
        <w:pStyle w:val="RKnormal"/>
      </w:pPr>
      <w:r w:rsidRPr="00C10E4A">
        <w:t>Beskrivningen refererar till Prümfördragets struktur och artikelnumr</w:t>
      </w:r>
      <w:r w:rsidRPr="00C10E4A">
        <w:t>e</w:t>
      </w:r>
      <w:r w:rsidRPr="00C10E4A">
        <w:t>ring, då inget förslag till rådsbeslut har distribuerats ännu.</w:t>
      </w:r>
    </w:p>
    <w:p w:rsidR="00B5370B" w:rsidRPr="00C10E4A" w:rsidRDefault="00B5370B">
      <w:pPr>
        <w:pStyle w:val="RKnormal"/>
      </w:pP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  <w:r w:rsidRPr="00C10E4A">
        <w:rPr>
          <w:rFonts w:ascii="Times New Roman" w:hAnsi="Times New Roman"/>
          <w:b/>
          <w:bCs/>
        </w:rPr>
        <w:t>Kapitel 1 – Allmän del</w:t>
      </w:r>
    </w:p>
    <w:p w:rsidR="00B5370B" w:rsidRPr="00C10E4A" w:rsidRDefault="00B5370B">
      <w:pPr>
        <w:pStyle w:val="RKnormal"/>
        <w:rPr>
          <w:rFonts w:ascii="Times New Roman" w:hAnsi="Times New Roman"/>
        </w:rPr>
      </w:pPr>
    </w:p>
    <w:p w:rsidR="00B5370B" w:rsidRPr="00C10E4A" w:rsidRDefault="00B5370B">
      <w:pPr>
        <w:pStyle w:val="RKnormal"/>
      </w:pPr>
      <w:r w:rsidRPr="00C10E4A">
        <w:t>I artikel 1 anges att fördragets syfte och mål är att fördjupa det gränsöve</w:t>
      </w:r>
      <w:r w:rsidRPr="00C10E4A">
        <w:t>r</w:t>
      </w:r>
      <w:r w:rsidRPr="00C10E4A">
        <w:t>skridande samarbetet, särskilt i fråga om utbyte av information.</w:t>
      </w:r>
    </w:p>
    <w:p w:rsidR="00B5370B" w:rsidRPr="00C10E4A" w:rsidRDefault="00B5370B">
      <w:pPr>
        <w:pStyle w:val="RKnormal"/>
        <w:rPr>
          <w:rFonts w:ascii="Times New Roman" w:hAnsi="Times New Roman"/>
        </w:rPr>
      </w:pP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  <w:r w:rsidRPr="00C10E4A">
        <w:rPr>
          <w:rFonts w:ascii="Times New Roman" w:hAnsi="Times New Roman"/>
          <w:b/>
          <w:bCs/>
        </w:rPr>
        <w:t>Kapitel 2 – DNA-profiler, fingeravtrycksuppgifter och övriga uppgi</w:t>
      </w:r>
      <w:r w:rsidRPr="00C10E4A">
        <w:rPr>
          <w:rFonts w:ascii="Times New Roman" w:hAnsi="Times New Roman"/>
          <w:b/>
          <w:bCs/>
        </w:rPr>
        <w:t>f</w:t>
      </w:r>
      <w:r w:rsidRPr="00C10E4A">
        <w:rPr>
          <w:rFonts w:ascii="Times New Roman" w:hAnsi="Times New Roman"/>
          <w:b/>
          <w:bCs/>
        </w:rPr>
        <w:t>ter</w:t>
      </w:r>
    </w:p>
    <w:p w:rsidR="00B5370B" w:rsidRPr="00C10E4A" w:rsidRDefault="00B5370B">
      <w:pPr>
        <w:spacing w:line="240" w:lineRule="atLeast"/>
        <w:rPr>
          <w:i/>
          <w:iCs/>
        </w:rPr>
      </w:pPr>
    </w:p>
    <w:p w:rsidR="00B5370B" w:rsidRPr="00C10E4A" w:rsidRDefault="00B5370B">
      <w:pPr>
        <w:spacing w:line="240" w:lineRule="atLeast"/>
        <w:rPr>
          <w:i/>
          <w:iCs/>
        </w:rPr>
      </w:pPr>
      <w:r w:rsidRPr="00C10E4A">
        <w:rPr>
          <w:i/>
          <w:iCs/>
        </w:rPr>
        <w:t>DNA</w:t>
      </w:r>
    </w:p>
    <w:p w:rsidR="00B5370B" w:rsidRPr="00C10E4A" w:rsidRDefault="00B5370B">
      <w:pPr>
        <w:spacing w:line="240" w:lineRule="atLeast"/>
      </w:pPr>
      <w:r w:rsidRPr="00C10E4A">
        <w:t>I artiklarna 2-6 behandlas inrättande av nationella register för DNA-analys i brottsutredningar, utseende av nationella kontaktpunkter samt automatiserad sökning efter och jämförelse av DNA profiler. Hanteringen skall ske i enli</w:t>
      </w:r>
      <w:r w:rsidRPr="00C10E4A">
        <w:t>g</w:t>
      </w:r>
      <w:r w:rsidRPr="00C10E4A">
        <w:t>het med nationell rätt.</w:t>
      </w:r>
    </w:p>
    <w:p w:rsidR="00B5370B" w:rsidRPr="00C10E4A" w:rsidRDefault="00B5370B"/>
    <w:p w:rsidR="00B5370B" w:rsidRPr="00C10E4A" w:rsidRDefault="00B5370B">
      <w:r w:rsidRPr="00C10E4A">
        <w:t>Enligt artikel 2 skall fördragsstaterna säkerställa att det i registren finns uppgifter för jämförelse tillgängliga. Sådana uppgifter får bara innehålla DNA profiler som grundar sig på den s.k. icke-kodade delen av DNA och en uppgift om referens, däremot inte uppgifter som kan härledas d</w:t>
      </w:r>
      <w:r w:rsidRPr="00C10E4A">
        <w:t>i</w:t>
      </w:r>
      <w:r w:rsidRPr="00C10E4A">
        <w:t>rekt till en person.</w:t>
      </w:r>
    </w:p>
    <w:p w:rsidR="00B5370B" w:rsidRPr="00C10E4A" w:rsidRDefault="00B5370B"/>
    <w:p w:rsidR="00B5370B" w:rsidRPr="00C10E4A" w:rsidRDefault="00B5370B">
      <w:r w:rsidRPr="00C10E4A">
        <w:t>Fördragsstaterna skall, enligt artiklarna 3 och 6, utse en nationell kontak</w:t>
      </w:r>
      <w:r w:rsidRPr="00C10E4A">
        <w:t>t</w:t>
      </w:r>
      <w:r w:rsidRPr="00C10E4A">
        <w:t>punkt som skall ha direkt tillgång till de andra parternas referensr</w:t>
      </w:r>
      <w:r w:rsidRPr="00C10E4A">
        <w:t>e</w:t>
      </w:r>
      <w:r w:rsidRPr="00C10E4A">
        <w:t>gister för DNA och kunna göra automatiserade sökningar för jämförelse av DNA-profiler. Fördragsstaterna skall också, enligt artikel 4, via sina kontaktpun</w:t>
      </w:r>
      <w:r w:rsidRPr="00C10E4A">
        <w:t>k</w:t>
      </w:r>
      <w:r w:rsidRPr="00C10E4A">
        <w:t>ter i automatiserad form jämföra sina ”öppna spår” med alla profiler i de andra staternas r</w:t>
      </w:r>
      <w:r w:rsidRPr="00C10E4A">
        <w:t>e</w:t>
      </w:r>
      <w:r w:rsidRPr="00C10E4A">
        <w:t xml:space="preserve">gister. </w:t>
      </w:r>
    </w:p>
    <w:p w:rsidR="00B5370B" w:rsidRPr="00C10E4A" w:rsidRDefault="00B5370B"/>
    <w:p w:rsidR="00B5370B" w:rsidRPr="00C10E4A" w:rsidRDefault="00B5370B">
      <w:r w:rsidRPr="00C10E4A">
        <w:t>Vid träff får den sökande staten ett meddelande åtföljt av referensuppgi</w:t>
      </w:r>
      <w:r w:rsidRPr="00C10E4A">
        <w:t>f</w:t>
      </w:r>
      <w:r w:rsidRPr="00C10E4A">
        <w:t>ter. Sökande stat gör därefter de jämförelser som krävs för att konstatera matc</w:t>
      </w:r>
      <w:r w:rsidRPr="00C10E4A">
        <w:t>h</w:t>
      </w:r>
      <w:r w:rsidRPr="00C10E4A">
        <w:t>ning. Bestämmelser om utlämnande av ytterligare uppgifter, såsom perso</w:t>
      </w:r>
      <w:r w:rsidRPr="00C10E4A">
        <w:t>n</w:t>
      </w:r>
      <w:r w:rsidRPr="00C10E4A">
        <w:t>uppgifter, som är kopplade till referensuppgifterna finns i artikel 5. Utlä</w:t>
      </w:r>
      <w:r w:rsidRPr="00C10E4A">
        <w:t>m</w:t>
      </w:r>
      <w:r w:rsidRPr="00C10E4A">
        <w:t>nandet sker enligt den tillfrågade statens lagstiftning och enligt samma rut</w:t>
      </w:r>
      <w:r w:rsidRPr="00C10E4A">
        <w:t>i</w:t>
      </w:r>
      <w:r w:rsidRPr="00C10E4A">
        <w:t>ner som gäller idag.</w:t>
      </w:r>
    </w:p>
    <w:p w:rsidR="00B5370B" w:rsidRPr="00C10E4A" w:rsidRDefault="00B5370B"/>
    <w:p w:rsidR="00B5370B" w:rsidRPr="00C10E4A" w:rsidRDefault="00B5370B">
      <w:r w:rsidRPr="00C10E4A">
        <w:t>I artikel 7 finns bestämmelser om rättslig hjälp med insamling och unde</w:t>
      </w:r>
      <w:r w:rsidRPr="00C10E4A">
        <w:t>r</w:t>
      </w:r>
      <w:r w:rsidRPr="00C10E4A">
        <w:t>sökning av cellmaterial från personer som förekommer i brottsutre</w:t>
      </w:r>
      <w:r w:rsidRPr="00C10E4A">
        <w:t>d</w:t>
      </w:r>
      <w:r w:rsidRPr="00C10E4A">
        <w:t>ningar under vissa specificerade förutsättningar.</w:t>
      </w:r>
    </w:p>
    <w:p w:rsidR="00B5370B" w:rsidRPr="00C10E4A" w:rsidRDefault="00B5370B"/>
    <w:p w:rsidR="00B5370B" w:rsidRPr="00C10E4A" w:rsidRDefault="00B5370B">
      <w:pPr>
        <w:rPr>
          <w:i/>
          <w:iCs/>
        </w:rPr>
      </w:pPr>
      <w:r w:rsidRPr="00C10E4A">
        <w:rPr>
          <w:i/>
          <w:iCs/>
        </w:rPr>
        <w:t>Fingeravtryck</w:t>
      </w:r>
    </w:p>
    <w:p w:rsidR="00B5370B" w:rsidRPr="00C10E4A" w:rsidRDefault="00B5370B">
      <w:r w:rsidRPr="00C10E4A">
        <w:t>Artiklarna 8-11 innehåller bestämmelser om uppgifter hänförliga till r</w:t>
      </w:r>
      <w:r w:rsidRPr="00C10E4A">
        <w:t>e</w:t>
      </w:r>
      <w:r w:rsidRPr="00C10E4A">
        <w:t>gister för fingeravtryck i brottsutredningar, automatiserad sökning i s</w:t>
      </w:r>
      <w:r w:rsidRPr="00C10E4A">
        <w:t>å</w:t>
      </w:r>
      <w:r w:rsidRPr="00C10E4A">
        <w:t>dana register samt utseende av nationella kontaktpunkter för hantering av uppgifterna. Hanteringen skall ske i enlighet med nationell rätt.</w:t>
      </w:r>
    </w:p>
    <w:p w:rsidR="00B5370B" w:rsidRPr="00C10E4A" w:rsidRDefault="00B5370B"/>
    <w:p w:rsidR="00B5370B" w:rsidRPr="00C10E4A" w:rsidRDefault="00B5370B">
      <w:r w:rsidRPr="00C10E4A">
        <w:t>Enligt artikel 8 skall fördragsstaterna säkerställa att det i registren för ident</w:t>
      </w:r>
      <w:r w:rsidRPr="00C10E4A">
        <w:t>i</w:t>
      </w:r>
      <w:r w:rsidRPr="00C10E4A">
        <w:t>fiering av fingeravtryck finns uppgifter för jämförelse tillgängliga. Sådana uppgifter får bara innehålla fingeravtryck och en referen</w:t>
      </w:r>
      <w:r w:rsidRPr="00C10E4A">
        <w:t>s</w:t>
      </w:r>
      <w:r w:rsidRPr="00C10E4A">
        <w:t>uppgift och alltså inte uppgifter som kan härledas direkt till en person. Om up</w:t>
      </w:r>
      <w:r w:rsidRPr="00C10E4A">
        <w:t>p</w:t>
      </w:r>
      <w:r w:rsidRPr="00C10E4A">
        <w:t>giften inte går att härleda till en individ, skall detta framgå av registret.</w:t>
      </w:r>
    </w:p>
    <w:p w:rsidR="00B5370B" w:rsidRPr="00C10E4A" w:rsidRDefault="00B5370B"/>
    <w:p w:rsidR="00B5370B" w:rsidRPr="00C10E4A" w:rsidRDefault="00B5370B">
      <w:r w:rsidRPr="00C10E4A">
        <w:t>Fördragsstaterna skall, enligt artiklarna 9 och 11, utse en nationell kontak</w:t>
      </w:r>
      <w:r w:rsidRPr="00C10E4A">
        <w:t>t</w:t>
      </w:r>
      <w:r w:rsidRPr="00C10E4A">
        <w:t>punkt som skall ha direkt tillgång till de andra fördragsstaternas referensr</w:t>
      </w:r>
      <w:r w:rsidRPr="00C10E4A">
        <w:t>e</w:t>
      </w:r>
      <w:r w:rsidRPr="00C10E4A">
        <w:t>gister för fingeravtryck och kunna göra automatiserade sökningar för jämf</w:t>
      </w:r>
      <w:r w:rsidRPr="00C10E4A">
        <w:t>ö</w:t>
      </w:r>
      <w:r w:rsidRPr="00C10E4A">
        <w:t>relse enligt samma förfarande som för DNA.</w:t>
      </w:r>
    </w:p>
    <w:p w:rsidR="00B5370B" w:rsidRPr="00C10E4A" w:rsidRDefault="00B5370B"/>
    <w:p w:rsidR="00B5370B" w:rsidRPr="00C10E4A" w:rsidRDefault="00B5370B">
      <w:pPr>
        <w:rPr>
          <w:i/>
          <w:iCs/>
        </w:rPr>
      </w:pPr>
      <w:r w:rsidRPr="00C10E4A">
        <w:rPr>
          <w:i/>
          <w:iCs/>
        </w:rPr>
        <w:t>Automatiserad sökning av uppgifter om fordonsregistrering</w:t>
      </w:r>
    </w:p>
    <w:p w:rsidR="00B5370B" w:rsidRPr="00C10E4A" w:rsidRDefault="00B5370B">
      <w:r w:rsidRPr="00C10E4A">
        <w:t>I artikel 12 behandlas automatiserad sökning i register med uppgifter om fordon som förekommer i brottsutredningar m.m. och utseende av n</w:t>
      </w:r>
      <w:r w:rsidRPr="00C10E4A">
        <w:t>a</w:t>
      </w:r>
      <w:r w:rsidRPr="00C10E4A">
        <w:t>tionella kontaktpunkter, som i särskilda fall skall ta emot förfrågningar och ha til</w:t>
      </w:r>
      <w:r w:rsidRPr="00C10E4A">
        <w:t>l</w:t>
      </w:r>
      <w:r w:rsidRPr="00C10E4A">
        <w:t>gång till register med uppgifter om ägare och brukare av fo</w:t>
      </w:r>
      <w:r w:rsidRPr="00C10E4A">
        <w:t>r</w:t>
      </w:r>
      <w:r w:rsidRPr="00C10E4A">
        <w:t>donet samt om fordonet.</w:t>
      </w:r>
    </w:p>
    <w:p w:rsidR="00B5370B" w:rsidRPr="00C10E4A" w:rsidRDefault="00B5370B"/>
    <w:p w:rsidR="00B5370B" w:rsidRPr="00C10E4A" w:rsidRDefault="00B5370B">
      <w:r w:rsidRPr="00C10E4A">
        <w:rPr>
          <w:i/>
          <w:iCs/>
        </w:rPr>
        <w:t xml:space="preserve">Andra uppgifter </w:t>
      </w:r>
      <w:r w:rsidRPr="00C10E4A">
        <w:t xml:space="preserve"> </w:t>
      </w:r>
    </w:p>
    <w:p w:rsidR="00B5370B" w:rsidRPr="00C10E4A" w:rsidRDefault="00B5370B">
      <w:r w:rsidRPr="00C10E4A">
        <w:t>För att förhindra brott och för att säkerställa allmän ordning och säke</w:t>
      </w:r>
      <w:r w:rsidRPr="00C10E4A">
        <w:t>r</w:t>
      </w:r>
      <w:r w:rsidRPr="00C10E4A">
        <w:t>het, särskilt i samband med stora sportevenemang och Europeiska rådets möten, skall fördragsstaterna enligt artikel 13-15 genom särskilt utsedda kontak</w:t>
      </w:r>
      <w:r w:rsidRPr="00C10E4A">
        <w:t>t</w:t>
      </w:r>
      <w:r w:rsidRPr="00C10E4A">
        <w:t>punkter förse varandra med uppgifter av icke personlig natur och, under vi</w:t>
      </w:r>
      <w:r w:rsidRPr="00C10E4A">
        <w:t>s</w:t>
      </w:r>
      <w:r w:rsidRPr="00C10E4A">
        <w:t>sa förutsättningar, av personlig natur.</w:t>
      </w: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</w:p>
    <w:p w:rsidR="009F0308" w:rsidRPr="00C10E4A" w:rsidRDefault="009F0308">
      <w:pPr>
        <w:pStyle w:val="RKnormal"/>
        <w:rPr>
          <w:rFonts w:ascii="Times New Roman" w:hAnsi="Times New Roman"/>
          <w:b/>
          <w:bCs/>
        </w:rPr>
      </w:pP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  <w:r w:rsidRPr="00C10E4A">
        <w:rPr>
          <w:rFonts w:ascii="Times New Roman" w:hAnsi="Times New Roman"/>
          <w:b/>
          <w:bCs/>
        </w:rPr>
        <w:t>Kapitel 3 – Åtgärder för bekämpning av terroristbrott</w:t>
      </w:r>
    </w:p>
    <w:p w:rsidR="00B5370B" w:rsidRPr="00C10E4A" w:rsidRDefault="00B5370B">
      <w:pPr>
        <w:pStyle w:val="RKnormal"/>
        <w:rPr>
          <w:rFonts w:ascii="Times New Roman" w:hAnsi="Times New Roman"/>
        </w:rPr>
      </w:pPr>
    </w:p>
    <w:p w:rsidR="00B5370B" w:rsidRPr="00C10E4A" w:rsidRDefault="00B5370B">
      <w:pPr>
        <w:rPr>
          <w:i/>
        </w:rPr>
      </w:pPr>
      <w:r w:rsidRPr="00C10E4A">
        <w:rPr>
          <w:i/>
        </w:rPr>
        <w:t xml:space="preserve">Terroristbrott </w:t>
      </w:r>
    </w:p>
    <w:p w:rsidR="00B5370B" w:rsidRPr="00C10E4A" w:rsidRDefault="00B5370B">
      <w:r w:rsidRPr="00C10E4A">
        <w:t>Artikel 16 anger att en fördragsstat, i enlighet med nationell rätt, i e</w:t>
      </w:r>
      <w:r w:rsidRPr="00C10E4A">
        <w:t>n</w:t>
      </w:r>
      <w:r w:rsidRPr="00C10E4A">
        <w:t>skilda fall och utan att vara anmodad, kan lämna personuppgifter om det finns a</w:t>
      </w:r>
      <w:r w:rsidRPr="00C10E4A">
        <w:t>n</w:t>
      </w:r>
      <w:r w:rsidRPr="00C10E4A">
        <w:t>ledning att tro att datasubjektet kan komma att begå terroris</w:t>
      </w:r>
      <w:r w:rsidRPr="00C10E4A">
        <w:t>t</w:t>
      </w:r>
      <w:r w:rsidRPr="00C10E4A">
        <w:t>brott såsom det defini</w:t>
      </w:r>
      <w:r w:rsidR="00795D13" w:rsidRPr="00C10E4A">
        <w:t>eras i EU:s rambeslut om bekämpande av terr</w:t>
      </w:r>
      <w:r w:rsidR="00795D13" w:rsidRPr="00C10E4A">
        <w:t>o</w:t>
      </w:r>
      <w:r w:rsidR="00795D13" w:rsidRPr="00C10E4A">
        <w:t>rism.</w:t>
      </w:r>
    </w:p>
    <w:p w:rsidR="00B5370B" w:rsidRPr="00C10E4A" w:rsidRDefault="00B5370B"/>
    <w:p w:rsidR="00B5370B" w:rsidRPr="00C10E4A" w:rsidRDefault="00B5370B">
      <w:pPr>
        <w:rPr>
          <w:i/>
        </w:rPr>
      </w:pPr>
      <w:r w:rsidRPr="00C10E4A">
        <w:rPr>
          <w:i/>
        </w:rPr>
        <w:t>Air marshalls</w:t>
      </w:r>
    </w:p>
    <w:p w:rsidR="00B5370B" w:rsidRPr="00C10E4A" w:rsidRDefault="00B5370B">
      <w:r w:rsidRPr="00C10E4A">
        <w:t>Artikel 17-19 i Prümfördraget kommer inte att ingå i förslaget till rådsb</w:t>
      </w:r>
      <w:r w:rsidRPr="00C10E4A">
        <w:t>e</w:t>
      </w:r>
      <w:r w:rsidRPr="00C10E4A">
        <w:t xml:space="preserve">slut. </w:t>
      </w:r>
    </w:p>
    <w:p w:rsidR="00B5370B" w:rsidRPr="00C10E4A" w:rsidRDefault="00B5370B">
      <w:pPr>
        <w:pStyle w:val="RKnormal"/>
        <w:rPr>
          <w:rFonts w:ascii="Times New Roman" w:hAnsi="Times New Roman"/>
        </w:rPr>
      </w:pP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  <w:r w:rsidRPr="00C10E4A">
        <w:rPr>
          <w:rFonts w:ascii="Times New Roman" w:hAnsi="Times New Roman"/>
          <w:b/>
          <w:bCs/>
        </w:rPr>
        <w:t>Kapitel 4 – Åtgärder för bekämpning av olaglig migration</w:t>
      </w: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</w:p>
    <w:p w:rsidR="00B5370B" w:rsidRPr="00C10E4A" w:rsidRDefault="00B5370B">
      <w:pPr>
        <w:pStyle w:val="RKnormal"/>
        <w:rPr>
          <w:rFonts w:ascii="Times New Roman" w:hAnsi="Times New Roman"/>
        </w:rPr>
      </w:pPr>
      <w:r w:rsidRPr="00C10E4A">
        <w:rPr>
          <w:rFonts w:ascii="Times New Roman" w:hAnsi="Times New Roman"/>
        </w:rPr>
        <w:t xml:space="preserve">Kapitel 4 </w:t>
      </w:r>
      <w:r w:rsidRPr="00C10E4A">
        <w:t xml:space="preserve">i Prümfördraget </w:t>
      </w:r>
      <w:r w:rsidRPr="00C10E4A">
        <w:rPr>
          <w:rFonts w:ascii="Times New Roman" w:hAnsi="Times New Roman"/>
        </w:rPr>
        <w:t>kommer inte att ingå i förslaget till rådsbeslut.</w:t>
      </w:r>
    </w:p>
    <w:p w:rsidR="00B5370B" w:rsidRPr="00C10E4A" w:rsidRDefault="00B5370B">
      <w:pPr>
        <w:pStyle w:val="RKnormal"/>
        <w:rPr>
          <w:rFonts w:ascii="Times New Roman" w:hAnsi="Times New Roman"/>
        </w:rPr>
      </w:pP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  <w:r w:rsidRPr="00C10E4A">
        <w:rPr>
          <w:rFonts w:ascii="Times New Roman" w:hAnsi="Times New Roman"/>
          <w:b/>
          <w:bCs/>
        </w:rPr>
        <w:t>Kapitel 5 – Övriga samarbetsformer</w:t>
      </w:r>
    </w:p>
    <w:p w:rsidR="00B5370B" w:rsidRPr="00C10E4A" w:rsidRDefault="00B5370B">
      <w:pPr>
        <w:pStyle w:val="RKnormal"/>
        <w:rPr>
          <w:rFonts w:ascii="Times New Roman" w:hAnsi="Times New Roman"/>
        </w:rPr>
      </w:pPr>
    </w:p>
    <w:p w:rsidR="00B5370B" w:rsidRPr="00C10E4A" w:rsidRDefault="00B5370B">
      <w:pPr>
        <w:rPr>
          <w:i/>
          <w:iCs/>
        </w:rPr>
      </w:pPr>
      <w:r w:rsidRPr="00C10E4A">
        <w:rPr>
          <w:i/>
          <w:iCs/>
        </w:rPr>
        <w:t>Gemensamma operationer och åtgärder i samband med överhängande fara</w:t>
      </w:r>
    </w:p>
    <w:p w:rsidR="00B5370B" w:rsidRPr="00C10E4A" w:rsidRDefault="00B5370B">
      <w:r w:rsidRPr="00C10E4A">
        <w:t>I detta kapitel behandlas en helt ny form av gränsöverskridande polissama</w:t>
      </w:r>
      <w:r w:rsidRPr="00C10E4A">
        <w:t>r</w:t>
      </w:r>
      <w:r w:rsidRPr="00C10E4A">
        <w:t>bete; gemensamma patruller och andra gemensamma operationer där fö</w:t>
      </w:r>
      <w:r w:rsidRPr="00C10E4A">
        <w:t>r</w:t>
      </w:r>
      <w:r w:rsidRPr="00C10E4A">
        <w:t>dragsstaters tjänstemän tillåts arbeta i andra fördragsstater. Vär</w:t>
      </w:r>
      <w:r w:rsidRPr="00C10E4A">
        <w:t>d</w:t>
      </w:r>
      <w:r w:rsidRPr="00C10E4A">
        <w:t>landet kan, enligt artikel 24, tilldela tjänstemän från andra fördragsstater oinskränkt b</w:t>
      </w:r>
      <w:r w:rsidRPr="00C10E4A">
        <w:t>e</w:t>
      </w:r>
      <w:r w:rsidRPr="00C10E4A">
        <w:t>fogenhet i enlighet med antingen värdlandets eller det sekonderande la</w:t>
      </w:r>
      <w:r w:rsidRPr="00C10E4A">
        <w:t>n</w:t>
      </w:r>
      <w:r w:rsidRPr="00C10E4A">
        <w:t>dets rätt. Utövandet av sådan befogenhet skall ske under vägledning av och, som huvudregel, i närvaro av tjänstemän från värdla</w:t>
      </w:r>
      <w:r w:rsidRPr="00C10E4A">
        <w:t>n</w:t>
      </w:r>
      <w:r w:rsidRPr="00C10E4A">
        <w:t>det.</w:t>
      </w:r>
    </w:p>
    <w:p w:rsidR="00B5370B" w:rsidRPr="00C10E4A" w:rsidRDefault="00B5370B"/>
    <w:p w:rsidR="00B5370B" w:rsidRPr="00C10E4A" w:rsidRDefault="00B5370B">
      <w:r w:rsidRPr="00C10E4A">
        <w:t>Enligt artikel 25 kan tjänstemän från en annan fördragsstat, utan föreg</w:t>
      </w:r>
      <w:r w:rsidRPr="00C10E4A">
        <w:t>å</w:t>
      </w:r>
      <w:r w:rsidRPr="00C10E4A">
        <w:t>ende tillstånd, i brådskande fall överskrida landgränsen och vidta åtgärder i grä</w:t>
      </w:r>
      <w:r w:rsidRPr="00C10E4A">
        <w:t>n</w:t>
      </w:r>
      <w:r w:rsidRPr="00C10E4A">
        <w:t>sens närhet i en annan fördragsstat för att avvärja överhängande fara för pe</w:t>
      </w:r>
      <w:r w:rsidRPr="00C10E4A">
        <w:t>r</w:t>
      </w:r>
      <w:r w:rsidRPr="00C10E4A">
        <w:t>soner. Värdlandet skall underrättas utan dröjsmål och utan dröjsmål vidta åtgärder och ta befäl över operationen.</w:t>
      </w:r>
    </w:p>
    <w:p w:rsidR="00B5370B" w:rsidRPr="00C10E4A" w:rsidRDefault="00B5370B"/>
    <w:p w:rsidR="00B5370B" w:rsidRPr="00C10E4A" w:rsidRDefault="00B5370B">
      <w:pPr>
        <w:rPr>
          <w:i/>
          <w:iCs/>
        </w:rPr>
      </w:pPr>
      <w:r w:rsidRPr="00C10E4A">
        <w:rPr>
          <w:i/>
          <w:iCs/>
        </w:rPr>
        <w:t>Bistånd i samband med större händelser, katastrofer och allvarliga olyckor</w:t>
      </w:r>
    </w:p>
    <w:p w:rsidR="00B5370B" w:rsidRPr="00C10E4A" w:rsidRDefault="00B5370B">
      <w:r w:rsidRPr="00C10E4A">
        <w:t>Av artikel 26 följer att fördragsstaterna ömsesidigt skall bistå va</w:t>
      </w:r>
      <w:r w:rsidRPr="00C10E4A">
        <w:t>r</w:t>
      </w:r>
      <w:r w:rsidRPr="00C10E4A">
        <w:t>andra på olika sätt vid stora sammankomster och liknande större händelser. S</w:t>
      </w:r>
      <w:r w:rsidRPr="00C10E4A">
        <w:t>å</w:t>
      </w:r>
      <w:r w:rsidRPr="00C10E4A">
        <w:t>dant bistånd skall inte påverka internationella överenskommelser som fördrag</w:t>
      </w:r>
      <w:r w:rsidRPr="00C10E4A">
        <w:t>s</w:t>
      </w:r>
      <w:r w:rsidRPr="00C10E4A">
        <w:t>staterna har ingått.</w:t>
      </w:r>
    </w:p>
    <w:p w:rsidR="00B5370B" w:rsidRPr="00C10E4A" w:rsidRDefault="00B5370B"/>
    <w:p w:rsidR="00B5370B" w:rsidRPr="00C10E4A" w:rsidRDefault="00B5370B">
      <w:pPr>
        <w:rPr>
          <w:i/>
          <w:iCs/>
        </w:rPr>
      </w:pPr>
      <w:r w:rsidRPr="00C10E4A">
        <w:rPr>
          <w:i/>
          <w:iCs/>
        </w:rPr>
        <w:t>Samarbete på begäran</w:t>
      </w:r>
    </w:p>
    <w:p w:rsidR="00B5370B" w:rsidRPr="00C10E4A" w:rsidRDefault="00B5370B">
      <w:pPr>
        <w:rPr>
          <w:rFonts w:ascii="Times New Roman" w:hAnsi="Times New Roman"/>
        </w:rPr>
      </w:pPr>
      <w:r w:rsidRPr="00C10E4A">
        <w:t xml:space="preserve">Artikel 27 i Prümfördraget </w:t>
      </w:r>
      <w:r w:rsidRPr="00C10E4A">
        <w:rPr>
          <w:rFonts w:ascii="Times New Roman" w:hAnsi="Times New Roman"/>
        </w:rPr>
        <w:t>kommer inte att ingå i förslaget till rådsb</w:t>
      </w:r>
      <w:r w:rsidRPr="00C10E4A">
        <w:rPr>
          <w:rFonts w:ascii="Times New Roman" w:hAnsi="Times New Roman"/>
        </w:rPr>
        <w:t>e</w:t>
      </w:r>
      <w:r w:rsidRPr="00C10E4A">
        <w:rPr>
          <w:rFonts w:ascii="Times New Roman" w:hAnsi="Times New Roman"/>
        </w:rPr>
        <w:t>slut.</w:t>
      </w:r>
    </w:p>
    <w:p w:rsidR="009F0308" w:rsidRPr="00C10E4A" w:rsidRDefault="009F0308"/>
    <w:p w:rsidR="00B5370B" w:rsidRPr="00C10E4A" w:rsidRDefault="00B5370B">
      <w:pPr>
        <w:rPr>
          <w:b/>
          <w:bCs/>
        </w:rPr>
      </w:pPr>
      <w:r w:rsidRPr="00C10E4A">
        <w:rPr>
          <w:b/>
          <w:bCs/>
        </w:rPr>
        <w:t>Kapitel 6 – Allmänna bestämmelser</w:t>
      </w:r>
    </w:p>
    <w:p w:rsidR="00B5370B" w:rsidRPr="00C10E4A" w:rsidRDefault="00B5370B"/>
    <w:p w:rsidR="00B5370B" w:rsidRPr="00C10E4A" w:rsidRDefault="00B5370B">
      <w:r w:rsidRPr="00C10E4A">
        <w:t>Artiklarna 28-32 innehåller närmare bestämmelser om</w:t>
      </w:r>
      <w:r w:rsidRPr="00C10E4A">
        <w:rPr>
          <w:b/>
          <w:bCs/>
        </w:rPr>
        <w:t xml:space="preserve"> </w:t>
      </w:r>
      <w:r w:rsidRPr="00C10E4A">
        <w:rPr>
          <w:bCs/>
        </w:rPr>
        <w:t>a</w:t>
      </w:r>
      <w:r w:rsidRPr="00C10E4A">
        <w:t>nvändning av v</w:t>
      </w:r>
      <w:r w:rsidRPr="00C10E4A">
        <w:t>a</w:t>
      </w:r>
      <w:r w:rsidRPr="00C10E4A">
        <w:t>pen, ammunition och utrustning, skydd och bistånd, skadeståndsansvar samt a</w:t>
      </w:r>
      <w:r w:rsidRPr="00C10E4A">
        <w:t>n</w:t>
      </w:r>
      <w:r w:rsidRPr="00C10E4A">
        <w:t>ställningsförhållanden.</w:t>
      </w:r>
    </w:p>
    <w:p w:rsidR="00B5370B" w:rsidRPr="00C10E4A" w:rsidRDefault="00B5370B">
      <w:pPr>
        <w:pStyle w:val="RKnormal"/>
        <w:rPr>
          <w:rFonts w:ascii="Times New Roman" w:hAnsi="Times New Roman"/>
        </w:rPr>
      </w:pPr>
    </w:p>
    <w:p w:rsidR="00CE29DC" w:rsidRPr="00C10E4A" w:rsidRDefault="00CE29DC">
      <w:pPr>
        <w:pStyle w:val="RKnormal"/>
        <w:rPr>
          <w:rFonts w:ascii="Times New Roman" w:hAnsi="Times New Roman"/>
        </w:rPr>
      </w:pPr>
    </w:p>
    <w:p w:rsidR="00CE29DC" w:rsidRPr="00C10E4A" w:rsidRDefault="00CE29DC">
      <w:pPr>
        <w:pStyle w:val="RKnormal"/>
        <w:rPr>
          <w:rFonts w:ascii="Times New Roman" w:hAnsi="Times New Roman"/>
        </w:rPr>
      </w:pPr>
    </w:p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  <w:r w:rsidRPr="00C10E4A">
        <w:rPr>
          <w:rFonts w:ascii="Times New Roman" w:hAnsi="Times New Roman"/>
          <w:b/>
          <w:bCs/>
        </w:rPr>
        <w:t>Avsnitt 7 – Allmänna bestämmelser om dataskydd</w:t>
      </w:r>
    </w:p>
    <w:p w:rsidR="00B5370B" w:rsidRPr="00C10E4A" w:rsidRDefault="00B5370B">
      <w:pPr>
        <w:pStyle w:val="RKnormal"/>
        <w:rPr>
          <w:rFonts w:ascii="Times New Roman" w:hAnsi="Times New Roman"/>
          <w:u w:val="single"/>
        </w:rPr>
      </w:pPr>
    </w:p>
    <w:p w:rsidR="00B5370B" w:rsidRPr="00C10E4A" w:rsidRDefault="00B5370B">
      <w:r w:rsidRPr="00C10E4A">
        <w:t>Prümfördraget innehåller i artiklarna 33-41 egna regler för dataskydd, något som sannolikt blir överflödigt vid en integrering i EU:s regelverk under fö</w:t>
      </w:r>
      <w:r w:rsidRPr="00C10E4A">
        <w:t>r</w:t>
      </w:r>
      <w:r w:rsidRPr="00C10E4A">
        <w:t>utsät</w:t>
      </w:r>
      <w:r w:rsidRPr="00C10E4A">
        <w:t>t</w:t>
      </w:r>
      <w:r w:rsidRPr="00C10E4A">
        <w:t>ning att dataskyddsrambeslutet träder i kraft.</w:t>
      </w:r>
    </w:p>
    <w:p w:rsidR="00B5370B" w:rsidRPr="00C10E4A" w:rsidRDefault="00B5370B"/>
    <w:p w:rsidR="00B5370B" w:rsidRPr="00C10E4A" w:rsidRDefault="00B5370B">
      <w:pPr>
        <w:pStyle w:val="RKnormal"/>
        <w:rPr>
          <w:rFonts w:ascii="Times New Roman" w:hAnsi="Times New Roman"/>
          <w:b/>
          <w:bCs/>
        </w:rPr>
      </w:pPr>
      <w:r w:rsidRPr="00C10E4A">
        <w:rPr>
          <w:rFonts w:ascii="Times New Roman" w:hAnsi="Times New Roman"/>
          <w:b/>
          <w:bCs/>
        </w:rPr>
        <w:t>Kapitel 8 – Genomförande och slutbestämmelser</w:t>
      </w:r>
    </w:p>
    <w:p w:rsidR="00B5370B" w:rsidRPr="00C10E4A" w:rsidRDefault="00B5370B"/>
    <w:p w:rsidR="00B5370B" w:rsidRPr="00C10E4A" w:rsidRDefault="00B5370B">
      <w:r w:rsidRPr="00C10E4A">
        <w:t>Artiklarna 42-52 innehåller genomförande- och slutbestämmelser. Ministe</w:t>
      </w:r>
      <w:r w:rsidRPr="00C10E4A">
        <w:t>r</w:t>
      </w:r>
      <w:r w:rsidRPr="00C10E4A">
        <w:t xml:space="preserve">kommittén och arbetsgruppen som Prüm inrättat enligt artikel 43 för att följa genomförandet och tolka </w:t>
      </w:r>
      <w:r w:rsidR="00C20B21" w:rsidRPr="00C10E4A">
        <w:t>fördraget</w:t>
      </w:r>
      <w:r w:rsidRPr="00C10E4A">
        <w:t xml:space="preserve"> kommer inte att ingå vid integreringen i EU. Fördraget skall endast tillämpas så långt det är förenligt med EU:s r</w:t>
      </w:r>
      <w:r w:rsidRPr="00C10E4A">
        <w:t>e</w:t>
      </w:r>
      <w:r w:rsidRPr="00C10E4A">
        <w:t>gelverk (artikel 47). De regler som inte integr</w:t>
      </w:r>
      <w:r w:rsidRPr="00C10E4A">
        <w:t>e</w:t>
      </w:r>
      <w:r w:rsidRPr="00C10E4A">
        <w:t>ras i EU:s regelverk kommer sannolikt att förbli gällande mellan de stater som rat</w:t>
      </w:r>
      <w:r w:rsidRPr="00C10E4A">
        <w:t>i</w:t>
      </w:r>
      <w:r w:rsidRPr="00C10E4A">
        <w:t>ficerat fördraget. När det gäller kostnader anges i artikel 46 att respekt</w:t>
      </w:r>
      <w:r w:rsidRPr="00C10E4A">
        <w:t>i</w:t>
      </w:r>
      <w:r w:rsidRPr="00C10E4A">
        <w:t xml:space="preserve">ve fördragsstat skall bära kostnaderna för </w:t>
      </w:r>
      <w:r w:rsidR="00C20B21" w:rsidRPr="00C10E4A">
        <w:t>fördraget</w:t>
      </w:r>
      <w:r w:rsidRPr="00C10E4A">
        <w:t>s g</w:t>
      </w:r>
      <w:r w:rsidRPr="00C10E4A">
        <w:t>e</w:t>
      </w:r>
      <w:r w:rsidRPr="00C10E4A">
        <w:t>nomförande.</w:t>
      </w:r>
    </w:p>
    <w:p w:rsidR="00B5370B" w:rsidRPr="00C10E4A" w:rsidRDefault="00B5370B">
      <w:pPr>
        <w:pStyle w:val="RKrubrik"/>
        <w:rPr>
          <w:i/>
          <w:iCs/>
        </w:rPr>
      </w:pPr>
      <w:r w:rsidRPr="00C10E4A">
        <w:rPr>
          <w:i/>
          <w:iCs/>
        </w:rPr>
        <w:t>Gällande svenska regler och förslagets effekter på de</w:t>
      </w:r>
      <w:r w:rsidRPr="00C10E4A">
        <w:rPr>
          <w:i/>
          <w:iCs/>
        </w:rPr>
        <w:t>s</w:t>
      </w:r>
      <w:r w:rsidRPr="00C10E4A">
        <w:rPr>
          <w:i/>
          <w:iCs/>
        </w:rPr>
        <w:t>sa</w:t>
      </w:r>
    </w:p>
    <w:p w:rsidR="00B5370B" w:rsidRPr="00C10E4A" w:rsidRDefault="00B5370B">
      <w:r w:rsidRPr="00C10E4A">
        <w:t>De lagändringar som bedöms bli nödvändiga för svenskt vi</w:t>
      </w:r>
      <w:r w:rsidRPr="00C10E4A">
        <w:t>d</w:t>
      </w:r>
      <w:r w:rsidRPr="00C10E4A">
        <w:t>kommande gäller bl.a. utländska brottsbekämpande myndigheters direkttillgång till vi</w:t>
      </w:r>
      <w:r w:rsidRPr="00C10E4A">
        <w:t>s</w:t>
      </w:r>
      <w:r w:rsidRPr="00C10E4A">
        <w:t>sa personuppgifter som behandlas av svenska myndigheter samt öve</w:t>
      </w:r>
      <w:r w:rsidRPr="00C10E4A">
        <w:t>r</w:t>
      </w:r>
      <w:r w:rsidRPr="00C10E4A">
        <w:t>låtande av myndighetsutövning till utländska brottsbekämpande my</w:t>
      </w:r>
      <w:r w:rsidRPr="00C10E4A">
        <w:t>n</w:t>
      </w:r>
      <w:r w:rsidRPr="00C10E4A">
        <w:t xml:space="preserve">digheter i vissa fall. </w:t>
      </w:r>
    </w:p>
    <w:p w:rsidR="00B5370B" w:rsidRPr="00C10E4A" w:rsidRDefault="00B5370B">
      <w:pPr>
        <w:pStyle w:val="RKnormal"/>
      </w:pPr>
    </w:p>
    <w:p w:rsidR="00B5370B" w:rsidRPr="00C10E4A" w:rsidRDefault="00B5370B">
      <w:pPr>
        <w:pStyle w:val="RKnormal"/>
        <w:numPr>
          <w:ilvl w:val="0"/>
          <w:numId w:val="5"/>
        </w:numPr>
      </w:pPr>
      <w:r w:rsidRPr="00C10E4A">
        <w:t>Polisdatalagen och vägtrafikregisterlagen behöver ändras för att till</w:t>
      </w:r>
      <w:r w:rsidRPr="00C10E4A">
        <w:t>å</w:t>
      </w:r>
      <w:r w:rsidRPr="00C10E4A">
        <w:t>ta direkt tillgång för utländsk myndighet till referensuppgi</w:t>
      </w:r>
      <w:r w:rsidRPr="00C10E4A">
        <w:t>f</w:t>
      </w:r>
      <w:r w:rsidRPr="00C10E4A">
        <w:t>ter i svenska DNA- och fingeravtrycksregister samt full direkt til</w:t>
      </w:r>
      <w:r w:rsidRPr="00C10E4A">
        <w:t>l</w:t>
      </w:r>
      <w:r w:rsidRPr="00C10E4A">
        <w:t>gång till fordonsr</w:t>
      </w:r>
      <w:r w:rsidRPr="00C10E4A">
        <w:t>e</w:t>
      </w:r>
      <w:r w:rsidRPr="00C10E4A">
        <w:t xml:space="preserve">gisteruppgifter. </w:t>
      </w:r>
    </w:p>
    <w:p w:rsidR="00B5370B" w:rsidRPr="00C10E4A" w:rsidRDefault="00B5370B">
      <w:pPr>
        <w:pStyle w:val="RKnormal"/>
      </w:pPr>
    </w:p>
    <w:p w:rsidR="00B5370B" w:rsidRPr="00C10E4A" w:rsidRDefault="00B5370B">
      <w:pPr>
        <w:pStyle w:val="RKnormal"/>
        <w:numPr>
          <w:ilvl w:val="0"/>
          <w:numId w:val="5"/>
        </w:numPr>
      </w:pPr>
      <w:r w:rsidRPr="00C10E4A">
        <w:t>Överlåtande av myndighetsutövning kan kräva både ny lagstiftning och ändringar i bl.a. lagen om internationellt polisiärt samarbete. I</w:t>
      </w:r>
      <w:r w:rsidRPr="00C10E4A">
        <w:t>n</w:t>
      </w:r>
      <w:r w:rsidRPr="00C10E4A">
        <w:t>förlivande av denna del av fördraget kräver beslut i enlighet med r</w:t>
      </w:r>
      <w:r w:rsidRPr="00C10E4A">
        <w:t>e</w:t>
      </w:r>
      <w:r w:rsidRPr="00C10E4A">
        <w:t>geringsformen 10 kap. 5 § fjärde stycket, d.v.s. med ¾-dels majoritet eller i den ordning som gäller för stiftande av grundlag, dvs. med två beslut med enkel majoritet med mellan liggande val. Ändringar av Schengenregelverkets bestämmelser om myndighetsutövning har b</w:t>
      </w:r>
      <w:r w:rsidRPr="00C10E4A">
        <w:t>e</w:t>
      </w:r>
      <w:r w:rsidRPr="00C10E4A">
        <w:t>slutats genom denna procedur av riksd</w:t>
      </w:r>
      <w:r w:rsidRPr="00C10E4A">
        <w:t>a</w:t>
      </w:r>
      <w:r w:rsidRPr="00C10E4A">
        <w:t>gen.</w:t>
      </w:r>
    </w:p>
    <w:p w:rsidR="00B5370B" w:rsidRPr="00C10E4A" w:rsidRDefault="00B5370B">
      <w:pPr>
        <w:pStyle w:val="RKnormal"/>
        <w:ind w:left="360"/>
      </w:pPr>
    </w:p>
    <w:p w:rsidR="00B5370B" w:rsidRPr="00C10E4A" w:rsidRDefault="00B5370B">
      <w:pPr>
        <w:pStyle w:val="RKnormal"/>
        <w:numPr>
          <w:ilvl w:val="0"/>
          <w:numId w:val="4"/>
        </w:numPr>
        <w:rPr>
          <w:iCs/>
        </w:rPr>
      </w:pPr>
      <w:r w:rsidRPr="00C10E4A">
        <w:rPr>
          <w:iCs/>
        </w:rPr>
        <w:t>Enligt den bedömning som gjordes i samband med att Schengenfö</w:t>
      </w:r>
      <w:r w:rsidRPr="00C10E4A">
        <w:rPr>
          <w:iCs/>
        </w:rPr>
        <w:t>r</w:t>
      </w:r>
      <w:r w:rsidRPr="00C10E4A">
        <w:rPr>
          <w:iCs/>
        </w:rPr>
        <w:t>dragets regler om gränsöverskridande förföljande och övervakning genomfördes i Sverige är det emellertid inte nödvändigt att i svensk lag reglera svenska polismäns befogenhet att utöva myndighet i andra fördrag</w:t>
      </w:r>
      <w:r w:rsidRPr="00C10E4A">
        <w:rPr>
          <w:iCs/>
        </w:rPr>
        <w:t>s</w:t>
      </w:r>
      <w:r w:rsidRPr="00C10E4A">
        <w:rPr>
          <w:iCs/>
        </w:rPr>
        <w:t xml:space="preserve">stater. </w:t>
      </w:r>
    </w:p>
    <w:p w:rsidR="00B5370B" w:rsidRPr="00C10E4A" w:rsidRDefault="00B5370B">
      <w:pPr>
        <w:pStyle w:val="RKrubrik"/>
      </w:pPr>
      <w:r w:rsidRPr="00C10E4A">
        <w:t>Ekonomiska konsekvenser</w:t>
      </w:r>
    </w:p>
    <w:p w:rsidR="00B5370B" w:rsidRPr="00C10E4A" w:rsidRDefault="00B5370B">
      <w:pPr>
        <w:overflowPunct/>
        <w:spacing w:line="240" w:lineRule="atLeast"/>
        <w:textAlignment w:val="auto"/>
      </w:pPr>
      <w:r w:rsidRPr="00C10E4A">
        <w:rPr>
          <w:color w:val="000000"/>
          <w:lang w:eastAsia="sv-SE"/>
        </w:rPr>
        <w:t>Det inte är möjligt att göra en vederhäftig uppskattning av de totala kostn</w:t>
      </w:r>
      <w:r w:rsidRPr="00C10E4A">
        <w:rPr>
          <w:color w:val="000000"/>
          <w:lang w:eastAsia="sv-SE"/>
        </w:rPr>
        <w:t>a</w:t>
      </w:r>
      <w:r w:rsidRPr="00C10E4A">
        <w:rPr>
          <w:color w:val="000000"/>
          <w:lang w:eastAsia="sv-SE"/>
        </w:rPr>
        <w:t xml:space="preserve">derna med stöd av det underlag som finns nu. </w:t>
      </w:r>
      <w:r w:rsidRPr="00C10E4A">
        <w:t>D</w:t>
      </w:r>
      <w:r w:rsidRPr="00C10E4A">
        <w:rPr>
          <w:color w:val="000000"/>
        </w:rPr>
        <w:t>e tekniska åtgä</w:t>
      </w:r>
      <w:r w:rsidRPr="00C10E4A">
        <w:rPr>
          <w:color w:val="000000"/>
        </w:rPr>
        <w:t>r</w:t>
      </w:r>
      <w:r w:rsidRPr="00C10E4A">
        <w:rPr>
          <w:color w:val="000000"/>
        </w:rPr>
        <w:t>der som krävs bedöms av Rikspolisstyrelsen vara av den arten att de hur som helst måste genomföras på sikt inom ramen för polisens nya IT-arkitektur.</w:t>
      </w:r>
      <w:r w:rsidRPr="00C10E4A">
        <w:t xml:space="preserve"> Sann</w:t>
      </w:r>
      <w:r w:rsidRPr="00C10E4A">
        <w:t>o</w:t>
      </w:r>
      <w:r w:rsidRPr="00C10E4A">
        <w:t xml:space="preserve">likt behöver dock investeringar tidigareläggas, vilket kan påverka takten i </w:t>
      </w:r>
      <w:r w:rsidR="009F0308" w:rsidRPr="00C10E4A">
        <w:t>denna</w:t>
      </w:r>
      <w:r w:rsidRPr="00C10E4A">
        <w:t xml:space="preserve"> utveckling. De direkta anpassningskostnaderna för de tre inform</w:t>
      </w:r>
      <w:r w:rsidRPr="00C10E4A">
        <w:t>a</w:t>
      </w:r>
      <w:r w:rsidRPr="00C10E4A">
        <w:t>tionst</w:t>
      </w:r>
      <w:r w:rsidRPr="00C10E4A">
        <w:t>y</w:t>
      </w:r>
      <w:r w:rsidRPr="00C10E4A">
        <w:t>per som berörs har av RPS mycket grovt uppskattats till 15 mkr. För att hantera den ökning av antalet ärenden som kan bli följden av ett effekt</w:t>
      </w:r>
      <w:r w:rsidRPr="00C10E4A">
        <w:t>i</w:t>
      </w:r>
      <w:r w:rsidRPr="00C10E4A">
        <w:t>vare informationsutbyte kan det ko</w:t>
      </w:r>
      <w:r w:rsidRPr="00C10E4A">
        <w:t>m</w:t>
      </w:r>
      <w:r w:rsidRPr="00C10E4A">
        <w:t>ma att krävas ökade personalresurser. Merkostnaderna ryms inom polisens b</w:t>
      </w:r>
      <w:r w:rsidRPr="00C10E4A">
        <w:t>e</w:t>
      </w:r>
      <w:r w:rsidRPr="00C10E4A">
        <w:t xml:space="preserve">fintliga anslag. </w:t>
      </w:r>
    </w:p>
    <w:p w:rsidR="00B5370B" w:rsidRPr="00C10E4A" w:rsidRDefault="00B5370B">
      <w:pPr>
        <w:pStyle w:val="RKrubrik"/>
      </w:pPr>
      <w:r w:rsidRPr="00C10E4A">
        <w:t>Övrigt</w:t>
      </w:r>
    </w:p>
    <w:p w:rsidR="00B5370B" w:rsidRPr="00C10E4A" w:rsidRDefault="00B5370B">
      <w:pPr>
        <w:pStyle w:val="RKnormal"/>
      </w:pPr>
      <w:r w:rsidRPr="00C10E4A">
        <w:t>-</w:t>
      </w:r>
    </w:p>
    <w:sectPr w:rsidR="00B5370B" w:rsidRPr="00C10E4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921" w:rsidRPr="00C10E4A" w:rsidRDefault="002F6921">
      <w:r w:rsidRPr="00C10E4A">
        <w:separator/>
      </w:r>
    </w:p>
  </w:endnote>
  <w:endnote w:type="continuationSeparator" w:id="0">
    <w:p w:rsidR="002F6921" w:rsidRPr="00C10E4A" w:rsidRDefault="002F6921">
      <w:r w:rsidRPr="00C10E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921" w:rsidRPr="00C10E4A" w:rsidRDefault="002F6921">
      <w:r w:rsidRPr="00C10E4A">
        <w:separator/>
      </w:r>
    </w:p>
  </w:footnote>
  <w:footnote w:type="continuationSeparator" w:id="0">
    <w:p w:rsidR="002F6921" w:rsidRPr="00C10E4A" w:rsidRDefault="002F6921">
      <w:r w:rsidRPr="00C10E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308" w:rsidRPr="00C10E4A" w:rsidRDefault="009F0308">
    <w:pPr>
      <w:pStyle w:val="Sidhuvud"/>
      <w:framePr w:wrap="around" w:vAnchor="text" w:hAnchor="margin" w:xAlign="right" w:y="1"/>
      <w:rPr>
        <w:rStyle w:val="Sidnummer"/>
      </w:rPr>
    </w:pPr>
    <w:r w:rsidRPr="00C10E4A">
      <w:rPr>
        <w:rStyle w:val="Sidnummer"/>
      </w:rPr>
      <w:fldChar w:fldCharType="begin" w:fldLock="1"/>
    </w:r>
    <w:r w:rsidRPr="00C10E4A">
      <w:rPr>
        <w:rStyle w:val="Sidnummer"/>
      </w:rPr>
      <w:instrText xml:space="preserve">PAGE  </w:instrText>
    </w:r>
    <w:r w:rsidRPr="00C10E4A">
      <w:rPr>
        <w:rStyle w:val="Sidnummer"/>
      </w:rPr>
      <w:fldChar w:fldCharType="separate"/>
    </w:r>
    <w:r w:rsidR="0007288D" w:rsidRPr="00C10E4A">
      <w:rPr>
        <w:rStyle w:val="Sidnummer"/>
      </w:rPr>
      <w:t>6</w:t>
    </w:r>
    <w:r w:rsidRPr="00C10E4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F0308" w:rsidRPr="00C10E4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F0308" w:rsidRPr="00C10E4A" w:rsidRDefault="009F030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F0308" w:rsidRPr="00C10E4A" w:rsidRDefault="009F0308">
          <w:pPr>
            <w:pStyle w:val="Sidhuvud"/>
            <w:ind w:right="360"/>
          </w:pPr>
        </w:p>
      </w:tc>
      <w:tc>
        <w:tcPr>
          <w:tcW w:w="1525" w:type="dxa"/>
        </w:tcPr>
        <w:p w:rsidR="009F0308" w:rsidRPr="00C10E4A" w:rsidRDefault="009F0308">
          <w:pPr>
            <w:pStyle w:val="Sidhuvud"/>
            <w:ind w:right="360"/>
          </w:pPr>
        </w:p>
      </w:tc>
    </w:tr>
  </w:tbl>
  <w:p w:rsidR="009F0308" w:rsidRPr="00C10E4A" w:rsidRDefault="009F030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308" w:rsidRPr="00C10E4A" w:rsidRDefault="009F0308">
    <w:pPr>
      <w:pStyle w:val="Sidhuvud"/>
      <w:framePr w:wrap="around" w:vAnchor="text" w:hAnchor="margin" w:xAlign="right" w:y="1"/>
      <w:rPr>
        <w:rStyle w:val="Sidnummer"/>
      </w:rPr>
    </w:pPr>
    <w:r w:rsidRPr="00C10E4A">
      <w:rPr>
        <w:rStyle w:val="Sidnummer"/>
      </w:rPr>
      <w:fldChar w:fldCharType="begin" w:fldLock="1"/>
    </w:r>
    <w:r w:rsidRPr="00C10E4A">
      <w:rPr>
        <w:rStyle w:val="Sidnummer"/>
      </w:rPr>
      <w:instrText xml:space="preserve">PAGE  </w:instrText>
    </w:r>
    <w:r w:rsidRPr="00C10E4A">
      <w:rPr>
        <w:rStyle w:val="Sidnummer"/>
      </w:rPr>
      <w:fldChar w:fldCharType="separate"/>
    </w:r>
    <w:r w:rsidR="0007288D" w:rsidRPr="00C10E4A">
      <w:rPr>
        <w:rStyle w:val="Sidnummer"/>
      </w:rPr>
      <w:t>7</w:t>
    </w:r>
    <w:r w:rsidRPr="00C10E4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F0308" w:rsidRPr="00C10E4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F0308" w:rsidRPr="00C10E4A" w:rsidRDefault="009F030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F0308" w:rsidRPr="00C10E4A" w:rsidRDefault="009F0308">
          <w:pPr>
            <w:pStyle w:val="Sidhuvud"/>
            <w:ind w:right="360"/>
          </w:pPr>
        </w:p>
      </w:tc>
      <w:tc>
        <w:tcPr>
          <w:tcW w:w="1525" w:type="dxa"/>
        </w:tcPr>
        <w:p w:rsidR="009F0308" w:rsidRPr="00C10E4A" w:rsidRDefault="009F0308">
          <w:pPr>
            <w:pStyle w:val="Sidhuvud"/>
            <w:ind w:right="360"/>
          </w:pPr>
        </w:p>
      </w:tc>
    </w:tr>
  </w:tbl>
  <w:p w:rsidR="009F0308" w:rsidRPr="00C10E4A" w:rsidRDefault="009F030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308" w:rsidRPr="00C10E4A" w:rsidRDefault="00C10E4A">
    <w:pPr>
      <w:framePr w:w="2948" w:h="1321" w:hRule="exact" w:wrap="notBeside" w:vAnchor="page" w:hAnchor="page" w:x="1362" w:y="653"/>
    </w:pPr>
    <w:r w:rsidRPr="00C10E4A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308" w:rsidRPr="00C10E4A" w:rsidRDefault="009F03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F0308" w:rsidRPr="00C10E4A" w:rsidRDefault="009F0308">
    <w:pPr>
      <w:rPr>
        <w:rFonts w:ascii="TradeGothic" w:hAnsi="TradeGothic"/>
        <w:b/>
        <w:bCs/>
        <w:spacing w:val="12"/>
        <w:sz w:val="22"/>
      </w:rPr>
    </w:pPr>
  </w:p>
  <w:p w:rsidR="009F0308" w:rsidRPr="00C10E4A" w:rsidRDefault="009F03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F0308" w:rsidRPr="00C10E4A" w:rsidRDefault="009F030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EAA"/>
    <w:multiLevelType w:val="hybridMultilevel"/>
    <w:tmpl w:val="F51E4BF6"/>
    <w:lvl w:ilvl="0" w:tplc="F76ED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3"/>
    <w:multiLevelType w:val="hybridMultilevel"/>
    <w:tmpl w:val="A1BE784A"/>
    <w:lvl w:ilvl="0" w:tplc="F76ED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3526"/>
    <w:multiLevelType w:val="multilevel"/>
    <w:tmpl w:val="627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B318A"/>
    <w:multiLevelType w:val="hybridMultilevel"/>
    <w:tmpl w:val="6270EB9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8794B"/>
    <w:multiLevelType w:val="hybridMultilevel"/>
    <w:tmpl w:val="E7589C1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3607">
    <w:abstractNumId w:val="4"/>
  </w:num>
  <w:num w:numId="2" w16cid:durableId="62991636">
    <w:abstractNumId w:val="3"/>
  </w:num>
  <w:num w:numId="3" w16cid:durableId="469980234">
    <w:abstractNumId w:val="2"/>
  </w:num>
  <w:num w:numId="4" w16cid:durableId="1800755549">
    <w:abstractNumId w:val="1"/>
  </w:num>
  <w:num w:numId="5" w16cid:durableId="214361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410F99"/>
    <w:rsid w:val="0007288D"/>
    <w:rsid w:val="000B49E1"/>
    <w:rsid w:val="00247885"/>
    <w:rsid w:val="002F6921"/>
    <w:rsid w:val="00305D1A"/>
    <w:rsid w:val="00387FE3"/>
    <w:rsid w:val="003D4460"/>
    <w:rsid w:val="00410F99"/>
    <w:rsid w:val="004A42E7"/>
    <w:rsid w:val="006535CB"/>
    <w:rsid w:val="00795966"/>
    <w:rsid w:val="00795D13"/>
    <w:rsid w:val="008128BF"/>
    <w:rsid w:val="008F1CC2"/>
    <w:rsid w:val="009F0308"/>
    <w:rsid w:val="00AE18B8"/>
    <w:rsid w:val="00B5370B"/>
    <w:rsid w:val="00C10E4A"/>
    <w:rsid w:val="00C20B21"/>
    <w:rsid w:val="00CE29DC"/>
    <w:rsid w:val="00EA6D9C"/>
    <w:rsid w:val="00F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E5458-3F4A-4DEE-8141-CE31D658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1804</Words>
  <Characters>11423</Characters>
  <Application>Microsoft Office Word</Application>
  <DocSecurity>4</DocSecurity>
  <Lines>285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2007-02-05T10:14:00Z</cp:lastPrinted>
  <dcterms:created xsi:type="dcterms:W3CDTF">2025-12-17T04:02:00Z</dcterms:created>
  <dcterms:modified xsi:type="dcterms:W3CDTF">2025-12-17T04:02:00Z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