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FC13" w14:textId="77777777" w:rsidR="00517050" w:rsidRPr="003E0647" w:rsidRDefault="00517050">
      <w:pPr>
        <w:pStyle w:val="Frslagsrubrik"/>
        <w:shd w:val="clear" w:color="000000" w:fill="auto"/>
      </w:pPr>
      <w:r w:rsidRPr="003E0647">
        <w:t>Förslag till riksdagsbeslut</w:t>
      </w:r>
    </w:p>
    <w:p w14:paraId="3CCD505A" w14:textId="77777777" w:rsidR="00517050" w:rsidRPr="003E0647" w:rsidRDefault="00517050">
      <w:pPr>
        <w:pStyle w:val="Hemstlatt"/>
        <w:shd w:val="clear" w:color="000000" w:fill="auto"/>
      </w:pPr>
      <w:r w:rsidRPr="003E0647">
        <w:t>Riksdagen tillkännager för regeringen som sin mening vad som anförs i motionen om behovet av att förnya reglerna för att starta fristående skola.</w:t>
      </w:r>
    </w:p>
    <w:p w14:paraId="2B905275" w14:textId="77777777" w:rsidR="00517050" w:rsidRPr="003E0647" w:rsidRDefault="00517050">
      <w:pPr>
        <w:pStyle w:val="Rubrik1"/>
        <w:shd w:val="clear" w:color="000000" w:fill="auto"/>
      </w:pPr>
      <w:r w:rsidRPr="003E0647">
        <w:t>Motivering</w:t>
      </w:r>
    </w:p>
    <w:p w14:paraId="5AB80A19" w14:textId="77777777" w:rsidR="00517050" w:rsidRPr="003E0647" w:rsidRDefault="00517050">
      <w:pPr>
        <w:shd w:val="clear" w:color="000000" w:fill="auto"/>
      </w:pPr>
      <w:r w:rsidRPr="003E0647">
        <w:t>Det finns ett enormt intresse av att vara med och förbättra den svenska skolan. Ett exempel på detta är att antalet ansökningar om att starta friskola slog r</w:t>
      </w:r>
      <w:r w:rsidRPr="003E0647">
        <w:t>e</w:t>
      </w:r>
      <w:r w:rsidRPr="003E0647">
        <w:t>kord i år. 689 ansökningar kom in till Skolinspektionen. År 2005 var det e</w:t>
      </w:r>
      <w:r w:rsidRPr="003E0647">
        <w:t>n</w:t>
      </w:r>
      <w:r w:rsidRPr="003E0647">
        <w:t xml:space="preserve">dast </w:t>
      </w:r>
      <w:smartTag w:uri="urn:schemas-microsoft-com:office:smarttags" w:element="metricconverter">
        <w:smartTagPr>
          <w:attr w:name="ProductID" w:val="257 st"/>
        </w:smartTagPr>
        <w:r w:rsidRPr="003E0647">
          <w:t>257 st</w:t>
        </w:r>
      </w:smartTag>
      <w:r w:rsidRPr="003E0647">
        <w:t>. I grunden är detta väldigt bra. Det är en bekräftelse på att vi sk</w:t>
      </w:r>
      <w:r w:rsidRPr="003E0647">
        <w:t>a</w:t>
      </w:r>
      <w:r w:rsidRPr="003E0647">
        <w:t>pat stabila och likvärdiga villkor för friskolorna så att många vågar ta chansen och förverkliga sin idé och att de tuffare krav som kommer med den nya sko</w:t>
      </w:r>
      <w:r w:rsidRPr="003E0647">
        <w:t>l</w:t>
      </w:r>
      <w:r w:rsidRPr="003E0647">
        <w:t>lagen inte avskräckt.</w:t>
      </w:r>
    </w:p>
    <w:p w14:paraId="616858BE" w14:textId="77777777" w:rsidR="00517050" w:rsidRPr="003E0647" w:rsidRDefault="00517050">
      <w:pPr>
        <w:pStyle w:val="Normaltindrag"/>
        <w:shd w:val="clear" w:color="000000" w:fill="auto"/>
      </w:pPr>
      <w:r w:rsidRPr="003E0647">
        <w:t>Sverige behöver fortfarande nya idéer för att förbättra skolan. Om fler får chansen att vara med och förbättra skolan så blir vi alla vinnare. Mångfalden av alternativ ökar för e</w:t>
      </w:r>
      <w:r w:rsidRPr="003E0647">
        <w:t>leverna. Lärarna får möjlighet att välja mellan olika arbetsgivare och olika typer av skolor som arbetar på olika sätt. Med en sund konkurrens om eleverna så kommer sämre alternativ att ge plats för nya och bättre, precis som på andra områden.</w:t>
      </w:r>
    </w:p>
    <w:p w14:paraId="7B214DEE" w14:textId="77777777" w:rsidR="00517050" w:rsidRPr="003E0647" w:rsidRDefault="00517050">
      <w:pPr>
        <w:pStyle w:val="Normaltindrag"/>
        <w:shd w:val="clear" w:color="000000" w:fill="auto"/>
      </w:pPr>
      <w:r w:rsidRPr="003E0647">
        <w:t>Intresset för att starta nya skolor möts dock av att allt fler får avslag. E</w:t>
      </w:r>
      <w:r w:rsidRPr="003E0647">
        <w:t>n</w:t>
      </w:r>
      <w:r w:rsidRPr="003E0647">
        <w:t>dast 38 % av de sökande fick tillstånd vid senaste ansökningsomgången, jä</w:t>
      </w:r>
      <w:r w:rsidRPr="003E0647">
        <w:t>m</w:t>
      </w:r>
      <w:r w:rsidRPr="003E0647">
        <w:t>fört med 49 % 2007.</w:t>
      </w:r>
    </w:p>
    <w:p w14:paraId="47B7ACA8" w14:textId="77777777" w:rsidR="00517050" w:rsidRPr="003E0647" w:rsidRDefault="00517050">
      <w:pPr>
        <w:pStyle w:val="Normaltindrag"/>
        <w:shd w:val="clear" w:color="000000" w:fill="auto"/>
      </w:pPr>
      <w:r w:rsidRPr="003E0647">
        <w:t>Tillståndsgivningen syftar till att garantera att kvaliteten i undervisningen är bra, att verksamheten är stabil och att ägarna har förutsättningar (ekon</w:t>
      </w:r>
      <w:r w:rsidRPr="003E0647">
        <w:t>o</w:t>
      </w:r>
      <w:r w:rsidRPr="003E0647">
        <w:t>miskt, pedagogiskt och juridiskt) att driva skolan. Sedan är det upp till eleve</w:t>
      </w:r>
      <w:r w:rsidRPr="003E0647">
        <w:t>r</w:t>
      </w:r>
      <w:r w:rsidRPr="003E0647">
        <w:t>na och deras föräldrar att avgöra vilken skola de vill gå i.</w:t>
      </w:r>
    </w:p>
    <w:p w14:paraId="6C6772FC" w14:textId="77777777" w:rsidR="00517050" w:rsidRPr="003E0647" w:rsidRDefault="00517050">
      <w:pPr>
        <w:pStyle w:val="Normaltindrag"/>
        <w:shd w:val="clear" w:color="000000" w:fill="auto"/>
      </w:pPr>
      <w:r w:rsidRPr="003E0647">
        <w:t xml:space="preserve">Jag har svårt att se en tydlig och konsekvent linje i vilka skolor som får tillstånd och vilka som inte får det. Andra hänsyn än just kvalitet, stabilitet </w:t>
      </w:r>
      <w:r w:rsidRPr="003E0647">
        <w:lastRenderedPageBreak/>
        <w:t>och kompetens avgör om tillstånd beviljas. En faktor som vägs in är hur en ny friskola bedöms påverka den kommunala skolan. Tolkningen av detta förefa</w:t>
      </w:r>
      <w:r w:rsidRPr="003E0647">
        <w:t>l</w:t>
      </w:r>
      <w:r w:rsidRPr="003E0647">
        <w:t>ler både fyrkantig och snäv och har ett drag av godtycklighet över sig.</w:t>
      </w:r>
    </w:p>
    <w:p w14:paraId="57B31219" w14:textId="77777777" w:rsidR="00517050" w:rsidRPr="003E0647" w:rsidRDefault="00517050">
      <w:pPr>
        <w:pStyle w:val="Normaltindrag"/>
        <w:shd w:val="clear" w:color="000000" w:fill="auto"/>
      </w:pPr>
      <w:r w:rsidRPr="003E0647">
        <w:t>Här är några konkreta exempel för att belysa hur dagens regelverk fung</w:t>
      </w:r>
      <w:r w:rsidRPr="003E0647">
        <w:t>e</w:t>
      </w:r>
      <w:r w:rsidRPr="003E0647">
        <w:t>rar.</w:t>
      </w:r>
    </w:p>
    <w:p w14:paraId="0BCA404C" w14:textId="77777777" w:rsidR="00517050" w:rsidRPr="003E0647" w:rsidRDefault="00517050">
      <w:pPr>
        <w:pStyle w:val="Normaltindrag"/>
        <w:shd w:val="clear" w:color="000000" w:fill="auto"/>
      </w:pPr>
      <w:r w:rsidRPr="003E0647">
        <w:t>Thoréngruppen, som driver Yrkesgymnasiet, får starta energi- och ha</w:t>
      </w:r>
      <w:r w:rsidRPr="003E0647">
        <w:t>n</w:t>
      </w:r>
      <w:r w:rsidRPr="003E0647">
        <w:t>delsprogrammen i Sundsvall, men inte el-, omvårdnads- och industripr</w:t>
      </w:r>
      <w:r w:rsidRPr="003E0647">
        <w:t>o</w:t>
      </w:r>
      <w:r w:rsidRPr="003E0647">
        <w:t>grammen eftersom man hävdar att dessa hotar motsvarande program på de kommunala gymnasierna. Samtidigt måste man ju konstatera att ”hotet” borde vara lika stort från de program Yrkesgymnasiet trots allt får starta. Eleverna måste ju komma någonstans ifrån. Man kan inte bara statiskt räkna elever på en utbildning på det sättet, dessutom varierar intresset över tid. Byggutbil</w:t>
      </w:r>
      <w:r w:rsidRPr="003E0647">
        <w:t>d</w:t>
      </w:r>
      <w:r w:rsidRPr="003E0647">
        <w:t xml:space="preserve">ningarna har t ex fördubblats de senaste 10 åren medan intresset </w:t>
      </w:r>
      <w:r w:rsidRPr="003E0647">
        <w:t>för barn- och fritidsprogrammet minskat lika mycket. Kanske kan fler ungdomar lockas till utbildningar om det finns mer att välja på? Det kan finnas kvalitetsskäl till att eleverna väljer bort en utbildning, att de helt enkelt inte tycker att den håller måttet och att det inte finns någon annan skola som erbjuder en motsvarighet.</w:t>
      </w:r>
    </w:p>
    <w:p w14:paraId="691156B5" w14:textId="77777777" w:rsidR="00517050" w:rsidRPr="003E0647" w:rsidRDefault="00517050">
      <w:pPr>
        <w:pStyle w:val="Normaltindrag"/>
        <w:shd w:val="clear" w:color="000000" w:fill="auto"/>
      </w:pPr>
      <w:r w:rsidRPr="003E0647">
        <w:t>Ett annat exempel finns i Malmö. Plusgymnasiet har fått tillstånd att starta utbildningen Stylist-skönhet och hälsa, men inte Spa-friskvård. Man kan tycka att det är snarlika utbil</w:t>
      </w:r>
      <w:r w:rsidRPr="003E0647">
        <w:t>dningar som konkurrerar om precis samma kat</w:t>
      </w:r>
      <w:r w:rsidRPr="003E0647">
        <w:t>e</w:t>
      </w:r>
      <w:r w:rsidRPr="003E0647">
        <w:t>gori elever, men så resonerar inte Skolinspektionen. Den ena får ja men den andra nej. Skönhet är okej, men inte friskvård. Fridaskolan får inte starta i Mölnlycke utanför Göteborg därför att ledningsorganisationen är otydlig, trots att det är samma ledningsorganisation som man fått tillstånd för på andra orter. I Växjö har Internationella Engelska skolan fått tillstånd att starta i höst, trots att de tilltänkta lokalerna inte är lediga. Men för andra skolor är lo</w:t>
      </w:r>
      <w:r w:rsidRPr="003E0647">
        <w:t>kalfr</w:t>
      </w:r>
      <w:r w:rsidRPr="003E0647">
        <w:t>å</w:t>
      </w:r>
      <w:r w:rsidRPr="003E0647">
        <w:t>gan helt avgörande för om man ska få tillstånd, exempelvis fick Fyrklöverns Montessoriskola i Helsingborg avslag därför att lokalerna inte var ordnade. Lokalfrågorna påverkar tillståndsgivningen men har sedan ingen betydelse vid uppföljningen, eftersom en friskola kan byta lokaler när som helst. Dä</w:t>
      </w:r>
      <w:r w:rsidRPr="003E0647">
        <w:t>r</w:t>
      </w:r>
      <w:r w:rsidRPr="003E0647">
        <w:t>med måste man ifrågasätta varför det finns krav på ordnade lokaler vid a</w:t>
      </w:r>
      <w:r w:rsidRPr="003E0647">
        <w:t>n</w:t>
      </w:r>
      <w:r w:rsidRPr="003E0647">
        <w:t>sökningstillfället.</w:t>
      </w:r>
    </w:p>
    <w:p w14:paraId="5938594F" w14:textId="77777777" w:rsidR="00517050" w:rsidRPr="003E0647" w:rsidRDefault="00517050">
      <w:pPr>
        <w:pStyle w:val="Normaltindrag"/>
        <w:shd w:val="clear" w:color="000000" w:fill="auto"/>
      </w:pPr>
      <w:r w:rsidRPr="003E0647">
        <w:t>Dessa exempel leder mig fram till att det är dags att förnya regelverket för att få starta en fristående skola. K</w:t>
      </w:r>
      <w:r w:rsidRPr="003E0647">
        <w:t>raven är i princip desamma som när de sk</w:t>
      </w:r>
      <w:r w:rsidRPr="003E0647">
        <w:t>a</w:t>
      </w:r>
      <w:r w:rsidRPr="003E0647">
        <w:t>pades 1992. Nu finns nästan 20 års erfarenhet av friskolor och regelverket behöver utvecklas. Ett regelverk som ger utrymme för sådana här konstiga och motstridiga beslut måste ändras så att det blir en rättssäker tillståndsgi</w:t>
      </w:r>
      <w:r w:rsidRPr="003E0647">
        <w:t>v</w:t>
      </w:r>
      <w:r w:rsidRPr="003E0647">
        <w:t>ning.</w:t>
      </w:r>
    </w:p>
    <w:p w14:paraId="61C719B1" w14:textId="77777777" w:rsidR="00517050" w:rsidRPr="003E0647" w:rsidRDefault="00517050">
      <w:pPr>
        <w:pStyle w:val="Normaltindrag"/>
        <w:shd w:val="clear" w:color="000000" w:fill="auto"/>
      </w:pPr>
      <w:r w:rsidRPr="003E0647">
        <w:t>Jag anser att regeringen bör ta initiativ till att se över regelverket för att få starta fristående skola i syfte att tydliggöra att det är kraven på kvalitet, stab</w:t>
      </w:r>
      <w:r w:rsidRPr="003E0647">
        <w:t>i</w:t>
      </w:r>
      <w:r w:rsidRPr="003E0647">
        <w:t>litet och kompetens hos ägarna som ska avgöra om man får starta.</w:t>
      </w:r>
    </w:p>
    <w:p w14:paraId="2E318E04" w14:textId="77777777" w:rsidR="00517050" w:rsidRPr="003E0647" w:rsidRDefault="00517050">
      <w:pPr>
        <w:pStyle w:val="Normaltindrag"/>
        <w:shd w:val="clear" w:color="000000" w:fill="auto"/>
      </w:pPr>
      <w:r w:rsidRPr="003E0647">
        <w:t>Idag prövas varje ny etablering som en helt ny ansökan, även om huvu</w:t>
      </w:r>
      <w:r w:rsidRPr="003E0647">
        <w:t>d</w:t>
      </w:r>
      <w:r w:rsidRPr="003E0647">
        <w:t>mannen redan driver ett antal skolor på andra orter trots att prövningen om kvalitet, stabilitet och kompetens redan är gjord flera gånger. Detta skapar ett onödigt merarbete.</w:t>
      </w:r>
    </w:p>
    <w:p w14:paraId="3E220CD0" w14:textId="77777777" w:rsidR="00517050" w:rsidRPr="003E0647" w:rsidRDefault="00517050">
      <w:pPr>
        <w:pStyle w:val="Normaltindrag"/>
        <w:shd w:val="clear" w:color="000000" w:fill="auto"/>
      </w:pPr>
      <w:r w:rsidRPr="003E0647">
        <w:t>En modell som bör övervägas är ett auktorisationsförfarande där de h</w:t>
      </w:r>
      <w:r w:rsidRPr="003E0647">
        <w:t>u</w:t>
      </w:r>
      <w:r w:rsidRPr="003E0647">
        <w:t>vudmän som uppfyller kraven på pedagogisk, ekonomisk och juridisk komp</w:t>
      </w:r>
      <w:r w:rsidRPr="003E0647">
        <w:t>e</w:t>
      </w:r>
      <w:r w:rsidRPr="003E0647">
        <w:lastRenderedPageBreak/>
        <w:t>tens blir auktoriserade och får tillstånd att verka i hela landet. Därefter skulle ett enklare och snabbare beslut kunna fattas inför varje etablering om denna skulle ha långsiktig och påtagligt negativ påverkan på den kommunala org</w:t>
      </w:r>
      <w:r w:rsidRPr="003E0647">
        <w:t>a</w:t>
      </w:r>
      <w:r w:rsidRPr="003E0647">
        <w:t>nisationen.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647" w14:paraId="6BEDBB98" w14:textId="77777777">
        <w:trPr>
          <w:cantSplit/>
        </w:trPr>
        <w:tc>
          <w:tcPr>
            <w:tcW w:w="3046" w:type="dxa"/>
          </w:tcPr>
          <w:p w14:paraId="3B526DD7" w14:textId="77777777" w:rsidR="00517050" w:rsidRPr="003E0647" w:rsidRDefault="00517050">
            <w:pPr>
              <w:pStyle w:val="UnderskriftDatum"/>
              <w:shd w:val="clear" w:color="000000" w:fill="auto"/>
              <w:spacing w:before="240"/>
            </w:pPr>
            <w:r w:rsidRPr="003E0647">
              <w:t>Stockholm den 21 oktober 2010</w:t>
            </w:r>
          </w:p>
        </w:tc>
        <w:tc>
          <w:tcPr>
            <w:tcW w:w="3047" w:type="dxa"/>
          </w:tcPr>
          <w:p w14:paraId="644CA89F" w14:textId="77777777" w:rsidR="00517050" w:rsidRPr="003E0647" w:rsidRDefault="00517050">
            <w:pPr>
              <w:pStyle w:val="Underskrifter"/>
              <w:shd w:val="clear" w:color="000000" w:fill="auto"/>
              <w:spacing w:before="240"/>
            </w:pPr>
          </w:p>
        </w:tc>
      </w:tr>
      <w:tr w:rsidR="00000000" w:rsidRPr="003E0647" w14:paraId="157EE793" w14:textId="77777777">
        <w:trPr>
          <w:cantSplit/>
        </w:trPr>
        <w:tc>
          <w:tcPr>
            <w:tcW w:w="3046" w:type="dxa"/>
          </w:tcPr>
          <w:p w14:paraId="1A429C46" w14:textId="77777777" w:rsidR="00517050" w:rsidRPr="003E0647" w:rsidRDefault="00517050">
            <w:pPr>
              <w:pStyle w:val="Underskrifter"/>
              <w:shd w:val="clear" w:color="000000" w:fill="auto"/>
            </w:pPr>
            <w:r w:rsidRPr="003E0647">
              <w:t>Mats Gerdau (M)</w:t>
            </w:r>
          </w:p>
        </w:tc>
        <w:tc>
          <w:tcPr>
            <w:tcW w:w="3046" w:type="dxa"/>
          </w:tcPr>
          <w:p w14:paraId="0871EC32" w14:textId="77777777" w:rsidR="00517050" w:rsidRPr="003E0647" w:rsidRDefault="00517050">
            <w:pPr>
              <w:pStyle w:val="Underskrifter"/>
              <w:shd w:val="clear" w:color="000000" w:fill="auto"/>
            </w:pPr>
          </w:p>
        </w:tc>
      </w:tr>
    </w:tbl>
    <w:p w14:paraId="4086A8BA" w14:textId="77777777" w:rsidR="00517050" w:rsidRPr="003E0647" w:rsidRDefault="00517050">
      <w:pPr>
        <w:pStyle w:val="Normaltindrag"/>
        <w:shd w:val="clear" w:color="000000" w:fill="auto"/>
      </w:pPr>
    </w:p>
    <w:sectPr w:rsidR="00517050" w:rsidRPr="003E06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E386" w14:textId="77777777" w:rsidR="00517050" w:rsidRPr="003E0647" w:rsidRDefault="00517050">
      <w:r w:rsidRPr="003E0647">
        <w:separator/>
      </w:r>
    </w:p>
  </w:endnote>
  <w:endnote w:type="continuationSeparator" w:id="0">
    <w:p w14:paraId="02EFC00E" w14:textId="77777777" w:rsidR="00517050" w:rsidRPr="003E0647" w:rsidRDefault="00517050">
      <w:r w:rsidRPr="003E0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205C" w14:textId="0BA47594" w:rsidR="00517050" w:rsidRPr="003E0647" w:rsidRDefault="003E0647">
    <w:pPr>
      <w:pStyle w:val="Sidfot"/>
    </w:pPr>
    <w:r w:rsidRPr="003E0647">
      <w:rPr>
        <w:noProof/>
      </w:rPr>
      <mc:AlternateContent>
        <mc:Choice Requires="wps">
          <w:drawing>
            <wp:anchor distT="0" distB="0" distL="114300" distR="114300" simplePos="0" relativeHeight="251659776" behindDoc="0" locked="1" layoutInCell="0" allowOverlap="1" wp14:anchorId="5B700A07" wp14:editId="08F07425">
              <wp:simplePos x="0" y="0"/>
              <wp:positionH relativeFrom="margin">
                <wp:posOffset>-900430</wp:posOffset>
              </wp:positionH>
              <wp:positionV relativeFrom="paragraph">
                <wp:posOffset>-360045</wp:posOffset>
              </wp:positionV>
              <wp:extent cx="360045" cy="215900"/>
              <wp:effectExtent l="4445" t="1905" r="0" b="1270"/>
              <wp:wrapNone/>
              <wp:docPr id="168308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30CCB" w14:textId="77777777" w:rsidR="00517050" w:rsidRDefault="005170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00A07"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14:paraId="1B430CCB" w14:textId="77777777" w:rsidR="00517050" w:rsidRDefault="005170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2AAE" w14:textId="7A96D995" w:rsidR="00517050" w:rsidRPr="003E0647" w:rsidRDefault="003E0647">
    <w:pPr>
      <w:pStyle w:val="Sidfot"/>
    </w:pPr>
    <w:r w:rsidRPr="003E0647">
      <w:rPr>
        <w:noProof/>
      </w:rPr>
      <mc:AlternateContent>
        <mc:Choice Requires="wps">
          <w:drawing>
            <wp:anchor distT="0" distB="0" distL="114300" distR="114300" simplePos="0" relativeHeight="251658752" behindDoc="0" locked="1" layoutInCell="0" allowOverlap="1" wp14:anchorId="743D9D6F" wp14:editId="19555B28">
              <wp:simplePos x="0" y="0"/>
              <wp:positionH relativeFrom="margin">
                <wp:posOffset>4320540</wp:posOffset>
              </wp:positionH>
              <wp:positionV relativeFrom="paragraph">
                <wp:posOffset>-360045</wp:posOffset>
              </wp:positionV>
              <wp:extent cx="360045" cy="215900"/>
              <wp:effectExtent l="0" t="1905" r="0" b="1270"/>
              <wp:wrapNone/>
              <wp:docPr id="435119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7A4F" w14:textId="77777777" w:rsidR="00517050" w:rsidRDefault="005170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D9D6F"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14:paraId="3D557A4F" w14:textId="77777777" w:rsidR="00517050" w:rsidRDefault="005170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DA32" w14:textId="75597675" w:rsidR="00517050" w:rsidRPr="003E0647" w:rsidRDefault="003E0647">
    <w:pPr>
      <w:pStyle w:val="Sidfot"/>
    </w:pPr>
    <w:r w:rsidRPr="003E0647">
      <w:rPr>
        <w:noProof/>
      </w:rPr>
      <mc:AlternateContent>
        <mc:Choice Requires="wps">
          <w:drawing>
            <wp:anchor distT="0" distB="0" distL="114300" distR="114300" simplePos="0" relativeHeight="251657728" behindDoc="0" locked="1" layoutInCell="0" allowOverlap="1" wp14:anchorId="7ACDA4EE" wp14:editId="46138170">
              <wp:simplePos x="0" y="0"/>
              <wp:positionH relativeFrom="margin">
                <wp:posOffset>4320540</wp:posOffset>
              </wp:positionH>
              <wp:positionV relativeFrom="paragraph">
                <wp:posOffset>-360045</wp:posOffset>
              </wp:positionV>
              <wp:extent cx="360045" cy="215900"/>
              <wp:effectExtent l="0" t="1905" r="0" b="1270"/>
              <wp:wrapNone/>
              <wp:docPr id="930164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44638" w14:textId="77777777" w:rsidR="00517050" w:rsidRDefault="005170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DA4E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14:paraId="65544638" w14:textId="77777777" w:rsidR="00517050" w:rsidRDefault="005170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4F72" w14:textId="77777777" w:rsidR="00517050" w:rsidRPr="003E0647" w:rsidRDefault="00517050">
      <w:r w:rsidRPr="003E0647">
        <w:separator/>
      </w:r>
    </w:p>
  </w:footnote>
  <w:footnote w:type="continuationSeparator" w:id="0">
    <w:p w14:paraId="76D939C4" w14:textId="77777777" w:rsidR="00517050" w:rsidRPr="003E0647" w:rsidRDefault="00517050">
      <w:r w:rsidRPr="003E06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9DAA" w14:textId="018340E9" w:rsidR="00517050" w:rsidRPr="003E0647" w:rsidRDefault="003E0647">
    <w:pPr>
      <w:pStyle w:val="Sidhuvud"/>
    </w:pPr>
    <w:r w:rsidRPr="003E0647">
      <w:rPr>
        <w:noProof/>
        <w:sz w:val="26"/>
      </w:rPr>
      <mc:AlternateContent>
        <mc:Choice Requires="wps">
          <w:drawing>
            <wp:anchor distT="0" distB="0" distL="114300" distR="114300" simplePos="0" relativeHeight="251655680" behindDoc="0" locked="1" layoutInCell="0" allowOverlap="1" wp14:anchorId="0E6108CF" wp14:editId="64A74EB4">
              <wp:simplePos x="0" y="0"/>
              <wp:positionH relativeFrom="margin">
                <wp:posOffset>-900430</wp:posOffset>
              </wp:positionH>
              <wp:positionV relativeFrom="paragraph">
                <wp:posOffset>2196465</wp:posOffset>
              </wp:positionV>
              <wp:extent cx="1440180" cy="215900"/>
              <wp:effectExtent l="4445" t="0" r="3175" b="0"/>
              <wp:wrapNone/>
              <wp:docPr id="1564950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D372C" w14:textId="77777777" w:rsidR="00517050" w:rsidRDefault="005170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08CF"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14:paraId="3E3D372C" w14:textId="77777777" w:rsidR="00517050" w:rsidRDefault="005170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8CAE" w14:textId="2F641024" w:rsidR="00517050" w:rsidRPr="003E0647" w:rsidRDefault="003E0647">
    <w:pPr>
      <w:pStyle w:val="Sidhuvud"/>
    </w:pPr>
    <w:r w:rsidRPr="003E0647">
      <w:rPr>
        <w:noProof/>
        <w:sz w:val="26"/>
      </w:rPr>
      <mc:AlternateContent>
        <mc:Choice Requires="wps">
          <w:drawing>
            <wp:anchor distT="0" distB="0" distL="114300" distR="114300" simplePos="0" relativeHeight="251656704" behindDoc="0" locked="1" layoutInCell="0" allowOverlap="1" wp14:anchorId="3B9B9A02" wp14:editId="12A71883">
              <wp:simplePos x="0" y="0"/>
              <wp:positionH relativeFrom="margin">
                <wp:posOffset>3240405</wp:posOffset>
              </wp:positionH>
              <wp:positionV relativeFrom="paragraph">
                <wp:posOffset>2196465</wp:posOffset>
              </wp:positionV>
              <wp:extent cx="1440180" cy="215900"/>
              <wp:effectExtent l="1905" t="0" r="0" b="0"/>
              <wp:wrapNone/>
              <wp:docPr id="895822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5C527" w14:textId="77777777" w:rsidR="00517050" w:rsidRDefault="005170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B9A02"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14:paraId="6A85C527" w14:textId="77777777" w:rsidR="00517050" w:rsidRDefault="005170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8ECD" w14:textId="77777777" w:rsidR="00517050" w:rsidRPr="003E0647" w:rsidRDefault="00517050">
    <w:pPr>
      <w:pStyle w:val="FSHNormal"/>
      <w:tabs>
        <w:tab w:val="right" w:pos="5840"/>
      </w:tabs>
    </w:pPr>
    <w:r w:rsidRPr="003E0647">
      <w:br/>
    </w:r>
    <w:r w:rsidRPr="003E0647">
      <w:fldChar w:fldCharType="begin" w:fldLock="1"/>
    </w:r>
    <w:r w:rsidRPr="003E0647">
      <w:instrText xml:space="preserve"> DOCPROPERTY</w:instrText>
    </w:r>
    <w:r w:rsidRPr="003E0647">
      <w:rPr>
        <w:sz w:val="18"/>
      </w:rPr>
      <w:instrText xml:space="preserve"> "YearUser" *\charformat </w:instrText>
    </w:r>
    <w:r w:rsidRPr="003E0647">
      <w:fldChar w:fldCharType="separate"/>
    </w:r>
    <w:r w:rsidRPr="003E0647">
      <w:t>2010/11</w:t>
    </w:r>
    <w:r w:rsidRPr="003E0647">
      <w:fldChar w:fldCharType="end"/>
    </w:r>
    <w:r w:rsidRPr="003E0647">
      <w:t xml:space="preserve"> </w:t>
    </w:r>
    <w:r w:rsidRPr="003E0647">
      <w:tab/>
      <w:t xml:space="preserve">mnr: </w:t>
    </w:r>
    <w:r w:rsidRPr="003E0647">
      <w:fldChar w:fldCharType="begin" w:fldLock="1"/>
    </w:r>
    <w:r w:rsidRPr="003E0647">
      <w:instrText xml:space="preserve"> DOCPROPERTY</w:instrText>
    </w:r>
    <w:r w:rsidRPr="003E0647">
      <w:rPr>
        <w:sz w:val="18"/>
      </w:rPr>
      <w:instrText xml:space="preserve"> "Motionsnummer" *\charformat </w:instrText>
    </w:r>
    <w:r w:rsidRPr="003E0647">
      <w:fldChar w:fldCharType="separate"/>
    </w:r>
    <w:r w:rsidRPr="003E0647">
      <w:t>Ub270</w:t>
    </w:r>
    <w:r w:rsidRPr="003E0647">
      <w:fldChar w:fldCharType="end"/>
    </w:r>
    <w:r w:rsidRPr="003E0647">
      <w:br/>
    </w:r>
    <w:r w:rsidRPr="003E0647">
      <w:fldChar w:fldCharType="begin" w:fldLock="1"/>
    </w:r>
    <w:r w:rsidRPr="003E0647">
      <w:instrText xml:space="preserve"> DOCPROPERTY</w:instrText>
    </w:r>
    <w:r w:rsidRPr="003E0647">
      <w:rPr>
        <w:sz w:val="18"/>
      </w:rPr>
      <w:instrText xml:space="preserve"> "Samling" *\charformat </w:instrText>
    </w:r>
    <w:r w:rsidRPr="003E0647">
      <w:fldChar w:fldCharType="end"/>
    </w:r>
    <w:r w:rsidRPr="003E0647">
      <w:tab/>
      <w:t xml:space="preserve">pnr: </w:t>
    </w:r>
    <w:r w:rsidRPr="003E0647">
      <w:fldChar w:fldCharType="begin" w:fldLock="1"/>
    </w:r>
    <w:r w:rsidRPr="003E0647">
      <w:instrText xml:space="preserve"> DOCPROPERTY</w:instrText>
    </w:r>
    <w:r w:rsidRPr="003E0647">
      <w:rPr>
        <w:sz w:val="18"/>
      </w:rPr>
      <w:instrText xml:space="preserve"> "Partinummer" *\charformat </w:instrText>
    </w:r>
    <w:r w:rsidRPr="003E0647">
      <w:fldChar w:fldCharType="separate"/>
    </w:r>
    <w:r w:rsidRPr="003E0647">
      <w:t>M1828</w:t>
    </w:r>
    <w:r w:rsidRPr="003E0647">
      <w:fldChar w:fldCharType="end"/>
    </w:r>
  </w:p>
  <w:p w14:paraId="095038E0" w14:textId="77777777" w:rsidR="00517050" w:rsidRPr="003E0647" w:rsidRDefault="00517050">
    <w:pPr>
      <w:pStyle w:val="FSHRub1"/>
    </w:pPr>
    <w:r w:rsidRPr="003E0647">
      <w:t>Motion till riksdagen</w:t>
    </w:r>
    <w:r w:rsidRPr="003E0647">
      <w:br/>
    </w:r>
    <w:r w:rsidRPr="003E0647">
      <w:fldChar w:fldCharType="begin" w:fldLock="1"/>
    </w:r>
    <w:r w:rsidRPr="003E0647">
      <w:instrText xml:space="preserve"> DOCPROPERTY "YearUser" *\charformat </w:instrText>
    </w:r>
    <w:r w:rsidRPr="003E0647">
      <w:fldChar w:fldCharType="separate"/>
    </w:r>
    <w:r w:rsidRPr="003E0647">
      <w:t>2010/11</w:t>
    </w:r>
    <w:r w:rsidRPr="003E0647">
      <w:fldChar w:fldCharType="end"/>
    </w:r>
    <w:r w:rsidRPr="003E0647">
      <w:t>:</w:t>
    </w:r>
    <w:r w:rsidRPr="003E0647">
      <w:fldChar w:fldCharType="begin" w:fldLock="1"/>
    </w:r>
    <w:r w:rsidRPr="003E0647">
      <w:instrText xml:space="preserve"> DOCPROPERTY "Motionsnummer" *\charformat </w:instrText>
    </w:r>
    <w:r w:rsidRPr="003E0647">
      <w:fldChar w:fldCharType="separate"/>
    </w:r>
    <w:r w:rsidRPr="003E0647">
      <w:t>Ub270</w:t>
    </w:r>
    <w:r w:rsidRPr="003E0647">
      <w:fldChar w:fldCharType="end"/>
    </w:r>
  </w:p>
  <w:p w14:paraId="65A29A27" w14:textId="77777777" w:rsidR="00517050" w:rsidRPr="003E0647" w:rsidRDefault="00517050">
    <w:pPr>
      <w:pStyle w:val="FSHNormalS5"/>
    </w:pPr>
    <w:r w:rsidRPr="003E0647">
      <w:fldChar w:fldCharType="begin" w:fldLock="1"/>
    </w:r>
    <w:r w:rsidRPr="003E0647">
      <w:instrText xml:space="preserve"> DOCPROPERTY "MotionarText" *\charformat </w:instrText>
    </w:r>
    <w:r w:rsidRPr="003E0647">
      <w:fldChar w:fldCharType="separate"/>
    </w:r>
    <w:r w:rsidRPr="003E0647">
      <w:t>av Mats Gerdau (M)</w:t>
    </w:r>
    <w:r w:rsidRPr="003E0647">
      <w:fldChar w:fldCharType="end"/>
    </w:r>
    <w:r w:rsidRPr="003E0647">
      <w:br/>
    </w:r>
    <w:r w:rsidRPr="003E0647">
      <w:fldChar w:fldCharType="begin" w:fldLock="1"/>
    </w:r>
    <w:r w:rsidRPr="003E0647">
      <w:instrText xml:space="preserve"> DOCPROPERTY "SvarFrasKort" *\charformat </w:instrText>
    </w:r>
    <w:r w:rsidRPr="003E0647">
      <w:fldChar w:fldCharType="end"/>
    </w:r>
  </w:p>
  <w:p w14:paraId="2A00AD86" w14:textId="77777777" w:rsidR="00517050" w:rsidRPr="003E0647" w:rsidRDefault="00517050">
    <w:pPr>
      <w:pStyle w:val="FSHTitel"/>
    </w:pPr>
    <w:r w:rsidRPr="003E0647">
      <w:fldChar w:fldCharType="begin" w:fldLock="1"/>
    </w:r>
    <w:r w:rsidRPr="003E0647">
      <w:instrText xml:space="preserve"> DOCPROPERTY</w:instrText>
    </w:r>
    <w:r w:rsidRPr="003E0647">
      <w:rPr>
        <w:sz w:val="18"/>
      </w:rPr>
      <w:instrText xml:space="preserve"> "RubrikSvar" *\charformat </w:instrText>
    </w:r>
    <w:r w:rsidRPr="003E0647">
      <w:fldChar w:fldCharType="separate"/>
    </w:r>
    <w:r w:rsidRPr="003E0647">
      <w:t>Översyn av reglerna för att starta friskola</w:t>
    </w:r>
    <w:r w:rsidRPr="003E0647">
      <w:fldChar w:fldCharType="end"/>
    </w:r>
  </w:p>
  <w:p w14:paraId="770DC1F9" w14:textId="77777777" w:rsidR="00517050" w:rsidRPr="003E0647" w:rsidRDefault="00517050">
    <w:pPr>
      <w:pStyle w:val="Normal00"/>
    </w:pPr>
  </w:p>
  <w:p w14:paraId="65D7548E" w14:textId="77777777" w:rsidR="00517050" w:rsidRPr="003E0647" w:rsidRDefault="005170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5766865">
    <w:abstractNumId w:val="3"/>
  </w:num>
  <w:num w:numId="2" w16cid:durableId="2052149516">
    <w:abstractNumId w:val="2"/>
  </w:num>
  <w:num w:numId="3" w16cid:durableId="1954827676">
    <w:abstractNumId w:val="1"/>
  </w:num>
  <w:num w:numId="4" w16cid:durableId="441921731">
    <w:abstractNumId w:val="0"/>
  </w:num>
  <w:num w:numId="5" w16cid:durableId="1849057913">
    <w:abstractNumId w:val="7"/>
  </w:num>
  <w:num w:numId="6" w16cid:durableId="167447855">
    <w:abstractNumId w:val="6"/>
  </w:num>
  <w:num w:numId="7" w16cid:durableId="16280215">
    <w:abstractNumId w:val="5"/>
  </w:num>
  <w:num w:numId="8" w16cid:durableId="1781679504">
    <w:abstractNumId w:val="4"/>
  </w:num>
  <w:num w:numId="9" w16cid:durableId="1991977768">
    <w:abstractNumId w:val="8"/>
  </w:num>
  <w:num w:numId="10" w16cid:durableId="1173061268">
    <w:abstractNumId w:val="9"/>
  </w:num>
  <w:num w:numId="11" w16cid:durableId="1273707611">
    <w:abstractNumId w:val="10"/>
  </w:num>
  <w:num w:numId="12" w16cid:durableId="917833349">
    <w:abstractNumId w:val="13"/>
  </w:num>
  <w:num w:numId="13" w16cid:durableId="1245843113">
    <w:abstractNumId w:val="15"/>
  </w:num>
  <w:num w:numId="14" w16cid:durableId="731856548">
    <w:abstractNumId w:val="16"/>
  </w:num>
  <w:num w:numId="15" w16cid:durableId="1226602643">
    <w:abstractNumId w:val="11"/>
  </w:num>
  <w:num w:numId="16" w16cid:durableId="1861582553">
    <w:abstractNumId w:val="18"/>
  </w:num>
  <w:num w:numId="17" w16cid:durableId="636643995">
    <w:abstractNumId w:val="17"/>
  </w:num>
  <w:num w:numId="18" w16cid:durableId="20447362">
    <w:abstractNumId w:val="14"/>
  </w:num>
  <w:num w:numId="19" w16cid:durableId="597250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5053B41-3680-4F6D-9CFE-7E760F6EF899}"/>
  </w:docVars>
  <w:rsids>
    <w:rsidRoot w:val="008C3B73"/>
    <w:rsid w:val="003E0647"/>
    <w:rsid w:val="00517050"/>
    <w:rsid w:val="008C3B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8C88FBE"/>
  <w15:chartTrackingRefBased/>
  <w15:docId w15:val="{D8E4A570-4785-4A5D-B683-0C46ED41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4482</Characters>
  <Application>Microsoft Office Word</Application>
  <DocSecurity>4</DocSecurity>
  <Lines>81</Lines>
  <Paragraphs>20</Paragraphs>
  <ScaleCrop>false</ScaleCrop>
  <HeadingPairs>
    <vt:vector size="2" baseType="variant">
      <vt:variant>
        <vt:lpstr>Rubrik</vt:lpstr>
      </vt:variant>
      <vt:variant>
        <vt:i4>1</vt:i4>
      </vt:variant>
    </vt:vector>
  </HeadingPairs>
  <TitlesOfParts>
    <vt:vector size="1" baseType="lpstr">
      <vt:lpstr>m1828</vt:lpstr>
    </vt:vector>
  </TitlesOfParts>
  <Company>Riksdagen</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m1828</dc:title>
  <dc:subject>m1828</dc:subject>
  <dc:creator>Riksdagen</dc:creator>
  <cp:keywords>Riksdagen</cp:keywords>
  <dc:description>Versal/gemen i partibeteckning. Gemen i tryck för 0910, versal för 1011 och nyare</dc:description>
  <cp:lastModifiedBy>Lars Brink</cp:lastModifiedBy>
  <cp:revision>2</cp:revision>
  <cp:lastPrinted>2011-02-21T12:46:00Z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reglerna för att starta friskola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att starta friskola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20102011000000000109000018280069</vt:lpwstr>
  </property>
  <property fmtid="{D5CDD505-2E9C-101B-9397-08002B2CF9AE}" pid="47" name="datum">
    <vt:lpwstr>101021</vt:lpwstr>
  </property>
  <property fmtid="{D5CDD505-2E9C-101B-9397-08002B2CF9AE}" pid="48" name="avsändar-e-post">
    <vt:lpwstr>tobias.lodestrand@riksdagen.se</vt:lpwstr>
  </property>
  <property fmtid="{D5CDD505-2E9C-101B-9397-08002B2CF9AE}" pid="49" name="id">
    <vt:lpwstr>20102011000000000109000018280069</vt:lpwstr>
  </property>
  <property fmtid="{D5CDD505-2E9C-101B-9397-08002B2CF9AE}" pid="50" name="nummer">
    <vt:lpwstr>270</vt:lpwstr>
  </property>
  <property fmtid="{D5CDD505-2E9C-101B-9397-08002B2CF9AE}" pid="51" name="utskottsbeteckning">
    <vt:lpwstr>Ub</vt:lpwstr>
  </property>
  <property fmtid="{D5CDD505-2E9C-101B-9397-08002B2CF9AE}" pid="52" name="GlobalUID">
    <vt:lpwstr>{77159EFC-8BFB-469D-9DD3-D1B3E1E155EC}</vt:lpwstr>
  </property>
  <property fmtid="{D5CDD505-2E9C-101B-9397-08002B2CF9AE}" pid="53" name="Överföringar">
    <vt:i4>0</vt:i4>
  </property>
  <property fmtid="{D5CDD505-2E9C-101B-9397-08002B2CF9AE}" pid="54" name="Checksum">
    <vt:lpwstr>*0016192347168*</vt:lpwstr>
  </property>
  <property fmtid="{D5CDD505-2E9C-101B-9397-08002B2CF9AE}" pid="55" name="skuggnummer">
    <vt:lpwstr>533</vt:lpwstr>
  </property>
  <property fmtid="{D5CDD505-2E9C-101B-9397-08002B2CF9AE}" pid="56" name="urixVersion">
    <vt:lpwstr>4.3.2.0</vt:lpwstr>
  </property>
  <property fmtid="{D5CDD505-2E9C-101B-9397-08002B2CF9AE}" pid="57" name="urixOrigin">
    <vt:lpwstr>110221 13:46:31.936</vt:lpwstr>
  </property>
  <property fmtid="{D5CDD505-2E9C-101B-9397-08002B2CF9AE}" pid="58" name="urixGuid">
    <vt:lpwstr>{BE80B1C5-5ED3-423F-9715-321E2CC84128}</vt:lpwstr>
  </property>
</Properties>
</file>