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18F2" w:rsidRDefault="006E04A4">
      <w:pPr>
        <w:pStyle w:val="Dokumentbeteckning"/>
        <w:rPr>
          <w:u w:val="single"/>
        </w:rPr>
      </w:pPr>
      <w:r w:rsidRPr="00EB18F2">
        <w:fldChar w:fldCharType="begin" w:fldLock="1"/>
      </w:r>
      <w:r w:rsidRPr="00EB18F2">
        <w:instrText xml:space="preserve"> DOCPROPERTY "DocumentYear" </w:instrText>
      </w:r>
      <w:r w:rsidRPr="00EB18F2">
        <w:fldChar w:fldCharType="separate"/>
      </w:r>
      <w:r w:rsidR="00405120" w:rsidRPr="00EB18F2">
        <w:t>2011/12</w:t>
      </w:r>
      <w:r w:rsidRPr="00EB18F2">
        <w:fldChar w:fldCharType="end"/>
      </w:r>
      <w:r w:rsidRPr="00EB18F2">
        <w:t>:</w:t>
      </w:r>
      <w:r w:rsidRPr="00EB18F2">
        <w:fldChar w:fldCharType="begin" w:fldLock="1"/>
      </w:r>
      <w:r w:rsidRPr="00EB18F2">
        <w:instrText xml:space="preserve"> DOCPROPERTY "DocumentNumber" </w:instrText>
      </w:r>
      <w:r w:rsidRPr="00EB18F2">
        <w:fldChar w:fldCharType="separate"/>
      </w:r>
      <w:r w:rsidR="00405120" w:rsidRPr="00EB18F2">
        <w:t>36</w:t>
      </w:r>
      <w:r w:rsidRPr="00EB18F2">
        <w:fldChar w:fldCharType="end"/>
      </w:r>
    </w:p>
    <w:p w:rsidR="006E04A4" w:rsidRPr="00EB18F2" w:rsidRDefault="006E04A4">
      <w:pPr>
        <w:pStyle w:val="Datum"/>
        <w:outlineLvl w:val="0"/>
      </w:pPr>
      <w:r w:rsidRPr="00EB18F2">
        <w:fldChar w:fldCharType="begin" w:fldLock="1"/>
      </w:r>
      <w:r w:rsidRPr="00EB18F2">
        <w:instrText xml:space="preserve"> DOCPROPERTY "DocumentDate" </w:instrText>
      </w:r>
      <w:r w:rsidRPr="00EB18F2">
        <w:fldChar w:fldCharType="separate"/>
      </w:r>
      <w:r w:rsidR="00405120" w:rsidRPr="00EB18F2">
        <w:t>Torsdagen den 24 november 2011</w:t>
      </w:r>
      <w:r w:rsidRPr="00EB18F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18F2" w:rsidRDefault="00F735C3">
            <w:pPr>
              <w:pStyle w:val="Plenum"/>
              <w:tabs>
                <w:tab w:val="clear" w:pos="1418"/>
              </w:tabs>
            </w:pPr>
            <w:r w:rsidRPr="00EB18F2">
              <w:t>Kl.</w:t>
            </w:r>
          </w:p>
        </w:tc>
        <w:tc>
          <w:tcPr>
            <w:tcW w:w="851" w:type="dxa"/>
          </w:tcPr>
          <w:p w:rsidR="006E04A4" w:rsidRPr="00EB18F2" w:rsidRDefault="00F735C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18F2">
              <w:t>12.00</w:t>
            </w:r>
          </w:p>
        </w:tc>
        <w:tc>
          <w:tcPr>
            <w:tcW w:w="397" w:type="dxa"/>
          </w:tcPr>
          <w:p w:rsidR="006E04A4" w:rsidRPr="00EB18F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18F2" w:rsidRDefault="00F735C3">
            <w:pPr>
              <w:pStyle w:val="Plenum"/>
              <w:tabs>
                <w:tab w:val="clear" w:pos="1418"/>
              </w:tabs>
              <w:ind w:right="1"/>
            </w:pPr>
            <w:r w:rsidRPr="00EB18F2">
              <w:t>Val</w:t>
            </w:r>
          </w:p>
        </w:tc>
      </w:tr>
      <w:tr w:rsidR="00F735C3" w:rsidRPr="00EB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ind w:right="1"/>
            </w:pPr>
            <w:r w:rsidRPr="00EB18F2">
              <w:t>Arbetsplenum</w:t>
            </w:r>
          </w:p>
        </w:tc>
      </w:tr>
      <w:tr w:rsidR="00F735C3" w:rsidRPr="00EB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jc w:val="right"/>
            </w:pPr>
            <w:r w:rsidRPr="00EB18F2">
              <w:t>14.00</w:t>
            </w:r>
          </w:p>
        </w:tc>
        <w:tc>
          <w:tcPr>
            <w:tcW w:w="397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ind w:right="1"/>
            </w:pPr>
            <w:r w:rsidRPr="00EB18F2">
              <w:t>Frågestund</w:t>
            </w:r>
          </w:p>
        </w:tc>
      </w:tr>
      <w:tr w:rsidR="00F735C3" w:rsidRPr="00EB18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jc w:val="right"/>
            </w:pPr>
            <w:r w:rsidRPr="00EB18F2">
              <w:t>16.00</w:t>
            </w:r>
          </w:p>
        </w:tc>
        <w:tc>
          <w:tcPr>
            <w:tcW w:w="397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F735C3" w:rsidRPr="00EB18F2" w:rsidRDefault="00F735C3">
            <w:pPr>
              <w:pStyle w:val="Plenum"/>
              <w:tabs>
                <w:tab w:val="clear" w:pos="1418"/>
              </w:tabs>
              <w:ind w:right="1"/>
            </w:pPr>
            <w:r w:rsidRPr="00EB18F2">
              <w:t>Votering</w:t>
            </w: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Val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Konstitutionsutskottet har föreslagit: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Val av chefsjustitieombudsman Elisabet Fura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Omval av justitieombudsman Hans-Gunnar Axberger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Val av ställföreträdande justitieombudsman Cecilia Nordenfelt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Justering av protokoll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Protokollet från sammanträdet fredagen den 18 november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Anmälan om protokollsutdrag från utskott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2011/12:10 Torsdagen den 17 november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NU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2011/12:9 Tisdagen den 22 november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AU</w:t>
            </w: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  <w:r w:rsidRPr="00EB18F2">
              <w:t>Ansvarigt utskott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E55406" w:rsidRPr="00EB18F2" w:rsidRDefault="006257C3" w:rsidP="000D216E">
            <w:r w:rsidRPr="00EB18F2">
              <w:t>2011/12:FPM</w:t>
            </w:r>
            <w:r w:rsidR="00E55406" w:rsidRPr="00EB18F2">
              <w:t xml:space="preserve">32 EU:s ståndpunkt i Internationella valfångskommissionen (IWC) </w:t>
            </w:r>
            <w:r w:rsidR="00E55406" w:rsidRPr="00EB18F2">
              <w:rPr>
                <w:i/>
              </w:rPr>
              <w:t>KOM(2011) 495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MJU</w:t>
            </w: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Anmälan om uppteckningar vid EU-nämndens sammanträden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2011/12:9 Måndagen den 7 november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bookmarkStart w:id="1" w:name="Start_FördröjdaInterpellationer"/>
            <w:bookmarkEnd w:id="1"/>
            <w:r w:rsidRPr="00EB18F2">
              <w:t>Anmälan om fördröjt svar på interpellation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2011/12:114 av Leif Pettersson (S)</w:t>
            </w:r>
          </w:p>
          <w:p w:rsidR="00E55406" w:rsidRPr="00EB18F2" w:rsidRDefault="00E55406" w:rsidP="000D216E">
            <w:r w:rsidRPr="00EB18F2">
              <w:t>Säkerhet i vägtunnlar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"/>
            </w:pPr>
            <w:bookmarkStart w:id="2" w:name="Start_HänvisningTillUtskott"/>
            <w:bookmarkEnd w:id="2"/>
            <w:r w:rsidRPr="00EB18F2">
              <w:t>Ärenden för hänvisning till utskott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  <w:r w:rsidRPr="00EB18F2">
              <w:t>Förslag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Propositioner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2011/12:28 Enklare avbetalningsköp m.m.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CU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2011/12:40 Ändrad tillsyn över kreditvärderingsinstitut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FiU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EU-dokument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680 Meddelande från kommissionen til</w:t>
            </w:r>
            <w:r w:rsidR="006257C3" w:rsidRPr="00EB18F2">
              <w:t>l</w:t>
            </w:r>
            <w:r w:rsidRPr="00EB18F2">
              <w:t xml:space="preserve"> Europaparlame</w:t>
            </w:r>
            <w:r w:rsidR="006257C3" w:rsidRPr="00EB18F2">
              <w:t>ntet och rådet Smart gränsförva</w:t>
            </w:r>
            <w:r w:rsidRPr="00EB18F2">
              <w:t>l</w:t>
            </w:r>
            <w:r w:rsidR="006257C3" w:rsidRPr="00EB18F2">
              <w:t>tn</w:t>
            </w:r>
            <w:r w:rsidRPr="00EB18F2">
              <w:t xml:space="preserve">ing – valmöjligheter och framtida handlingsalternativ 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JuU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764 Anpassning till den nya lagstiftningsramen (Genomförande av varupaketet) Förslag till Europaparlamentets och rådets direktiv om harmonisering av medlemsstaternas lagstiftning om tillhandahållande på marknaden av pyrotekniska artiklar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FöU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765 Anpassning till den nya lagstiftningsramen (Genomförande av varupaketet) Förslag till Europaparlamentets och rådets direktiv om harmonisering av medlemsstaternas lagstiftning om elektromagnetisk</w:t>
            </w:r>
          </w:p>
          <w:p w:rsidR="00E55406" w:rsidRPr="00EB18F2" w:rsidRDefault="00E55406" w:rsidP="000D216E">
            <w:r w:rsidRPr="00EB18F2">
              <w:t>kompatibilitet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FöU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766 Anpassning till den nya lagstiftningsramen (Genomförande av varupaketet) Förslag till Europaparlamentets och rådets direktiv om harmonisering av medlemsstaternas lagstiftning om tillhandahållande på marknaden av icke-automatiska vågar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NU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768 Anpassning till den nya lagstiftningsramen (Genomförande av varupaketet) Förslag till Europaparlamentets och rådets direktiv om harmonisering av medlemsstaternas lagstiftning om tillhandahållande på marknaden av enkla tryckkärl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NU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769 Anpassning till den nya lagstiftningsramen (Genomförande av varupaketet) Förslag till Europaparlamentets och rådets direktiv om harmonisering av medlemsstaternas lagstiftning om tillhandahållande på marknaden av mätinstrument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NU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770 Anpassning till den nya lagstiftningsramen (Genomförande av varupaketet) Förslag till Europaparlamentets och rådets direktiv</w:t>
            </w:r>
            <w:r w:rsidR="006257C3" w:rsidRPr="00EB18F2">
              <w:t xml:space="preserve"> </w:t>
            </w:r>
            <w:r w:rsidRPr="00EB18F2">
              <w:t>om harmonisering av medlemsstaternas lagstiftning om tillhandahållande på marknaden av hissar och säkerhetskomponenter till hissar</w:t>
            </w:r>
          </w:p>
          <w:p w:rsidR="00E55406" w:rsidRPr="00EB18F2" w:rsidRDefault="00E55406" w:rsidP="000D216E">
            <w:r w:rsidRPr="00EB18F2">
              <w:t>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CU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771 Anpassning till den nya lagstiftningsramen (Genomförande av</w:t>
            </w:r>
            <w:r w:rsidR="006257C3" w:rsidRPr="00EB18F2">
              <w:t xml:space="preserve"> </w:t>
            </w:r>
            <w:r w:rsidRPr="00EB18F2">
              <w:t>varupaketet) Förslag till Europaparlamentets och rådets direktiv om harmonisering av medlemsstaternas lagstiftning om tillhandahållande på</w:t>
            </w:r>
            <w:r w:rsidR="006257C3" w:rsidRPr="00EB18F2">
              <w:t xml:space="preserve"> </w:t>
            </w:r>
            <w:r w:rsidRPr="00EB18F2">
              <w:t>marknaden och övervakning av explosiva varor för civilt bruk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FöU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772 Anpassning till den nya lagstiftningsramen (Genomförande av</w:t>
            </w:r>
            <w:r w:rsidR="006257C3" w:rsidRPr="00EB18F2">
              <w:t xml:space="preserve"> </w:t>
            </w:r>
            <w:r w:rsidRPr="00EB18F2">
              <w:t>varupaketet) Förslag till Europaparlamentets och rådets direktiv om harmonisering av medlemsstaternas lagstiftning om utrustning och säkerhetssystem som är avsedda för användning i explosionsfarliga omgivningar</w:t>
            </w:r>
            <w:r w:rsidR="006257C3" w:rsidRPr="00EB18F2">
              <w:t xml:space="preserve"> </w:t>
            </w:r>
            <w:r w:rsidRPr="00EB18F2">
              <w:t>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AU 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KOM(2011) 773 Anpassning till den nya lagstiftningsramen (Genomförande av varupaketet) Förslag till Europaparlamentets och rådets direktiv</w:t>
            </w:r>
            <w:r w:rsidR="006257C3" w:rsidRPr="00EB18F2">
              <w:t xml:space="preserve"> </w:t>
            </w:r>
            <w:r w:rsidRPr="00EB18F2">
              <w:t>om harmonisering av medlemsstaternas lagstiftning om tillhandahållande på marknaden av elektrisk utrustning avsedd för användning inom vissa spänningsgränser (omarbetning)</w:t>
            </w:r>
          </w:p>
          <w:p w:rsidR="00E55406" w:rsidRPr="00EB18F2" w:rsidRDefault="00E55406" w:rsidP="000D216E">
            <w:r w:rsidRPr="00EB18F2">
              <w:rPr>
                <w:i/>
              </w:rPr>
              <w:t>Åttaveckorsfristen för att avge ett motiverat yttrande går ut den 17 januari 2012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 xml:space="preserve">NU </w:t>
            </w: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bookmarkStart w:id="3" w:name="TypRubrik"/>
            <w:bookmarkEnd w:id="3"/>
            <w:r w:rsidRPr="00EB18F2">
              <w:t>Ärenden för avgörande kl. 16.00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  <w:r w:rsidRPr="00EB18F2">
              <w:t>Reservationer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Under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Underrubrik"/>
            </w:pPr>
            <w:bookmarkStart w:id="4" w:name="TypUnderrubrik"/>
            <w:bookmarkEnd w:id="4"/>
            <w:r w:rsidRPr="00EB18F2">
              <w:t>Tidigare slutdebatterade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Under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E554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5406" w:rsidRPr="00EB18F2" w:rsidRDefault="00E55406" w:rsidP="00E55406">
            <w:pPr>
              <w:pStyle w:val="renderubrik"/>
            </w:pPr>
            <w:r w:rsidRPr="00EB18F2">
              <w:t>Finansutskottets betänkanden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2011/12:FiU11 Höständringsbudget för 2011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1 res. (SD)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2011/12:FiU16 Kvothöjning och stadgeändring i Internationella valutafonden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3 res. (SD,V)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E55406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Justitieutskottets betänkande och utlåtanden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2011/12:JuU3 Liechtensteins associering till Schengenregelverket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2011/12:JuU4 Lagring av trafikuppgifter för brottsbekämpande ändamål –Kommissionens utvärderingsrapport om direktiv 2006/24/EG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2 res. (MP,SD,V)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2011/12:JuU6 Ett EU-system för att spåra finansiering av terrorism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2 res. (S,MP,SD,V)</w:t>
            </w:r>
          </w:p>
        </w:tc>
      </w:tr>
    </w:tbl>
    <w:p w:rsidR="00E55406" w:rsidRPr="00EB18F2" w:rsidRDefault="00E55406" w:rsidP="008544E1">
      <w:pPr>
        <w:pStyle w:val="Blankrad"/>
      </w:pPr>
      <w:bookmarkStart w:id="5" w:name="StartText"/>
      <w:bookmarkEnd w:id="5"/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"/>
            </w:pPr>
            <w:bookmarkStart w:id="6" w:name="Start_Ärendenfördebattochavgörande"/>
            <w:bookmarkEnd w:id="6"/>
            <w:r w:rsidRPr="00EB18F2">
              <w:t>Ärenden för debatt och avgörande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 xml:space="preserve">Utrikesutskottets </w:t>
            </w:r>
            <w:r w:rsidR="006257C3" w:rsidRPr="00EB18F2">
              <w:t>utlåtande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2011/12:UU5 Översyn av den europeiska grannskapspolitiken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3 res. (S,MP,SD,V)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Näringsutskottets betänkanden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2011/12:NU5 Statliga företag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12 res. (S,MP,SD,V)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2011/12:NU4 Stärkt konsumentroll för en utvecklad elmarknad och ett uthålligt energisystem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7 res. (S,M,MP,FP,C,V,KD)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2011/12:NU6 En ny lag om elcertifikat – enklare regler och en gemensam elcertifikatsmarknad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4 res. (S,MP,V)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Socialutskottets betänkande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2011/12:SoU5 Tandvård för personer med vissa sjukdomar eller funktionsnedsättningar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4 res. (S,MP,V)</w:t>
            </w: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renderubrik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renderubrik"/>
            </w:pPr>
            <w:r w:rsidRPr="00EB18F2">
              <w:t>Finansutskottets betänkande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renderubrik"/>
              <w:rPr>
                <w:spacing w:val="-4"/>
              </w:rPr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2011/12:FiU6 AP-fondernas verksamhet t.o.m. 2010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  <w:r w:rsidRPr="00EB18F2">
              <w:rPr>
                <w:spacing w:val="-4"/>
              </w:rPr>
              <w:t>2 res. (MP,V)</w:t>
            </w:r>
          </w:p>
        </w:tc>
      </w:tr>
    </w:tbl>
    <w:p w:rsidR="00E55406" w:rsidRPr="00EB18F2" w:rsidRDefault="00E55406" w:rsidP="008544E1">
      <w:pPr>
        <w:pStyle w:val="Blankrad"/>
      </w:pPr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5406" w:rsidRPr="00EB18F2" w:rsidTr="000D216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5406" w:rsidRPr="00EB18F2" w:rsidRDefault="00E55406" w:rsidP="000D216E">
            <w:pPr>
              <w:pStyle w:val="HuvudrubrikFlisteNr"/>
            </w:pPr>
          </w:p>
        </w:tc>
        <w:tc>
          <w:tcPr>
            <w:tcW w:w="6237" w:type="dxa"/>
          </w:tcPr>
          <w:p w:rsidR="00E55406" w:rsidRPr="00EB18F2" w:rsidRDefault="00E55406" w:rsidP="000D216E">
            <w:pPr>
              <w:pStyle w:val="HuvudrubrikEnsam"/>
            </w:pPr>
            <w:r w:rsidRPr="00EB18F2">
              <w:t>Frågestund kl. 14.00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pStyle w:val="HuvudrubrikKolumn3"/>
            </w:pPr>
          </w:p>
        </w:tc>
      </w:tr>
      <w:tr w:rsidR="00E55406" w:rsidRPr="00EB18F2" w:rsidTr="000D216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5406" w:rsidRPr="00EB18F2" w:rsidRDefault="00E55406" w:rsidP="000D216E">
            <w:pPr>
              <w:pStyle w:val="FlistaNrText"/>
            </w:pPr>
          </w:p>
        </w:tc>
        <w:tc>
          <w:tcPr>
            <w:tcW w:w="6237" w:type="dxa"/>
          </w:tcPr>
          <w:p w:rsidR="00E55406" w:rsidRPr="00EB18F2" w:rsidRDefault="00E55406" w:rsidP="000D216E">
            <w:r w:rsidRPr="00EB18F2">
              <w:t>Frågor besvaras av:</w:t>
            </w:r>
          </w:p>
          <w:p w:rsidR="00E55406" w:rsidRPr="00EB18F2" w:rsidRDefault="00E55406" w:rsidP="000D216E">
            <w:r w:rsidRPr="00EB18F2">
              <w:t>Justitieminister Beatrice Ask (M)</w:t>
            </w:r>
          </w:p>
          <w:p w:rsidR="00E55406" w:rsidRPr="00EB18F2" w:rsidRDefault="00E55406" w:rsidP="000D216E">
            <w:r w:rsidRPr="00EB18F2">
              <w:t>Utrikesminister Carl Bildt (M)</w:t>
            </w:r>
          </w:p>
          <w:p w:rsidR="00E55406" w:rsidRPr="00EB18F2" w:rsidRDefault="00E55406" w:rsidP="000D216E">
            <w:r w:rsidRPr="00EB18F2">
              <w:t>Landsbygdsminister Eskil Erlandsson (C)</w:t>
            </w:r>
          </w:p>
          <w:p w:rsidR="00E55406" w:rsidRPr="00EB18F2" w:rsidRDefault="00E55406" w:rsidP="000D216E">
            <w:r w:rsidRPr="00EB18F2">
              <w:t>Statsrådet Gunilla Carlsson (M)</w:t>
            </w:r>
          </w:p>
          <w:p w:rsidR="00E55406" w:rsidRPr="00EB18F2" w:rsidRDefault="00E55406" w:rsidP="000D216E">
            <w:r w:rsidRPr="00EB18F2">
              <w:t>Statsrådet Tobias Billström (M)</w:t>
            </w:r>
          </w:p>
        </w:tc>
        <w:tc>
          <w:tcPr>
            <w:tcW w:w="2481" w:type="dxa"/>
          </w:tcPr>
          <w:p w:rsidR="00E55406" w:rsidRPr="00EB18F2" w:rsidRDefault="00E55406" w:rsidP="000D216E">
            <w:pPr>
              <w:rPr>
                <w:spacing w:val="-4"/>
              </w:rPr>
            </w:pPr>
          </w:p>
        </w:tc>
      </w:tr>
    </w:tbl>
    <w:p w:rsidR="00E55406" w:rsidRPr="00EB18F2" w:rsidRDefault="00E55406" w:rsidP="00E55406">
      <w:pPr>
        <w:pStyle w:val="Blankrad"/>
      </w:pPr>
      <w:r w:rsidRPr="00EB18F2">
        <w:t xml:space="preserve">     </w:t>
      </w:r>
    </w:p>
    <w:p w:rsidR="00E55406" w:rsidRPr="00EB18F2" w:rsidRDefault="00E55406" w:rsidP="00E55406">
      <w:pPr>
        <w:pStyle w:val="Blankrad"/>
      </w:pPr>
    </w:p>
    <w:p w:rsidR="00E55406" w:rsidRPr="00EB18F2" w:rsidRDefault="00E55406" w:rsidP="008544E1">
      <w:pPr>
        <w:pStyle w:val="Blankrad"/>
      </w:pPr>
      <w:r w:rsidRPr="00EB18F2">
        <w:t>     </w:t>
      </w:r>
    </w:p>
    <w:p w:rsidR="0035712A" w:rsidRPr="00EB18F2" w:rsidRDefault="00E55406" w:rsidP="008544E1">
      <w:pPr>
        <w:pStyle w:val="Blankrad"/>
      </w:pPr>
      <w:bookmarkStart w:id="7" w:name="Start"/>
      <w:bookmarkEnd w:id="7"/>
      <w:r w:rsidRPr="00EB18F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18F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18F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18F2" w:rsidRDefault="006E04A4" w:rsidP="00D016E9">
            <w:pPr>
              <w:pStyle w:val="StreckMitten"/>
            </w:pPr>
            <w:r w:rsidRPr="00EB18F2">
              <w:tab/>
            </w:r>
            <w:r w:rsidRPr="00EB18F2">
              <w:tab/>
            </w:r>
          </w:p>
        </w:tc>
      </w:tr>
    </w:tbl>
    <w:p w:rsidR="006E04A4" w:rsidRPr="00EB18F2" w:rsidRDefault="006E04A4" w:rsidP="003675A0">
      <w:pPr>
        <w:pStyle w:val="Blankrad"/>
      </w:pPr>
    </w:p>
    <w:sectPr w:rsidR="006E04A4" w:rsidRPr="00EB18F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6F78" w:rsidRPr="00EB18F2" w:rsidRDefault="00276F78">
      <w:r w:rsidRPr="00EB18F2">
        <w:separator/>
      </w:r>
    </w:p>
  </w:endnote>
  <w:endnote w:type="continuationSeparator" w:id="0">
    <w:p w:rsidR="00276F78" w:rsidRPr="00EB18F2" w:rsidRDefault="00276F78">
      <w:r w:rsidRPr="00EB18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120" w:rsidRPr="00EB18F2" w:rsidRDefault="00405120">
    <w:pPr>
      <w:pStyle w:val="Sidhuvud"/>
      <w:jc w:val="center"/>
    </w:pPr>
    <w:r w:rsidRPr="00EB18F2">
      <w:fldChar w:fldCharType="begin" w:fldLock="1"/>
    </w:r>
    <w:r w:rsidRPr="00EB18F2">
      <w:instrText xml:space="preserve"> PAGE </w:instrText>
    </w:r>
    <w:r w:rsidRPr="00EB18F2">
      <w:fldChar w:fldCharType="separate"/>
    </w:r>
    <w:r w:rsidRPr="00EB18F2">
      <w:t>4</w:t>
    </w:r>
    <w:r w:rsidRPr="00EB18F2">
      <w:fldChar w:fldCharType="end"/>
    </w:r>
    <w:r w:rsidRPr="00EB18F2">
      <w:t xml:space="preserve"> (</w:t>
    </w:r>
    <w:r w:rsidRPr="00EB18F2">
      <w:fldChar w:fldCharType="begin" w:fldLock="1"/>
    </w:r>
    <w:r w:rsidRPr="00EB18F2">
      <w:instrText xml:space="preserve"> NUMPAGES </w:instrText>
    </w:r>
    <w:r w:rsidRPr="00EB18F2">
      <w:fldChar w:fldCharType="separate"/>
    </w:r>
    <w:r w:rsidRPr="00EB18F2">
      <w:t>4</w:t>
    </w:r>
    <w:r w:rsidRPr="00EB18F2">
      <w:fldChar w:fldCharType="end"/>
    </w:r>
    <w:r w:rsidRPr="00EB18F2">
      <w:t>)</w:t>
    </w:r>
  </w:p>
  <w:p w:rsidR="00405120" w:rsidRPr="00EB18F2" w:rsidRDefault="004051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120" w:rsidRPr="00EB18F2" w:rsidRDefault="00405120">
    <w:pPr>
      <w:pStyle w:val="Sidhuvud"/>
      <w:jc w:val="center"/>
    </w:pPr>
    <w:r w:rsidRPr="00EB18F2">
      <w:fldChar w:fldCharType="begin" w:fldLock="1"/>
    </w:r>
    <w:r w:rsidRPr="00EB18F2">
      <w:instrText xml:space="preserve"> PAGE </w:instrText>
    </w:r>
    <w:r w:rsidRPr="00EB18F2">
      <w:fldChar w:fldCharType="separate"/>
    </w:r>
    <w:r w:rsidRPr="00EB18F2">
      <w:t>4</w:t>
    </w:r>
    <w:r w:rsidRPr="00EB18F2">
      <w:fldChar w:fldCharType="end"/>
    </w:r>
    <w:r w:rsidRPr="00EB18F2">
      <w:t xml:space="preserve"> (</w:t>
    </w:r>
    <w:r w:rsidRPr="00EB18F2">
      <w:fldChar w:fldCharType="begin" w:fldLock="1"/>
    </w:r>
    <w:r w:rsidRPr="00EB18F2">
      <w:instrText xml:space="preserve"> NUMPAGES </w:instrText>
    </w:r>
    <w:r w:rsidRPr="00EB18F2">
      <w:fldChar w:fldCharType="separate"/>
    </w:r>
    <w:r w:rsidRPr="00EB18F2">
      <w:t>4</w:t>
    </w:r>
    <w:r w:rsidRPr="00EB18F2">
      <w:fldChar w:fldCharType="end"/>
    </w:r>
    <w:r w:rsidRPr="00EB18F2">
      <w:t>)</w:t>
    </w:r>
  </w:p>
  <w:p w:rsidR="00405120" w:rsidRPr="00EB18F2" w:rsidRDefault="004051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6F78" w:rsidRPr="00EB18F2" w:rsidRDefault="00276F78">
      <w:r w:rsidRPr="00EB18F2">
        <w:separator/>
      </w:r>
    </w:p>
  </w:footnote>
  <w:footnote w:type="continuationSeparator" w:id="0">
    <w:p w:rsidR="00276F78" w:rsidRPr="00EB18F2" w:rsidRDefault="00276F78">
      <w:r w:rsidRPr="00EB18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120" w:rsidRPr="00EB18F2" w:rsidRDefault="00405120">
    <w:pPr>
      <w:pStyle w:val="Sidhuvud"/>
      <w:tabs>
        <w:tab w:val="clear" w:pos="4536"/>
      </w:tabs>
    </w:pPr>
    <w:r w:rsidRPr="00EB18F2">
      <w:fldChar w:fldCharType="begin" w:fldLock="1"/>
    </w:r>
    <w:r w:rsidRPr="00EB18F2">
      <w:instrText xml:space="preserve"> DOCPROPERTY "DocumentDate" </w:instrText>
    </w:r>
    <w:r w:rsidRPr="00EB18F2">
      <w:fldChar w:fldCharType="separate"/>
    </w:r>
    <w:r w:rsidRPr="00EB18F2">
      <w:t>Torsdagen den 24 november 2011</w:t>
    </w:r>
    <w:r w:rsidRPr="00EB18F2">
      <w:fldChar w:fldCharType="end"/>
    </w:r>
    <w:r w:rsidRPr="00EB18F2">
      <w:tab/>
    </w:r>
  </w:p>
  <w:p w:rsidR="00405120" w:rsidRPr="00EB18F2" w:rsidRDefault="004051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18F2">
      <w:rPr>
        <w:sz w:val="12"/>
      </w:rPr>
      <w:tab/>
    </w:r>
  </w:p>
  <w:p w:rsidR="00405120" w:rsidRPr="00EB18F2" w:rsidRDefault="00405120"/>
  <w:p w:rsidR="00405120" w:rsidRPr="00EB18F2" w:rsidRDefault="004051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5120" w:rsidRPr="00EB18F2" w:rsidRDefault="00EB18F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18F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5120" w:rsidRPr="00EB18F2" w:rsidRDefault="00405120">
    <w:pPr>
      <w:pStyle w:val="Dokumentrubrik"/>
      <w:spacing w:after="360"/>
    </w:pPr>
    <w:r w:rsidRPr="00EB18F2">
      <w:t>Föredragningslista</w:t>
    </w:r>
  </w:p>
  <w:p w:rsidR="00405120" w:rsidRPr="00EB18F2" w:rsidRDefault="004051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89712196">
    <w:abstractNumId w:val="5"/>
  </w:num>
  <w:num w:numId="2" w16cid:durableId="475801393">
    <w:abstractNumId w:val="2"/>
  </w:num>
  <w:num w:numId="3" w16cid:durableId="1321927681">
    <w:abstractNumId w:val="4"/>
  </w:num>
  <w:num w:numId="4" w16cid:durableId="1204094800">
    <w:abstractNumId w:val="1"/>
  </w:num>
  <w:num w:numId="5" w16cid:durableId="775566391">
    <w:abstractNumId w:val="0"/>
  </w:num>
  <w:num w:numId="6" w16cid:durableId="1685084993">
    <w:abstractNumId w:val="3"/>
  </w:num>
  <w:num w:numId="7" w16cid:durableId="266894007">
    <w:abstractNumId w:val="3"/>
  </w:num>
  <w:num w:numId="8" w16cid:durableId="13789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96709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216E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3296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7060"/>
    <w:rsid w:val="0025181C"/>
    <w:rsid w:val="0026765E"/>
    <w:rsid w:val="00270162"/>
    <w:rsid w:val="002732DA"/>
    <w:rsid w:val="00274A69"/>
    <w:rsid w:val="002760B5"/>
    <w:rsid w:val="002766C2"/>
    <w:rsid w:val="00276F78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152C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5712A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120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7C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25D0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4E1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3077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867AC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96709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0D5"/>
    <w:rsid w:val="00AE1CA5"/>
    <w:rsid w:val="00AE255A"/>
    <w:rsid w:val="00AE413F"/>
    <w:rsid w:val="00AE4186"/>
    <w:rsid w:val="00AE4BC2"/>
    <w:rsid w:val="00AE62EB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02B6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0A89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6A46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4CB5"/>
    <w:rsid w:val="00E55406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18F2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5C3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399F3-4163-4BB6-9D74-FD5035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773</Words>
  <Characters>5439</Characters>
  <Application>Microsoft Office Word</Application>
  <DocSecurity>4</DocSecurity>
  <Lines>286</Lines>
  <Paragraphs>163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2011-11-23T15:40:00Z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24 november 2011</vt:lpwstr>
  </property>
  <property fmtid="{D5CDD505-2E9C-101B-9397-08002B2CF9AE}" pid="3" name="DocumentNumber">
    <vt:lpwstr>36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2011-11-24</vt:lpwstr>
  </property>
  <property fmtid="{D5CDD505-2E9C-101B-9397-08002B2CF9AE}" pid="7" name="DatumAvgörande">
    <vt:lpwstr>2011-11-24</vt:lpwstr>
  </property>
</Properties>
</file>