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A4FEC9F6F34502B98F5DC31AC1F5ED"/>
        </w:placeholder>
        <w:text/>
      </w:sdtPr>
      <w:sdtEndPr/>
      <w:sdtContent>
        <w:p w:rsidRPr="009B062B" w:rsidR="00AF30DD" w:rsidP="00DA28CE" w:rsidRDefault="00AF30DD" w14:paraId="274A7A6F" w14:textId="77777777">
          <w:pPr>
            <w:pStyle w:val="Rubrik1"/>
            <w:spacing w:after="300"/>
          </w:pPr>
          <w:r w:rsidRPr="009B062B">
            <w:t>Förslag till riksdagsbeslut</w:t>
          </w:r>
        </w:p>
      </w:sdtContent>
    </w:sdt>
    <w:bookmarkStart w:name="_Hlk20812738" w:displacedByCustomXml="next" w:id="0"/>
    <w:sdt>
      <w:sdtPr>
        <w:alias w:val="Yrkande 1"/>
        <w:tag w:val="d56e33ce-6718-4ca8-89eb-5a217c5431f0"/>
        <w:id w:val="-567726099"/>
        <w:lock w:val="sdtLocked"/>
      </w:sdtPr>
      <w:sdtEndPr/>
      <w:sdtContent>
        <w:p w:rsidR="00842166" w:rsidRDefault="00911087" w14:paraId="274A7A70" w14:textId="77777777">
          <w:pPr>
            <w:pStyle w:val="Frslagstext"/>
            <w:numPr>
              <w:ilvl w:val="0"/>
              <w:numId w:val="0"/>
            </w:numPr>
          </w:pPr>
          <w:r>
            <w:t>Riksdagen ställer sig bakom det som anförs i motionen om att Sverige ska verka för att ett granskningsförfarande upprättas för det vetenskapliga underlag som EU-domstolen har för sina domar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43E44B6C94E4964813A24623EE12C01"/>
        </w:placeholder>
        <w:text/>
      </w:sdtPr>
      <w:sdtEndPr/>
      <w:sdtContent>
        <w:p w:rsidRPr="009B062B" w:rsidR="006D79C9" w:rsidP="00EC23B2" w:rsidRDefault="006D79C9" w14:paraId="274A7A71" w14:textId="77777777">
          <w:pPr>
            <w:pStyle w:val="Rubrik1"/>
            <w:spacing w:before="760"/>
          </w:pPr>
          <w:r>
            <w:t>Motivering</w:t>
          </w:r>
        </w:p>
      </w:sdtContent>
    </w:sdt>
    <w:p w:rsidR="000424E6" w:rsidP="00EC23B2" w:rsidRDefault="000424E6" w14:paraId="274A7A72" w14:textId="6731E159">
      <w:pPr>
        <w:pStyle w:val="Normalutanindragellerluft"/>
      </w:pPr>
      <w:r>
        <w:t xml:space="preserve">Europeiska unionens domstol är den högsta dömande instansen för EU-rätten. Domar som avkunnats av EU-domstolen </w:t>
      </w:r>
      <w:r w:rsidR="00EC226A">
        <w:t>kan inte</w:t>
      </w:r>
      <w:r>
        <w:t xml:space="preserve"> överklaga</w:t>
      </w:r>
      <w:r w:rsidR="00EC226A">
        <w:t>s</w:t>
      </w:r>
      <w:r w:rsidR="00A22811">
        <w:t>. M</w:t>
      </w:r>
      <w:r>
        <w:t xml:space="preserve">edlemsstaternas domstolar samt myndigheter </w:t>
      </w:r>
      <w:r w:rsidR="00EC226A">
        <w:t xml:space="preserve">ska </w:t>
      </w:r>
      <w:r>
        <w:t>rätta sig efter dem.</w:t>
      </w:r>
    </w:p>
    <w:p w:rsidR="000424E6" w:rsidP="00EC23B2" w:rsidRDefault="000424E6" w14:paraId="274A7A73" w14:textId="6813E30C">
      <w:r>
        <w:t xml:space="preserve">I fall </w:t>
      </w:r>
      <w:r w:rsidR="00000E16">
        <w:t xml:space="preserve">nummer </w:t>
      </w:r>
      <w:r>
        <w:t>C-528/16 baserades avgörandet på en bedömning av miljöriskerna med vissa nya tekniker för växtförädling. Med den bedömningen som underlag gjorde domstolen sedan en juridisk prövning. I fallet gjorde domstolen ingen egen miljörisk</w:t>
      </w:r>
      <w:r w:rsidR="00EC23B2">
        <w:softHyphen/>
      </w:r>
      <w:r>
        <w:t>be</w:t>
      </w:r>
      <w:bookmarkStart w:name="_GoBack" w:id="2"/>
      <w:bookmarkEnd w:id="2"/>
      <w:r>
        <w:t>dömning utan utgick från en miljöriskbedömning som en av parterna i målet hade använt sig av och som höll en mycket låg vetenskaplig kvalitet</w:t>
      </w:r>
      <w:r w:rsidR="009C04EA">
        <w:t xml:space="preserve"> enligt forskare</w:t>
      </w:r>
      <w:r>
        <w:t xml:space="preserve">. Även om den juridiska bedömningen anses vara god, påverkades utfallet från den juridiska bedömningen av den undermåliga vetenskapliga bedömning som låg till grund för denna. Avsaknaden av ett gott vetenskapligt underlag </w:t>
      </w:r>
      <w:r w:rsidR="00000E16">
        <w:t>innebar</w:t>
      </w:r>
      <w:r>
        <w:t xml:space="preserve"> att domstolen inte kunde se nödvändiga skillnader och inte kunde ställa rätt frågor.</w:t>
      </w:r>
      <w:r w:rsidR="009C04EA">
        <w:t xml:space="preserve"> Det belyser en generell brist.</w:t>
      </w:r>
    </w:p>
    <w:p w:rsidR="00BB6339" w:rsidP="00EC23B2" w:rsidRDefault="000424E6" w14:paraId="274A7A74" w14:textId="432CD9C4">
      <w:r>
        <w:t>För att säkerställa Europeiska unionens rättssäkerhet anser jag att ett obligatoriskt gran</w:t>
      </w:r>
      <w:r w:rsidR="00000E16">
        <w:t>skningsförfarande bör upprättas. Förfarandet ska innebära att</w:t>
      </w:r>
      <w:r>
        <w:t xml:space="preserve"> faktainnehållet i EU-domstolens underlag</w:t>
      </w:r>
      <w:r w:rsidR="00000E16">
        <w:t xml:space="preserve"> ska granskas</w:t>
      </w:r>
      <w:r>
        <w:t xml:space="preserve"> </w:t>
      </w:r>
      <w:r w:rsidR="00522F59">
        <w:t xml:space="preserve">från en vetenskaplig synvinkel </w:t>
      </w:r>
      <w:r>
        <w:t>innan den avkunnar sin dom.</w:t>
      </w:r>
    </w:p>
    <w:sdt>
      <w:sdtPr>
        <w:rPr>
          <w:i/>
          <w:noProof/>
        </w:rPr>
        <w:alias w:val="CC_Underskrifter"/>
        <w:tag w:val="CC_Underskrifter"/>
        <w:id w:val="583496634"/>
        <w:lock w:val="sdtContentLocked"/>
        <w:placeholder>
          <w:docPart w:val="1CF314AB6CD441B1A9814CEB5A7EBA10"/>
        </w:placeholder>
      </w:sdtPr>
      <w:sdtEndPr>
        <w:rPr>
          <w:i w:val="0"/>
          <w:noProof w:val="0"/>
        </w:rPr>
      </w:sdtEndPr>
      <w:sdtContent>
        <w:p w:rsidR="009654BA" w:rsidP="009654BA" w:rsidRDefault="009654BA" w14:paraId="274A7A75" w14:textId="77777777"/>
        <w:p w:rsidRPr="008E0FE2" w:rsidR="004801AC" w:rsidP="009654BA" w:rsidRDefault="00EC23B2" w14:paraId="274A7A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374810" w:rsidRDefault="00374810" w14:paraId="274A7A7A" w14:textId="77777777"/>
    <w:sectPr w:rsidR="003748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A7A7C" w14:textId="77777777" w:rsidR="00506F24" w:rsidRDefault="00506F24" w:rsidP="000C1CAD">
      <w:pPr>
        <w:spacing w:line="240" w:lineRule="auto"/>
      </w:pPr>
      <w:r>
        <w:separator/>
      </w:r>
    </w:p>
  </w:endnote>
  <w:endnote w:type="continuationSeparator" w:id="0">
    <w:p w14:paraId="274A7A7D" w14:textId="77777777" w:rsidR="00506F24" w:rsidRDefault="00506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7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7A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4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E26B" w14:textId="77777777" w:rsidR="005001EF" w:rsidRDefault="005001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7A7A" w14:textId="77777777" w:rsidR="00506F24" w:rsidRDefault="00506F24" w:rsidP="000C1CAD">
      <w:pPr>
        <w:spacing w:line="240" w:lineRule="auto"/>
      </w:pPr>
      <w:r>
        <w:separator/>
      </w:r>
    </w:p>
  </w:footnote>
  <w:footnote w:type="continuationSeparator" w:id="0">
    <w:p w14:paraId="274A7A7B" w14:textId="77777777" w:rsidR="00506F24" w:rsidRDefault="00506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4A7A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A7A8D" wp14:anchorId="274A7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3B2" w14:paraId="274A7A90" w14:textId="77777777">
                          <w:pPr>
                            <w:jc w:val="right"/>
                          </w:pPr>
                          <w:sdt>
                            <w:sdtPr>
                              <w:alias w:val="CC_Noformat_Partikod"/>
                              <w:tag w:val="CC_Noformat_Partikod"/>
                              <w:id w:val="-53464382"/>
                              <w:placeholder>
                                <w:docPart w:val="A38B29ABFB7C4EC5A74136E37B076217"/>
                              </w:placeholder>
                              <w:text/>
                            </w:sdtPr>
                            <w:sdtEndPr/>
                            <w:sdtContent>
                              <w:r w:rsidR="000424E6">
                                <w:t>SD</w:t>
                              </w:r>
                            </w:sdtContent>
                          </w:sdt>
                          <w:sdt>
                            <w:sdtPr>
                              <w:alias w:val="CC_Noformat_Partinummer"/>
                              <w:tag w:val="CC_Noformat_Partinummer"/>
                              <w:id w:val="-1709555926"/>
                              <w:placeholder>
                                <w:docPart w:val="D1EA382FEDC649C892C4E980E524ECF4"/>
                              </w:placeholder>
                              <w:text/>
                            </w:sdtPr>
                            <w:sdtEndPr/>
                            <w:sdtContent>
                              <w:r w:rsidR="00456199">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A7A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3B2" w14:paraId="274A7A90" w14:textId="77777777">
                    <w:pPr>
                      <w:jc w:val="right"/>
                    </w:pPr>
                    <w:sdt>
                      <w:sdtPr>
                        <w:alias w:val="CC_Noformat_Partikod"/>
                        <w:tag w:val="CC_Noformat_Partikod"/>
                        <w:id w:val="-53464382"/>
                        <w:placeholder>
                          <w:docPart w:val="A38B29ABFB7C4EC5A74136E37B076217"/>
                        </w:placeholder>
                        <w:text/>
                      </w:sdtPr>
                      <w:sdtEndPr/>
                      <w:sdtContent>
                        <w:r w:rsidR="000424E6">
                          <w:t>SD</w:t>
                        </w:r>
                      </w:sdtContent>
                    </w:sdt>
                    <w:sdt>
                      <w:sdtPr>
                        <w:alias w:val="CC_Noformat_Partinummer"/>
                        <w:tag w:val="CC_Noformat_Partinummer"/>
                        <w:id w:val="-1709555926"/>
                        <w:placeholder>
                          <w:docPart w:val="D1EA382FEDC649C892C4E980E524ECF4"/>
                        </w:placeholder>
                        <w:text/>
                      </w:sdtPr>
                      <w:sdtEndPr/>
                      <w:sdtContent>
                        <w:r w:rsidR="00456199">
                          <w:t>289</w:t>
                        </w:r>
                      </w:sdtContent>
                    </w:sdt>
                  </w:p>
                </w:txbxContent>
              </v:textbox>
              <w10:wrap anchorx="page"/>
            </v:shape>
          </w:pict>
        </mc:Fallback>
      </mc:AlternateContent>
    </w:r>
  </w:p>
  <w:p w:rsidRPr="00293C4F" w:rsidR="00262EA3" w:rsidP="00776B74" w:rsidRDefault="00262EA3" w14:paraId="274A7A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4A7A80" w14:textId="77777777">
    <w:pPr>
      <w:jc w:val="right"/>
    </w:pPr>
  </w:p>
  <w:p w:rsidR="00262EA3" w:rsidP="00776B74" w:rsidRDefault="00262EA3" w14:paraId="274A7A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23B2" w14:paraId="274A7A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4A7A8F" wp14:anchorId="274A7A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3B2" w14:paraId="274A7A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24E6">
          <w:t>SD</w:t>
        </w:r>
      </w:sdtContent>
    </w:sdt>
    <w:sdt>
      <w:sdtPr>
        <w:alias w:val="CC_Noformat_Partinummer"/>
        <w:tag w:val="CC_Noformat_Partinummer"/>
        <w:id w:val="-2014525982"/>
        <w:text/>
      </w:sdtPr>
      <w:sdtEndPr/>
      <w:sdtContent>
        <w:r w:rsidR="00456199">
          <w:t>289</w:t>
        </w:r>
      </w:sdtContent>
    </w:sdt>
  </w:p>
  <w:p w:rsidRPr="008227B3" w:rsidR="00262EA3" w:rsidP="008227B3" w:rsidRDefault="00EC23B2" w14:paraId="274A7A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3B2" w14:paraId="274A7A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:806</w:t>
        </w:r>
      </w:sdtContent>
    </w:sdt>
  </w:p>
  <w:p w:rsidR="00262EA3" w:rsidP="00E03A3D" w:rsidRDefault="00EC23B2" w14:paraId="274A7A88"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0424E6" w14:paraId="274A7A89" w14:textId="77777777">
        <w:pPr>
          <w:pStyle w:val="FSHRub2"/>
        </w:pPr>
        <w:r>
          <w:t>Förfarande för faktagranskning av EU-domstolens underlag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74A7A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24E6"/>
    <w:rsid w:val="000000E0"/>
    <w:rsid w:val="00000761"/>
    <w:rsid w:val="00000E1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E6"/>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8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7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81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1EF"/>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F24"/>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59"/>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B3"/>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66"/>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087"/>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4B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EA"/>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1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26A"/>
    <w:rsid w:val="00EC23B2"/>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4A7A6E"/>
  <w15:chartTrackingRefBased/>
  <w15:docId w15:val="{5EF64380-EF0C-4DDD-AC44-C70369E7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A4FEC9F6F34502B98F5DC31AC1F5ED"/>
        <w:category>
          <w:name w:val="Allmänt"/>
          <w:gallery w:val="placeholder"/>
        </w:category>
        <w:types>
          <w:type w:val="bbPlcHdr"/>
        </w:types>
        <w:behaviors>
          <w:behavior w:val="content"/>
        </w:behaviors>
        <w:guid w:val="{0D0B5F0B-1A6C-49E4-9EA4-072EA7130D91}"/>
      </w:docPartPr>
      <w:docPartBody>
        <w:p w:rsidR="00CB5309" w:rsidRDefault="00CB5309">
          <w:pPr>
            <w:pStyle w:val="22A4FEC9F6F34502B98F5DC31AC1F5ED"/>
          </w:pPr>
          <w:r w:rsidRPr="005A0A93">
            <w:rPr>
              <w:rStyle w:val="Platshllartext"/>
            </w:rPr>
            <w:t>Förslag till riksdagsbeslut</w:t>
          </w:r>
        </w:p>
      </w:docPartBody>
    </w:docPart>
    <w:docPart>
      <w:docPartPr>
        <w:name w:val="643E44B6C94E4964813A24623EE12C01"/>
        <w:category>
          <w:name w:val="Allmänt"/>
          <w:gallery w:val="placeholder"/>
        </w:category>
        <w:types>
          <w:type w:val="bbPlcHdr"/>
        </w:types>
        <w:behaviors>
          <w:behavior w:val="content"/>
        </w:behaviors>
        <w:guid w:val="{CC44214C-7F5E-4EF9-9F5B-2DE1BCEFA9A3}"/>
      </w:docPartPr>
      <w:docPartBody>
        <w:p w:rsidR="00CB5309" w:rsidRDefault="00CB5309">
          <w:pPr>
            <w:pStyle w:val="643E44B6C94E4964813A24623EE12C01"/>
          </w:pPr>
          <w:r w:rsidRPr="005A0A93">
            <w:rPr>
              <w:rStyle w:val="Platshllartext"/>
            </w:rPr>
            <w:t>Motivering</w:t>
          </w:r>
        </w:p>
      </w:docPartBody>
    </w:docPart>
    <w:docPart>
      <w:docPartPr>
        <w:name w:val="A38B29ABFB7C4EC5A74136E37B076217"/>
        <w:category>
          <w:name w:val="Allmänt"/>
          <w:gallery w:val="placeholder"/>
        </w:category>
        <w:types>
          <w:type w:val="bbPlcHdr"/>
        </w:types>
        <w:behaviors>
          <w:behavior w:val="content"/>
        </w:behaviors>
        <w:guid w:val="{5ED2A8A8-33A4-433B-8D33-8DFD20944238}"/>
      </w:docPartPr>
      <w:docPartBody>
        <w:p w:rsidR="00CB5309" w:rsidRDefault="00CB5309">
          <w:pPr>
            <w:pStyle w:val="A38B29ABFB7C4EC5A74136E37B076217"/>
          </w:pPr>
          <w:r>
            <w:rPr>
              <w:rStyle w:val="Platshllartext"/>
            </w:rPr>
            <w:t xml:space="preserve"> </w:t>
          </w:r>
        </w:p>
      </w:docPartBody>
    </w:docPart>
    <w:docPart>
      <w:docPartPr>
        <w:name w:val="D1EA382FEDC649C892C4E980E524ECF4"/>
        <w:category>
          <w:name w:val="Allmänt"/>
          <w:gallery w:val="placeholder"/>
        </w:category>
        <w:types>
          <w:type w:val="bbPlcHdr"/>
        </w:types>
        <w:behaviors>
          <w:behavior w:val="content"/>
        </w:behaviors>
        <w:guid w:val="{108E3032-E6F1-4AA1-A075-A37A062FC8DA}"/>
      </w:docPartPr>
      <w:docPartBody>
        <w:p w:rsidR="00CB5309" w:rsidRDefault="00CB5309">
          <w:pPr>
            <w:pStyle w:val="D1EA382FEDC649C892C4E980E524ECF4"/>
          </w:pPr>
          <w:r>
            <w:t xml:space="preserve"> </w:t>
          </w:r>
        </w:p>
      </w:docPartBody>
    </w:docPart>
    <w:docPart>
      <w:docPartPr>
        <w:name w:val="1CF314AB6CD441B1A9814CEB5A7EBA10"/>
        <w:category>
          <w:name w:val="Allmänt"/>
          <w:gallery w:val="placeholder"/>
        </w:category>
        <w:types>
          <w:type w:val="bbPlcHdr"/>
        </w:types>
        <w:behaviors>
          <w:behavior w:val="content"/>
        </w:behaviors>
        <w:guid w:val="{F0C5CBD7-8463-47E7-980E-9B901ED1FDB7}"/>
      </w:docPartPr>
      <w:docPartBody>
        <w:p w:rsidR="00317559" w:rsidRDefault="00317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09"/>
    <w:rsid w:val="00317559"/>
    <w:rsid w:val="00CB5309"/>
    <w:rsid w:val="00E61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4FEC9F6F34502B98F5DC31AC1F5ED">
    <w:name w:val="22A4FEC9F6F34502B98F5DC31AC1F5ED"/>
  </w:style>
  <w:style w:type="paragraph" w:customStyle="1" w:styleId="8173479F4B2E4C308F4DB90A470C24E6">
    <w:name w:val="8173479F4B2E4C308F4DB90A470C24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E110C389C64E3BB0D5F322306C50D5">
    <w:name w:val="D7E110C389C64E3BB0D5F322306C50D5"/>
  </w:style>
  <w:style w:type="paragraph" w:customStyle="1" w:styleId="643E44B6C94E4964813A24623EE12C01">
    <w:name w:val="643E44B6C94E4964813A24623EE12C01"/>
  </w:style>
  <w:style w:type="paragraph" w:customStyle="1" w:styleId="425AF0BEC22145268460035FE68BDF87">
    <w:name w:val="425AF0BEC22145268460035FE68BDF87"/>
  </w:style>
  <w:style w:type="paragraph" w:customStyle="1" w:styleId="19BDA56ECC33429E8B03E8E83E777191">
    <w:name w:val="19BDA56ECC33429E8B03E8E83E777191"/>
  </w:style>
  <w:style w:type="paragraph" w:customStyle="1" w:styleId="A38B29ABFB7C4EC5A74136E37B076217">
    <w:name w:val="A38B29ABFB7C4EC5A74136E37B076217"/>
  </w:style>
  <w:style w:type="paragraph" w:customStyle="1" w:styleId="D1EA382FEDC649C892C4E980E524ECF4">
    <w:name w:val="D1EA382FEDC649C892C4E980E524E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9ABBE-7AE2-4686-ADAB-A9A6C2838C94}"/>
</file>

<file path=customXml/itemProps2.xml><?xml version="1.0" encoding="utf-8"?>
<ds:datastoreItem xmlns:ds="http://schemas.openxmlformats.org/officeDocument/2006/customXml" ds:itemID="{6DB96D4C-52D6-4C92-87E7-58F2E1B44D8C}"/>
</file>

<file path=customXml/itemProps3.xml><?xml version="1.0" encoding="utf-8"?>
<ds:datastoreItem xmlns:ds="http://schemas.openxmlformats.org/officeDocument/2006/customXml" ds:itemID="{14392F53-66C3-4507-A4E6-09A5C07096DC}"/>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1302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SD289 Förfarande för faktagranskning av EU domstolens underlag</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