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5A562F">
        <w:tblPrEx>
          <w:tblCellMar>
            <w:top w:w="0" w:type="dxa"/>
            <w:bottom w:w="0" w:type="dxa"/>
          </w:tblCellMar>
        </w:tblPrEx>
        <w:tc>
          <w:tcPr>
            <w:tcW w:w="2268" w:type="dxa"/>
          </w:tcPr>
          <w:p w:rsidR="005F1820" w:rsidRPr="005A562F" w:rsidRDefault="005F1820">
            <w:pPr>
              <w:framePr w:w="4400" w:h="1644" w:wrap="notBeside" w:vAnchor="page" w:hAnchor="page" w:x="6573" w:y="721"/>
              <w:rPr>
                <w:rFonts w:ascii="TradeGothic" w:hAnsi="TradeGothic"/>
                <w:i/>
                <w:sz w:val="18"/>
              </w:rPr>
            </w:pPr>
          </w:p>
        </w:tc>
        <w:tc>
          <w:tcPr>
            <w:tcW w:w="2347" w:type="dxa"/>
            <w:gridSpan w:val="2"/>
          </w:tcPr>
          <w:p w:rsidR="005F1820" w:rsidRPr="005A562F" w:rsidRDefault="005F1820">
            <w:pPr>
              <w:framePr w:w="4400" w:h="1644" w:wrap="notBeside" w:vAnchor="page" w:hAnchor="page" w:x="6573" w:y="721"/>
              <w:rPr>
                <w:rFonts w:ascii="TradeGothic" w:hAnsi="TradeGothic"/>
                <w:i/>
                <w:sz w:val="18"/>
              </w:rPr>
            </w:pPr>
          </w:p>
        </w:tc>
      </w:tr>
      <w:tr w:rsidR="005F1820" w:rsidRPr="005A562F">
        <w:tblPrEx>
          <w:tblCellMar>
            <w:top w:w="0" w:type="dxa"/>
            <w:bottom w:w="0" w:type="dxa"/>
          </w:tblCellMar>
        </w:tblPrEx>
        <w:tc>
          <w:tcPr>
            <w:tcW w:w="2268" w:type="dxa"/>
          </w:tcPr>
          <w:p w:rsidR="005F1820" w:rsidRPr="005A562F" w:rsidRDefault="005F1820">
            <w:pPr>
              <w:framePr w:w="4400" w:h="1644" w:wrap="notBeside" w:vAnchor="page" w:hAnchor="page" w:x="6573" w:y="721"/>
              <w:rPr>
                <w:rFonts w:ascii="TradeGothic" w:hAnsi="TradeGothic"/>
                <w:b/>
                <w:sz w:val="22"/>
              </w:rPr>
            </w:pPr>
            <w:r w:rsidRPr="005A562F">
              <w:rPr>
                <w:rFonts w:ascii="TradeGothic" w:hAnsi="TradeGothic"/>
                <w:b/>
                <w:sz w:val="22"/>
              </w:rPr>
              <w:t>Promemoria</w:t>
            </w:r>
          </w:p>
        </w:tc>
        <w:tc>
          <w:tcPr>
            <w:tcW w:w="2347" w:type="dxa"/>
            <w:gridSpan w:val="2"/>
          </w:tcPr>
          <w:p w:rsidR="005F1820" w:rsidRPr="005A562F" w:rsidRDefault="005F1820">
            <w:pPr>
              <w:framePr w:w="4400" w:h="1644" w:wrap="notBeside" w:vAnchor="page" w:hAnchor="page" w:x="6573" w:y="721"/>
              <w:rPr>
                <w:rFonts w:ascii="TradeGothic" w:hAnsi="TradeGothic"/>
                <w:b/>
                <w:sz w:val="22"/>
              </w:rPr>
            </w:pPr>
          </w:p>
        </w:tc>
      </w:tr>
      <w:tr w:rsidR="005F1820" w:rsidRPr="005A562F">
        <w:tblPrEx>
          <w:tblCellMar>
            <w:top w:w="0" w:type="dxa"/>
            <w:bottom w:w="0" w:type="dxa"/>
          </w:tblCellMar>
        </w:tblPrEx>
        <w:trPr>
          <w:trHeight w:val="343"/>
        </w:trPr>
        <w:tc>
          <w:tcPr>
            <w:tcW w:w="3402" w:type="dxa"/>
            <w:gridSpan w:val="2"/>
          </w:tcPr>
          <w:p w:rsidR="005F1820" w:rsidRPr="005A562F" w:rsidRDefault="005F1820">
            <w:pPr>
              <w:framePr w:w="4400" w:h="1644" w:wrap="notBeside" w:vAnchor="page" w:hAnchor="page" w:x="6573" w:y="721"/>
            </w:pPr>
          </w:p>
        </w:tc>
        <w:tc>
          <w:tcPr>
            <w:tcW w:w="1213" w:type="dxa"/>
          </w:tcPr>
          <w:p w:rsidR="005F1820" w:rsidRPr="005A562F" w:rsidRDefault="005F1820">
            <w:pPr>
              <w:framePr w:w="4400" w:h="1644" w:wrap="notBeside" w:vAnchor="page" w:hAnchor="page" w:x="6573" w:y="721"/>
            </w:pPr>
          </w:p>
        </w:tc>
      </w:tr>
      <w:tr w:rsidR="005F1820" w:rsidRPr="005A562F">
        <w:tblPrEx>
          <w:tblCellMar>
            <w:top w:w="0" w:type="dxa"/>
            <w:bottom w:w="0" w:type="dxa"/>
          </w:tblCellMar>
        </w:tblPrEx>
        <w:tc>
          <w:tcPr>
            <w:tcW w:w="2268" w:type="dxa"/>
          </w:tcPr>
          <w:p w:rsidR="005F1820" w:rsidRPr="005A562F" w:rsidRDefault="00847B54">
            <w:pPr>
              <w:framePr w:w="4400" w:h="1644" w:wrap="notBeside" w:vAnchor="page" w:hAnchor="page" w:x="6573" w:y="721"/>
            </w:pPr>
            <w:r w:rsidRPr="005A562F">
              <w:fldChar w:fldCharType="begin" w:fldLock="1"/>
            </w:r>
            <w:r w:rsidRPr="005A562F">
              <w:instrText xml:space="preserve"> CREATEDATE  \@ "yyyy-MM-dd"  \* MERGEFORMAT </w:instrText>
            </w:r>
            <w:r w:rsidRPr="005A562F">
              <w:fldChar w:fldCharType="separate"/>
            </w:r>
            <w:r w:rsidR="006E20FA" w:rsidRPr="005A562F">
              <w:t>2009-10-22</w:t>
            </w:r>
            <w:r w:rsidRPr="005A562F">
              <w:fldChar w:fldCharType="end"/>
            </w:r>
          </w:p>
        </w:tc>
        <w:tc>
          <w:tcPr>
            <w:tcW w:w="2347" w:type="dxa"/>
            <w:gridSpan w:val="2"/>
          </w:tcPr>
          <w:p w:rsidR="005F1820" w:rsidRPr="005A562F" w:rsidRDefault="005F1820">
            <w:pPr>
              <w:framePr w:w="4400" w:h="1644" w:wrap="notBeside" w:vAnchor="page" w:hAnchor="page" w:x="6573" w:y="721"/>
            </w:pPr>
          </w:p>
        </w:tc>
      </w:tr>
      <w:tr w:rsidR="005F1820" w:rsidRPr="005A562F">
        <w:tblPrEx>
          <w:tblCellMar>
            <w:top w:w="0" w:type="dxa"/>
            <w:bottom w:w="0" w:type="dxa"/>
          </w:tblCellMar>
        </w:tblPrEx>
        <w:tc>
          <w:tcPr>
            <w:tcW w:w="2268" w:type="dxa"/>
          </w:tcPr>
          <w:p w:rsidR="005F1820" w:rsidRPr="005A562F" w:rsidRDefault="005F1820">
            <w:pPr>
              <w:framePr w:w="4400" w:h="1644" w:wrap="notBeside" w:vAnchor="page" w:hAnchor="page" w:x="6573" w:y="721"/>
            </w:pPr>
          </w:p>
        </w:tc>
        <w:tc>
          <w:tcPr>
            <w:tcW w:w="2347" w:type="dxa"/>
            <w:gridSpan w:val="2"/>
          </w:tcPr>
          <w:p w:rsidR="005F1820" w:rsidRPr="005A562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5A562F">
        <w:tblPrEx>
          <w:tblCellMar>
            <w:top w:w="0" w:type="dxa"/>
            <w:bottom w:w="0" w:type="dxa"/>
          </w:tblCellMar>
        </w:tblPrEx>
        <w:trPr>
          <w:trHeight w:val="2400"/>
        </w:trPr>
        <w:tc>
          <w:tcPr>
            <w:tcW w:w="4911" w:type="dxa"/>
          </w:tcPr>
          <w:p w:rsidR="005F1820" w:rsidRPr="005A562F" w:rsidRDefault="005F1820">
            <w:pPr>
              <w:pStyle w:val="Avsndare"/>
              <w:framePr w:h="2483" w:wrap="notBeside" w:x="1504"/>
              <w:rPr>
                <w:b/>
                <w:i w:val="0"/>
                <w:sz w:val="22"/>
              </w:rPr>
            </w:pPr>
            <w:r w:rsidRPr="005A562F">
              <w:rPr>
                <w:b/>
                <w:i w:val="0"/>
                <w:sz w:val="22"/>
              </w:rPr>
              <w:t>Statsrådsberedningen</w:t>
            </w:r>
          </w:p>
          <w:p w:rsidR="005F1820" w:rsidRPr="005A562F" w:rsidRDefault="005F1820">
            <w:pPr>
              <w:pStyle w:val="Avsndare"/>
              <w:framePr w:h="2483" w:wrap="notBeside" w:x="1504"/>
            </w:pPr>
          </w:p>
          <w:p w:rsidR="005F1820" w:rsidRPr="005A562F" w:rsidRDefault="005F1820">
            <w:pPr>
              <w:pStyle w:val="Avsndare"/>
              <w:framePr w:h="2483" w:wrap="notBeside" w:x="1504"/>
            </w:pPr>
            <w:r w:rsidRPr="005A562F">
              <w:t>EU-kansliet</w:t>
            </w:r>
          </w:p>
          <w:p w:rsidR="005F1820" w:rsidRPr="005A562F" w:rsidRDefault="005F1820">
            <w:pPr>
              <w:pStyle w:val="Avsndare"/>
              <w:framePr w:h="2483" w:wrap="notBeside" w:x="1504"/>
            </w:pPr>
          </w:p>
          <w:p w:rsidR="005F1820" w:rsidRPr="005A562F" w:rsidRDefault="005F1820">
            <w:pPr>
              <w:pStyle w:val="Avsndare"/>
              <w:framePr w:h="2483" w:wrap="notBeside" w:x="1504"/>
            </w:pPr>
          </w:p>
          <w:p w:rsidR="005F1820" w:rsidRPr="005A562F" w:rsidRDefault="005F1820">
            <w:pPr>
              <w:pStyle w:val="Avsndare"/>
              <w:framePr w:h="2483" w:wrap="notBeside" w:x="1504"/>
            </w:pPr>
          </w:p>
          <w:p w:rsidR="005F1820" w:rsidRPr="005A562F" w:rsidRDefault="005F1820">
            <w:pPr>
              <w:pStyle w:val="Avsndare"/>
              <w:framePr w:h="2483" w:wrap="notBeside" w:x="1504"/>
              <w:rPr>
                <w:b/>
                <w:i w:val="0"/>
                <w:sz w:val="22"/>
              </w:rPr>
            </w:pPr>
          </w:p>
        </w:tc>
      </w:tr>
    </w:tbl>
    <w:p w:rsidR="005F1820" w:rsidRPr="005A562F" w:rsidRDefault="005F1820">
      <w:pPr>
        <w:framePr w:w="4400" w:h="2523" w:wrap="notBeside" w:vAnchor="page" w:hAnchor="page" w:x="6453" w:y="2445"/>
        <w:ind w:left="142"/>
      </w:pPr>
    </w:p>
    <w:p w:rsidR="00362DCB" w:rsidRPr="005A562F" w:rsidRDefault="00362DCB" w:rsidP="00362DCB">
      <w:pPr>
        <w:pStyle w:val="UDrubrik"/>
        <w:tabs>
          <w:tab w:val="left" w:pos="1701"/>
          <w:tab w:val="left" w:pos="1985"/>
        </w:tabs>
        <w:rPr>
          <w:rFonts w:cs="Arial"/>
          <w:sz w:val="28"/>
        </w:rPr>
      </w:pPr>
      <w:bookmarkStart w:id="0" w:name="_Toc67391946"/>
      <w:bookmarkStart w:id="1" w:name="_Toc70473239"/>
      <w:r w:rsidRPr="005A562F">
        <w:rPr>
          <w:rFonts w:cs="Arial"/>
          <w:sz w:val="28"/>
        </w:rPr>
        <w:t>Troliga A-punkter inför kommande rådsmöten som godkändes vid Coreper I och Coreper II vecka 43</w:t>
      </w:r>
    </w:p>
    <w:p w:rsidR="00362DCB" w:rsidRPr="005A562F" w:rsidRDefault="00362DCB" w:rsidP="00362DCB">
      <w:pPr>
        <w:pStyle w:val="Brdtext1"/>
        <w:rPr>
          <w:lang w:val="sv-SE"/>
        </w:rPr>
      </w:pPr>
    </w:p>
    <w:p w:rsidR="00362DCB" w:rsidRPr="005A562F" w:rsidRDefault="00362DCB" w:rsidP="00362DCB">
      <w:pPr>
        <w:pStyle w:val="Brdtext1"/>
        <w:rPr>
          <w:lang w:val="sv-SE"/>
        </w:rPr>
      </w:pPr>
    </w:p>
    <w:p w:rsidR="00362DCB" w:rsidRPr="005A562F" w:rsidRDefault="00362DCB" w:rsidP="00362DCB">
      <w:pPr>
        <w:pStyle w:val="Brdtext1"/>
        <w:rPr>
          <w:rFonts w:ascii="OrigGarmnd BT" w:hAnsi="OrigGarmnd BT"/>
          <w:lang w:val="sv-SE"/>
        </w:rPr>
      </w:pPr>
      <w:r w:rsidRPr="005A562F">
        <w:rPr>
          <w:rFonts w:ascii="OrigGarmnd BT" w:hAnsi="OrigGarmnd BT"/>
          <w:lang w:val="sv-SE"/>
        </w:rPr>
        <w:t xml:space="preserve">Överlämnas för skriftligt samråd t o m </w:t>
      </w:r>
      <w:r w:rsidRPr="005A562F">
        <w:rPr>
          <w:rFonts w:ascii="OrigGarmnd BT" w:hAnsi="OrigGarmnd BT"/>
          <w:b/>
          <w:lang w:val="sv-SE"/>
        </w:rPr>
        <w:t>kl. 9.30</w:t>
      </w:r>
      <w:r w:rsidRPr="005A562F">
        <w:rPr>
          <w:rFonts w:ascii="OrigGarmnd BT" w:hAnsi="OrigGarmnd BT"/>
          <w:lang w:val="sv-SE"/>
        </w:rPr>
        <w:t xml:space="preserve"> </w:t>
      </w:r>
      <w:r w:rsidRPr="005A562F">
        <w:rPr>
          <w:rFonts w:ascii="OrigGarmnd BT" w:hAnsi="OrigGarmnd BT"/>
          <w:b/>
          <w:lang w:val="sv-SE"/>
        </w:rPr>
        <w:t>fredag</w:t>
      </w:r>
      <w:r w:rsidRPr="005A562F">
        <w:rPr>
          <w:rFonts w:ascii="OrigGarmnd BT" w:hAnsi="OrigGarmnd BT"/>
          <w:lang w:val="sv-SE"/>
        </w:rPr>
        <w:t xml:space="preserve"> den 23 oktober</w:t>
      </w:r>
      <w:r w:rsidR="006B77E9" w:rsidRPr="005A562F">
        <w:rPr>
          <w:rFonts w:ascii="OrigGarmnd BT" w:hAnsi="OrigGarmnd BT"/>
          <w:lang w:val="sv-SE"/>
        </w:rPr>
        <w:t>.</w:t>
      </w:r>
      <w:r w:rsidRPr="005A562F">
        <w:rPr>
          <w:rFonts w:ascii="OrigGarmnd BT" w:hAnsi="OrigGarmnd BT"/>
          <w:lang w:val="sv-SE"/>
        </w:rPr>
        <w:t xml:space="preserve"> </w:t>
      </w:r>
    </w:p>
    <w:p w:rsidR="00362DCB" w:rsidRPr="005A562F" w:rsidRDefault="00362DCB">
      <w:pPr>
        <w:pStyle w:val="UDrubrik"/>
        <w:tabs>
          <w:tab w:val="left" w:pos="1701"/>
          <w:tab w:val="left" w:pos="1985"/>
        </w:tabs>
        <w:rPr>
          <w:rFonts w:cs="Arial"/>
          <w:sz w:val="28"/>
        </w:rPr>
      </w:pPr>
    </w:p>
    <w:p w:rsidR="00362DCB" w:rsidRPr="005A562F" w:rsidRDefault="00362DCB">
      <w:pPr>
        <w:pStyle w:val="UDrubrik"/>
        <w:tabs>
          <w:tab w:val="left" w:pos="1701"/>
          <w:tab w:val="left" w:pos="1985"/>
        </w:tabs>
        <w:rPr>
          <w:rFonts w:cs="Arial"/>
          <w:sz w:val="28"/>
        </w:rPr>
      </w:pPr>
    </w:p>
    <w:p w:rsidR="00362DCB" w:rsidRPr="005A562F" w:rsidRDefault="00362DCB">
      <w:pPr>
        <w:pStyle w:val="UDrubrik"/>
        <w:tabs>
          <w:tab w:val="left" w:pos="1701"/>
          <w:tab w:val="left" w:pos="1985"/>
        </w:tabs>
        <w:rPr>
          <w:rFonts w:cs="Arial"/>
          <w:sz w:val="28"/>
        </w:rPr>
      </w:pPr>
    </w:p>
    <w:p w:rsidR="00362DCB" w:rsidRPr="005A562F" w:rsidRDefault="00362DCB">
      <w:pPr>
        <w:pStyle w:val="UDrubrik"/>
        <w:tabs>
          <w:tab w:val="left" w:pos="1701"/>
          <w:tab w:val="left" w:pos="1985"/>
        </w:tabs>
        <w:rPr>
          <w:rFonts w:cs="Arial"/>
          <w:sz w:val="28"/>
        </w:rPr>
      </w:pPr>
    </w:p>
    <w:p w:rsidR="005F1820" w:rsidRPr="005A562F" w:rsidRDefault="00362DCB">
      <w:pPr>
        <w:pStyle w:val="UDrubrik"/>
        <w:tabs>
          <w:tab w:val="left" w:pos="1701"/>
          <w:tab w:val="left" w:pos="1985"/>
        </w:tabs>
      </w:pPr>
      <w:r w:rsidRPr="005A562F">
        <w:rPr>
          <w:rFonts w:cs="Arial"/>
          <w:sz w:val="28"/>
        </w:rPr>
        <w:br w:type="page"/>
      </w:r>
      <w:r w:rsidR="005F1820" w:rsidRPr="005A562F">
        <w:rPr>
          <w:rFonts w:cs="Arial"/>
          <w:sz w:val="28"/>
        </w:rPr>
        <w:lastRenderedPageBreak/>
        <w:t>Troliga A-punkter inför kommande rådsmöten som godkändes vid Coreper I och Coreper II</w:t>
      </w:r>
      <w:bookmarkEnd w:id="0"/>
      <w:bookmarkEnd w:id="1"/>
    </w:p>
    <w:p w:rsidR="005F1820" w:rsidRPr="005A562F"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337B7" w:rsidRPr="005A562F" w:rsidRDefault="005F1820">
      <w:pPr>
        <w:pStyle w:val="Innehll1"/>
        <w:tabs>
          <w:tab w:val="right" w:leader="dot" w:pos="7644"/>
        </w:tabs>
        <w:rPr>
          <w:rFonts w:ascii="Times New Roman" w:hAnsi="Times New Roman"/>
          <w:b w:val="0"/>
          <w:bCs w:val="0"/>
          <w:caps w:val="0"/>
          <w:szCs w:val="24"/>
          <w:lang w:eastAsia="sv-SE"/>
        </w:rPr>
      </w:pPr>
      <w:r w:rsidRPr="005A562F">
        <w:rPr>
          <w:b w:val="0"/>
          <w:bCs w:val="0"/>
        </w:rPr>
        <w:fldChar w:fldCharType="begin" w:fldLock="1"/>
      </w:r>
      <w:r w:rsidRPr="005A562F">
        <w:rPr>
          <w:b w:val="0"/>
          <w:bCs w:val="0"/>
        </w:rPr>
        <w:instrText xml:space="preserve"> TOC \o "1-3" \h \z </w:instrText>
      </w:r>
      <w:r w:rsidRPr="005A562F">
        <w:rPr>
          <w:b w:val="0"/>
          <w:bCs w:val="0"/>
        </w:rPr>
        <w:fldChar w:fldCharType="separate"/>
      </w:r>
      <w:hyperlink w:anchor="_Toc243975453" w:history="1">
        <w:r w:rsidR="009337B7" w:rsidRPr="005A562F">
          <w:rPr>
            <w:rStyle w:val="Hyperlnk"/>
          </w:rPr>
          <w:t>Frågor som lösts i förberedande instanser</w:t>
        </w:r>
        <w:r w:rsidR="009337B7" w:rsidRPr="005A562F">
          <w:rPr>
            <w:webHidden/>
          </w:rPr>
          <w:tab/>
        </w:r>
        <w:r w:rsidR="009337B7" w:rsidRPr="005A562F">
          <w:rPr>
            <w:webHidden/>
          </w:rPr>
          <w:fldChar w:fldCharType="begin" w:fldLock="1"/>
        </w:r>
        <w:r w:rsidR="009337B7" w:rsidRPr="005A562F">
          <w:rPr>
            <w:webHidden/>
          </w:rPr>
          <w:instrText xml:space="preserve"> PAGEREF _Toc243975453 \h </w:instrText>
        </w:r>
        <w:r w:rsidR="009337B7" w:rsidRPr="005A562F">
          <w:rPr>
            <w:webHidden/>
          </w:rPr>
          <w:fldChar w:fldCharType="separate"/>
        </w:r>
        <w:r w:rsidR="009337B7" w:rsidRPr="005A562F">
          <w:rPr>
            <w:webHidden/>
          </w:rPr>
          <w:t>7</w:t>
        </w:r>
        <w:r w:rsidR="009337B7" w:rsidRPr="005A562F">
          <w:rPr>
            <w:webHidden/>
          </w:rPr>
          <w:fldChar w:fldCharType="end"/>
        </w:r>
      </w:hyperlink>
    </w:p>
    <w:p w:rsidR="009337B7" w:rsidRPr="005A562F" w:rsidRDefault="009337B7">
      <w:pPr>
        <w:pStyle w:val="Innehll1"/>
        <w:tabs>
          <w:tab w:val="right" w:leader="dot" w:pos="7644"/>
        </w:tabs>
        <w:rPr>
          <w:rFonts w:ascii="Times New Roman" w:hAnsi="Times New Roman"/>
          <w:b w:val="0"/>
          <w:bCs w:val="0"/>
          <w:caps w:val="0"/>
          <w:szCs w:val="24"/>
          <w:lang w:eastAsia="sv-SE"/>
        </w:rPr>
      </w:pPr>
      <w:hyperlink w:anchor="_Toc243975454" w:history="1">
        <w:r w:rsidRPr="005A562F">
          <w:rPr>
            <w:rStyle w:val="Hyperlnk"/>
          </w:rPr>
          <w:t>Punkter som godkändes vid Coreper II den 21 och 22 oktober och punkter som förväntas godkännas av Coreper I den 23 oktober och Coreper II den 26 oktober</w:t>
        </w:r>
        <w:r w:rsidRPr="005A562F">
          <w:rPr>
            <w:webHidden/>
          </w:rPr>
          <w:tab/>
        </w:r>
        <w:r w:rsidRPr="005A562F">
          <w:rPr>
            <w:webHidden/>
          </w:rPr>
          <w:fldChar w:fldCharType="begin" w:fldLock="1"/>
        </w:r>
        <w:r w:rsidRPr="005A562F">
          <w:rPr>
            <w:webHidden/>
          </w:rPr>
          <w:instrText xml:space="preserve"> PAGEREF _Toc243975454 \h </w:instrText>
        </w:r>
        <w:r w:rsidRPr="005A562F">
          <w:rPr>
            <w:webHidden/>
          </w:rPr>
          <w:fldChar w:fldCharType="separate"/>
        </w:r>
        <w:r w:rsidRPr="005A562F">
          <w:rPr>
            <w:webHidden/>
          </w:rPr>
          <w:t>7</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55" w:history="1">
        <w:r w:rsidRPr="005A562F">
          <w:rPr>
            <w:rStyle w:val="Hyperlnk"/>
          </w:rPr>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r w:rsidRPr="005A562F">
          <w:rPr>
            <w:webHidden/>
          </w:rPr>
          <w:tab/>
        </w:r>
        <w:r w:rsidRPr="005A562F">
          <w:rPr>
            <w:webHidden/>
          </w:rPr>
          <w:fldChar w:fldCharType="begin" w:fldLock="1"/>
        </w:r>
        <w:r w:rsidRPr="005A562F">
          <w:rPr>
            <w:webHidden/>
          </w:rPr>
          <w:instrText xml:space="preserve"> PAGEREF _Toc243975455 \h </w:instrText>
        </w:r>
        <w:r w:rsidRPr="005A562F">
          <w:rPr>
            <w:webHidden/>
          </w:rPr>
          <w:fldChar w:fldCharType="separate"/>
        </w:r>
        <w:r w:rsidRPr="005A562F">
          <w:rPr>
            <w:webHidden/>
          </w:rPr>
          <w:t>7</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56" w:history="1">
        <w:r w:rsidRPr="005A562F">
          <w:rPr>
            <w:rStyle w:val="Hyperlnk"/>
            <w:lang w:eastAsia="sv-SE"/>
          </w:rPr>
          <w:t>2. Draft Council Conclusions on Afghanistan/Pakistan</w:t>
        </w:r>
        <w:r w:rsidRPr="005A562F">
          <w:rPr>
            <w:webHidden/>
          </w:rPr>
          <w:tab/>
        </w:r>
        <w:r w:rsidRPr="005A562F">
          <w:rPr>
            <w:webHidden/>
          </w:rPr>
          <w:fldChar w:fldCharType="begin" w:fldLock="1"/>
        </w:r>
        <w:r w:rsidRPr="005A562F">
          <w:rPr>
            <w:webHidden/>
          </w:rPr>
          <w:instrText xml:space="preserve"> PAGEREF _Toc243975456 \h </w:instrText>
        </w:r>
        <w:r w:rsidRPr="005A562F">
          <w:rPr>
            <w:webHidden/>
          </w:rPr>
          <w:fldChar w:fldCharType="separate"/>
        </w:r>
        <w:r w:rsidRPr="005A562F">
          <w:rPr>
            <w:webHidden/>
          </w:rPr>
          <w:t>8</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57" w:history="1">
        <w:r w:rsidRPr="005A562F">
          <w:rPr>
            <w:rStyle w:val="Hyperlnk"/>
          </w:rPr>
          <w:t>3. Relations with the Republic of Indonesia- Council decision on the signing of the Framework Agreement in comprehensive Partnership and Cooperation between the European Community and its Member States, of the part, and the Republic of Indonesia, of the other part</w:t>
        </w:r>
        <w:r w:rsidRPr="005A562F">
          <w:rPr>
            <w:webHidden/>
          </w:rPr>
          <w:tab/>
        </w:r>
        <w:r w:rsidRPr="005A562F">
          <w:rPr>
            <w:webHidden/>
          </w:rPr>
          <w:fldChar w:fldCharType="begin" w:fldLock="1"/>
        </w:r>
        <w:r w:rsidRPr="005A562F">
          <w:rPr>
            <w:webHidden/>
          </w:rPr>
          <w:instrText xml:space="preserve"> PAGEREF _Toc243975457 \h </w:instrText>
        </w:r>
        <w:r w:rsidRPr="005A562F">
          <w:rPr>
            <w:webHidden/>
          </w:rPr>
          <w:fldChar w:fldCharType="separate"/>
        </w:r>
        <w:r w:rsidRPr="005A562F">
          <w:rPr>
            <w:webHidden/>
          </w:rPr>
          <w:t>9</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58" w:history="1">
        <w:r w:rsidRPr="005A562F">
          <w:rPr>
            <w:rStyle w:val="Hyperlnk"/>
          </w:rPr>
          <w:t>4. Draft Council conclusions on the establishment of a Human Rights dialogue with Indonesia</w:t>
        </w:r>
        <w:r w:rsidRPr="005A562F">
          <w:rPr>
            <w:webHidden/>
          </w:rPr>
          <w:tab/>
        </w:r>
        <w:r w:rsidRPr="005A562F">
          <w:rPr>
            <w:webHidden/>
          </w:rPr>
          <w:fldChar w:fldCharType="begin" w:fldLock="1"/>
        </w:r>
        <w:r w:rsidRPr="005A562F">
          <w:rPr>
            <w:webHidden/>
          </w:rPr>
          <w:instrText xml:space="preserve"> PAGEREF _Toc243975458 \h </w:instrText>
        </w:r>
        <w:r w:rsidRPr="005A562F">
          <w:rPr>
            <w:webHidden/>
          </w:rPr>
          <w:fldChar w:fldCharType="separate"/>
        </w:r>
        <w:r w:rsidRPr="005A562F">
          <w:rPr>
            <w:webHidden/>
          </w:rPr>
          <w:t>9</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59" w:history="1">
        <w:r w:rsidRPr="005A562F">
          <w:rPr>
            <w:rStyle w:val="Hyperlnk"/>
          </w:rPr>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r w:rsidRPr="005A562F">
          <w:rPr>
            <w:webHidden/>
          </w:rPr>
          <w:tab/>
        </w:r>
        <w:r w:rsidRPr="005A562F">
          <w:rPr>
            <w:webHidden/>
          </w:rPr>
          <w:fldChar w:fldCharType="begin" w:fldLock="1"/>
        </w:r>
        <w:r w:rsidRPr="005A562F">
          <w:rPr>
            <w:webHidden/>
          </w:rPr>
          <w:instrText xml:space="preserve"> PAGEREF _Toc243975459 \h </w:instrText>
        </w:r>
        <w:r w:rsidRPr="005A562F">
          <w:rPr>
            <w:webHidden/>
          </w:rPr>
          <w:fldChar w:fldCharType="separate"/>
        </w:r>
        <w:r w:rsidRPr="005A562F">
          <w:rPr>
            <w:webHidden/>
          </w:rPr>
          <w:t>10</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0" w:history="1">
        <w:r w:rsidRPr="005A562F">
          <w:rPr>
            <w:rStyle w:val="Hyperlnk"/>
          </w:rPr>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r w:rsidRPr="005A562F">
          <w:rPr>
            <w:webHidden/>
          </w:rPr>
          <w:tab/>
        </w:r>
        <w:r w:rsidRPr="005A562F">
          <w:rPr>
            <w:webHidden/>
          </w:rPr>
          <w:fldChar w:fldCharType="begin" w:fldLock="1"/>
        </w:r>
        <w:r w:rsidRPr="005A562F">
          <w:rPr>
            <w:webHidden/>
          </w:rPr>
          <w:instrText xml:space="preserve"> PAGEREF _Toc243975460 \h </w:instrText>
        </w:r>
        <w:r w:rsidRPr="005A562F">
          <w:rPr>
            <w:webHidden/>
          </w:rPr>
          <w:fldChar w:fldCharType="separate"/>
        </w:r>
        <w:r w:rsidRPr="005A562F">
          <w:rPr>
            <w:webHidden/>
          </w:rPr>
          <w:t>10</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1" w:history="1">
        <w:r w:rsidRPr="005A562F">
          <w:rPr>
            <w:rStyle w:val="Hyperlnk"/>
          </w:rPr>
          <w:t>7. (poss.) Relations with Russia= Key outstanding issues for the EU in its relations with Russia</w:t>
        </w:r>
        <w:r w:rsidRPr="005A562F">
          <w:rPr>
            <w:webHidden/>
          </w:rPr>
          <w:tab/>
        </w:r>
        <w:r w:rsidRPr="005A562F">
          <w:rPr>
            <w:webHidden/>
          </w:rPr>
          <w:fldChar w:fldCharType="begin" w:fldLock="1"/>
        </w:r>
        <w:r w:rsidRPr="005A562F">
          <w:rPr>
            <w:webHidden/>
          </w:rPr>
          <w:instrText xml:space="preserve"> PAGEREF _Toc243975461 \h </w:instrText>
        </w:r>
        <w:r w:rsidRPr="005A562F">
          <w:rPr>
            <w:webHidden/>
          </w:rPr>
          <w:fldChar w:fldCharType="separate"/>
        </w:r>
        <w:r w:rsidRPr="005A562F">
          <w:rPr>
            <w:webHidden/>
          </w:rPr>
          <w:t>11</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2" w:history="1">
        <w:r w:rsidRPr="005A562F">
          <w:rPr>
            <w:rStyle w:val="Hyperlnk"/>
          </w:rPr>
          <w:t>8. (poss.) Relations with Russia= Establishment of the position of the European Union for the second EU-Russia Permanent Partnership Council (Environment), to be held in Moscow on 10 November 2009</w:t>
        </w:r>
        <w:r w:rsidRPr="005A562F">
          <w:rPr>
            <w:webHidden/>
          </w:rPr>
          <w:tab/>
        </w:r>
        <w:r w:rsidRPr="005A562F">
          <w:rPr>
            <w:webHidden/>
          </w:rPr>
          <w:fldChar w:fldCharType="begin" w:fldLock="1"/>
        </w:r>
        <w:r w:rsidRPr="005A562F">
          <w:rPr>
            <w:webHidden/>
          </w:rPr>
          <w:instrText xml:space="preserve"> PAGEREF _Toc243975462 \h </w:instrText>
        </w:r>
        <w:r w:rsidRPr="005A562F">
          <w:rPr>
            <w:webHidden/>
          </w:rPr>
          <w:fldChar w:fldCharType="separate"/>
        </w:r>
        <w:r w:rsidRPr="005A562F">
          <w:rPr>
            <w:webHidden/>
          </w:rPr>
          <w:t>12</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3" w:history="1">
        <w:r w:rsidRPr="005A562F">
          <w:rPr>
            <w:rStyle w:val="Hyperlnk"/>
          </w:rPr>
          <w:t>9. Approval of the draft revised "Plan de mise en oeuvre" (OPLAN) for the European Union mission to provide advice and assistance for security sector reform in RDC (EUSEC RD Congo)</w:t>
        </w:r>
        <w:r w:rsidRPr="005A562F">
          <w:rPr>
            <w:webHidden/>
          </w:rPr>
          <w:tab/>
        </w:r>
        <w:r w:rsidRPr="005A562F">
          <w:rPr>
            <w:webHidden/>
          </w:rPr>
          <w:fldChar w:fldCharType="begin" w:fldLock="1"/>
        </w:r>
        <w:r w:rsidRPr="005A562F">
          <w:rPr>
            <w:webHidden/>
          </w:rPr>
          <w:instrText xml:space="preserve"> PAGEREF _Toc243975463 \h </w:instrText>
        </w:r>
        <w:r w:rsidRPr="005A562F">
          <w:rPr>
            <w:webHidden/>
          </w:rPr>
          <w:fldChar w:fldCharType="separate"/>
        </w:r>
        <w:r w:rsidRPr="005A562F">
          <w:rPr>
            <w:webHidden/>
          </w:rPr>
          <w:t>12</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4" w:history="1">
        <w:r w:rsidRPr="005A562F">
          <w:rPr>
            <w:rStyle w:val="Hyperlnk"/>
          </w:rPr>
          <w:t>10. Opening of consultations with Niger under Article 96 of the ACP-EC Cotonou Agreement- Letter to be sent to the authorities of Niger</w:t>
        </w:r>
        <w:r w:rsidRPr="005A562F">
          <w:rPr>
            <w:webHidden/>
          </w:rPr>
          <w:tab/>
        </w:r>
        <w:r w:rsidRPr="005A562F">
          <w:rPr>
            <w:webHidden/>
          </w:rPr>
          <w:fldChar w:fldCharType="begin" w:fldLock="1"/>
        </w:r>
        <w:r w:rsidRPr="005A562F">
          <w:rPr>
            <w:webHidden/>
          </w:rPr>
          <w:instrText xml:space="preserve"> PAGEREF _Toc243975464 \h </w:instrText>
        </w:r>
        <w:r w:rsidRPr="005A562F">
          <w:rPr>
            <w:webHidden/>
          </w:rPr>
          <w:fldChar w:fldCharType="separate"/>
        </w:r>
        <w:r w:rsidRPr="005A562F">
          <w:rPr>
            <w:webHidden/>
          </w:rPr>
          <w:t>13</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5" w:history="1">
        <w:r w:rsidRPr="005A562F">
          <w:rPr>
            <w:rStyle w:val="Hyperlnk"/>
          </w:rPr>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r w:rsidRPr="005A562F">
          <w:rPr>
            <w:webHidden/>
          </w:rPr>
          <w:tab/>
        </w:r>
        <w:r w:rsidRPr="005A562F">
          <w:rPr>
            <w:webHidden/>
          </w:rPr>
          <w:fldChar w:fldCharType="begin" w:fldLock="1"/>
        </w:r>
        <w:r w:rsidRPr="005A562F">
          <w:rPr>
            <w:webHidden/>
          </w:rPr>
          <w:instrText xml:space="preserve"> PAGEREF _Toc243975465 \h </w:instrText>
        </w:r>
        <w:r w:rsidRPr="005A562F">
          <w:rPr>
            <w:webHidden/>
          </w:rPr>
          <w:fldChar w:fldCharType="separate"/>
        </w:r>
        <w:r w:rsidRPr="005A562F">
          <w:rPr>
            <w:webHidden/>
          </w:rPr>
          <w:t>13</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6" w:history="1">
        <w:r w:rsidRPr="005A562F">
          <w:rPr>
            <w:rStyle w:val="Hyperlnk"/>
          </w:rPr>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r w:rsidRPr="005A562F">
          <w:rPr>
            <w:webHidden/>
          </w:rPr>
          <w:tab/>
        </w:r>
        <w:r w:rsidRPr="005A562F">
          <w:rPr>
            <w:webHidden/>
          </w:rPr>
          <w:fldChar w:fldCharType="begin" w:fldLock="1"/>
        </w:r>
        <w:r w:rsidRPr="005A562F">
          <w:rPr>
            <w:webHidden/>
          </w:rPr>
          <w:instrText xml:space="preserve"> PAGEREF _Toc243975466 \h </w:instrText>
        </w:r>
        <w:r w:rsidRPr="005A562F">
          <w:rPr>
            <w:webHidden/>
          </w:rPr>
          <w:fldChar w:fldCharType="separate"/>
        </w:r>
        <w:r w:rsidRPr="005A562F">
          <w:rPr>
            <w:webHidden/>
          </w:rPr>
          <w:t>14</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7" w:history="1">
        <w:r w:rsidRPr="005A562F">
          <w:rPr>
            <w:rStyle w:val="Hyperlnk"/>
          </w:rPr>
          <w:t>13. Council Decision on the financial contributions to be paid by the Member States to finance the European Development Fund (3rd instalment 2009)</w:t>
        </w:r>
        <w:r w:rsidRPr="005A562F">
          <w:rPr>
            <w:webHidden/>
          </w:rPr>
          <w:tab/>
        </w:r>
        <w:r w:rsidRPr="005A562F">
          <w:rPr>
            <w:webHidden/>
          </w:rPr>
          <w:fldChar w:fldCharType="begin" w:fldLock="1"/>
        </w:r>
        <w:r w:rsidRPr="005A562F">
          <w:rPr>
            <w:webHidden/>
          </w:rPr>
          <w:instrText xml:space="preserve"> PAGEREF _Toc243975467 \h </w:instrText>
        </w:r>
        <w:r w:rsidRPr="005A562F">
          <w:rPr>
            <w:webHidden/>
          </w:rPr>
          <w:fldChar w:fldCharType="separate"/>
        </w:r>
        <w:r w:rsidRPr="005A562F">
          <w:rPr>
            <w:webHidden/>
          </w:rPr>
          <w:t>15</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8" w:history="1">
        <w:r w:rsidRPr="005A562F">
          <w:rPr>
            <w:rStyle w:val="Hyperlnk"/>
          </w:rPr>
          <w:t>14. Draft Council Conclusions on Yemen</w:t>
        </w:r>
        <w:r w:rsidRPr="005A562F">
          <w:rPr>
            <w:webHidden/>
          </w:rPr>
          <w:tab/>
        </w:r>
        <w:r w:rsidRPr="005A562F">
          <w:rPr>
            <w:webHidden/>
          </w:rPr>
          <w:fldChar w:fldCharType="begin" w:fldLock="1"/>
        </w:r>
        <w:r w:rsidRPr="005A562F">
          <w:rPr>
            <w:webHidden/>
          </w:rPr>
          <w:instrText xml:space="preserve"> PAGEREF _Toc243975468 \h </w:instrText>
        </w:r>
        <w:r w:rsidRPr="005A562F">
          <w:rPr>
            <w:webHidden/>
          </w:rPr>
          <w:fldChar w:fldCharType="separate"/>
        </w:r>
        <w:r w:rsidRPr="005A562F">
          <w:rPr>
            <w:webHidden/>
          </w:rPr>
          <w:t>15</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69" w:history="1">
        <w:r w:rsidRPr="005A562F">
          <w:rPr>
            <w:rStyle w:val="Hyperlnk"/>
          </w:rPr>
          <w:t>15. Recommendation from the Commission to the Council to authorise the modifications to the negotiation directives for a Trade and Cooperation Agreement with the Republic of Iraq</w:t>
        </w:r>
        <w:r w:rsidRPr="005A562F">
          <w:rPr>
            <w:webHidden/>
          </w:rPr>
          <w:tab/>
        </w:r>
        <w:r w:rsidRPr="005A562F">
          <w:rPr>
            <w:webHidden/>
          </w:rPr>
          <w:fldChar w:fldCharType="begin" w:fldLock="1"/>
        </w:r>
        <w:r w:rsidRPr="005A562F">
          <w:rPr>
            <w:webHidden/>
          </w:rPr>
          <w:instrText xml:space="preserve"> PAGEREF _Toc243975469 \h </w:instrText>
        </w:r>
        <w:r w:rsidRPr="005A562F">
          <w:rPr>
            <w:webHidden/>
          </w:rPr>
          <w:fldChar w:fldCharType="separate"/>
        </w:r>
        <w:r w:rsidRPr="005A562F">
          <w:rPr>
            <w:webHidden/>
          </w:rPr>
          <w:t>16</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0" w:history="1">
        <w:r w:rsidRPr="005A562F">
          <w:rPr>
            <w:rStyle w:val="Hyperlnk"/>
          </w:rPr>
          <w:t>16. Draft Council Conclusions on Sri Lanka</w:t>
        </w:r>
        <w:r w:rsidRPr="005A562F">
          <w:rPr>
            <w:webHidden/>
          </w:rPr>
          <w:tab/>
        </w:r>
        <w:r w:rsidRPr="005A562F">
          <w:rPr>
            <w:webHidden/>
          </w:rPr>
          <w:fldChar w:fldCharType="begin" w:fldLock="1"/>
        </w:r>
        <w:r w:rsidRPr="005A562F">
          <w:rPr>
            <w:webHidden/>
          </w:rPr>
          <w:instrText xml:space="preserve"> PAGEREF _Toc243975470 \h </w:instrText>
        </w:r>
        <w:r w:rsidRPr="005A562F">
          <w:rPr>
            <w:webHidden/>
          </w:rPr>
          <w:fldChar w:fldCharType="separate"/>
        </w:r>
        <w:r w:rsidRPr="005A562F">
          <w:rPr>
            <w:webHidden/>
          </w:rPr>
          <w:t>16</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1" w:history="1">
        <w:r w:rsidRPr="005A562F">
          <w:rPr>
            <w:rStyle w:val="Hyperlnk"/>
          </w:rPr>
          <w:t>17. Strengthening EU Action in Afghanistan and Pakistan</w:t>
        </w:r>
        <w:r w:rsidRPr="005A562F">
          <w:rPr>
            <w:webHidden/>
          </w:rPr>
          <w:tab/>
        </w:r>
        <w:r w:rsidRPr="005A562F">
          <w:rPr>
            <w:webHidden/>
          </w:rPr>
          <w:fldChar w:fldCharType="begin" w:fldLock="1"/>
        </w:r>
        <w:r w:rsidRPr="005A562F">
          <w:rPr>
            <w:webHidden/>
          </w:rPr>
          <w:instrText xml:space="preserve"> PAGEREF _Toc243975471 \h </w:instrText>
        </w:r>
        <w:r w:rsidRPr="005A562F">
          <w:rPr>
            <w:webHidden/>
          </w:rPr>
          <w:fldChar w:fldCharType="separate"/>
        </w:r>
        <w:r w:rsidRPr="005A562F">
          <w:rPr>
            <w:webHidden/>
          </w:rPr>
          <w:t>17</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2" w:history="1">
        <w:r w:rsidRPr="005A562F">
          <w:rPr>
            <w:rStyle w:val="Hyperlnk"/>
          </w:rPr>
          <w:t>18. Draft Council conclusions on Guinea</w:t>
        </w:r>
        <w:r w:rsidRPr="005A562F">
          <w:rPr>
            <w:webHidden/>
          </w:rPr>
          <w:tab/>
        </w:r>
        <w:r w:rsidRPr="005A562F">
          <w:rPr>
            <w:webHidden/>
          </w:rPr>
          <w:fldChar w:fldCharType="begin" w:fldLock="1"/>
        </w:r>
        <w:r w:rsidRPr="005A562F">
          <w:rPr>
            <w:webHidden/>
          </w:rPr>
          <w:instrText xml:space="preserve"> PAGEREF _Toc243975472 \h </w:instrText>
        </w:r>
        <w:r w:rsidRPr="005A562F">
          <w:rPr>
            <w:webHidden/>
          </w:rPr>
          <w:fldChar w:fldCharType="separate"/>
        </w:r>
        <w:r w:rsidRPr="005A562F">
          <w:rPr>
            <w:webHidden/>
          </w:rPr>
          <w:t>17</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3" w:history="1">
        <w:r w:rsidRPr="005A562F">
          <w:rPr>
            <w:rStyle w:val="Hyperlnk"/>
          </w:rPr>
          <w:t>19. Draft Council Common Position concerning restrictive measures against Guinea</w:t>
        </w:r>
        <w:r w:rsidRPr="005A562F">
          <w:rPr>
            <w:webHidden/>
          </w:rPr>
          <w:tab/>
        </w:r>
        <w:r w:rsidRPr="005A562F">
          <w:rPr>
            <w:webHidden/>
          </w:rPr>
          <w:fldChar w:fldCharType="begin" w:fldLock="1"/>
        </w:r>
        <w:r w:rsidRPr="005A562F">
          <w:rPr>
            <w:webHidden/>
          </w:rPr>
          <w:instrText xml:space="preserve"> PAGEREF _Toc243975473 \h </w:instrText>
        </w:r>
        <w:r w:rsidRPr="005A562F">
          <w:rPr>
            <w:webHidden/>
          </w:rPr>
          <w:fldChar w:fldCharType="separate"/>
        </w:r>
        <w:r w:rsidRPr="005A562F">
          <w:rPr>
            <w:webHidden/>
          </w:rPr>
          <w:t>18</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4" w:history="1">
        <w:r w:rsidRPr="005A562F">
          <w:rPr>
            <w:rStyle w:val="Hyperlnk"/>
          </w:rPr>
          <w:t>20. Relations with Uzbekistan- Draft Council Conclusion on Uzbekistan</w:t>
        </w:r>
        <w:r w:rsidRPr="005A562F">
          <w:rPr>
            <w:webHidden/>
          </w:rPr>
          <w:tab/>
        </w:r>
        <w:r w:rsidRPr="005A562F">
          <w:rPr>
            <w:webHidden/>
          </w:rPr>
          <w:fldChar w:fldCharType="begin" w:fldLock="1"/>
        </w:r>
        <w:r w:rsidRPr="005A562F">
          <w:rPr>
            <w:webHidden/>
          </w:rPr>
          <w:instrText xml:space="preserve"> PAGEREF _Toc243975474 \h </w:instrText>
        </w:r>
        <w:r w:rsidRPr="005A562F">
          <w:rPr>
            <w:webHidden/>
          </w:rPr>
          <w:fldChar w:fldCharType="separate"/>
        </w:r>
        <w:r w:rsidRPr="005A562F">
          <w:rPr>
            <w:webHidden/>
          </w:rPr>
          <w:t>19</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5" w:history="1">
        <w:r w:rsidRPr="005A562F">
          <w:rPr>
            <w:rStyle w:val="Hyperlnk"/>
          </w:rPr>
          <w:t>21. Draft Council conclusions on Sahel</w:t>
        </w:r>
        <w:r w:rsidRPr="005A562F">
          <w:rPr>
            <w:webHidden/>
          </w:rPr>
          <w:tab/>
        </w:r>
        <w:r w:rsidRPr="005A562F">
          <w:rPr>
            <w:webHidden/>
          </w:rPr>
          <w:fldChar w:fldCharType="begin" w:fldLock="1"/>
        </w:r>
        <w:r w:rsidRPr="005A562F">
          <w:rPr>
            <w:webHidden/>
          </w:rPr>
          <w:instrText xml:space="preserve"> PAGEREF _Toc243975475 \h </w:instrText>
        </w:r>
        <w:r w:rsidRPr="005A562F">
          <w:rPr>
            <w:webHidden/>
          </w:rPr>
          <w:fldChar w:fldCharType="separate"/>
        </w:r>
        <w:r w:rsidRPr="005A562F">
          <w:rPr>
            <w:webHidden/>
          </w:rPr>
          <w:t>19</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6" w:history="1">
        <w:r w:rsidRPr="005A562F">
          <w:rPr>
            <w:rStyle w:val="Hyperlnk"/>
          </w:rPr>
          <w:t>22. Draft Council conclusions on the Great Lakes Region</w:t>
        </w:r>
        <w:r w:rsidRPr="005A562F">
          <w:rPr>
            <w:webHidden/>
          </w:rPr>
          <w:tab/>
        </w:r>
        <w:r w:rsidRPr="005A562F">
          <w:rPr>
            <w:webHidden/>
          </w:rPr>
          <w:fldChar w:fldCharType="begin" w:fldLock="1"/>
        </w:r>
        <w:r w:rsidRPr="005A562F">
          <w:rPr>
            <w:webHidden/>
          </w:rPr>
          <w:instrText xml:space="preserve"> PAGEREF _Toc243975476 \h </w:instrText>
        </w:r>
        <w:r w:rsidRPr="005A562F">
          <w:rPr>
            <w:webHidden/>
          </w:rPr>
          <w:fldChar w:fldCharType="separate"/>
        </w:r>
        <w:r w:rsidRPr="005A562F">
          <w:rPr>
            <w:webHidden/>
          </w:rPr>
          <w:t>20</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7" w:history="1">
        <w:r w:rsidRPr="005A562F">
          <w:rPr>
            <w:rStyle w:val="Hyperlnk"/>
          </w:rPr>
          <w:t>23. Reply to written question put to the Council by Members of the European Parliament (+) 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r w:rsidRPr="005A562F">
          <w:rPr>
            <w:webHidden/>
          </w:rPr>
          <w:tab/>
        </w:r>
        <w:r w:rsidRPr="005A562F">
          <w:rPr>
            <w:webHidden/>
          </w:rPr>
          <w:fldChar w:fldCharType="begin" w:fldLock="1"/>
        </w:r>
        <w:r w:rsidRPr="005A562F">
          <w:rPr>
            <w:webHidden/>
          </w:rPr>
          <w:instrText xml:space="preserve"> PAGEREF _Toc243975477 \h </w:instrText>
        </w:r>
        <w:r w:rsidRPr="005A562F">
          <w:rPr>
            <w:webHidden/>
          </w:rPr>
          <w:fldChar w:fldCharType="separate"/>
        </w:r>
        <w:r w:rsidRPr="005A562F">
          <w:rPr>
            <w:webHidden/>
          </w:rPr>
          <w:t>21</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8" w:history="1">
        <w:r w:rsidRPr="005A562F">
          <w:rPr>
            <w:rStyle w:val="Hyperlnk"/>
          </w:rPr>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r w:rsidRPr="005A562F">
          <w:rPr>
            <w:webHidden/>
          </w:rPr>
          <w:tab/>
        </w:r>
        <w:r w:rsidRPr="005A562F">
          <w:rPr>
            <w:webHidden/>
          </w:rPr>
          <w:fldChar w:fldCharType="begin" w:fldLock="1"/>
        </w:r>
        <w:r w:rsidRPr="005A562F">
          <w:rPr>
            <w:webHidden/>
          </w:rPr>
          <w:instrText xml:space="preserve"> PAGEREF _Toc243975478 \h </w:instrText>
        </w:r>
        <w:r w:rsidRPr="005A562F">
          <w:rPr>
            <w:webHidden/>
          </w:rPr>
          <w:fldChar w:fldCharType="separate"/>
        </w:r>
        <w:r w:rsidRPr="005A562F">
          <w:rPr>
            <w:webHidden/>
          </w:rPr>
          <w:t>21</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79" w:history="1">
        <w:r w:rsidRPr="005A562F">
          <w:rPr>
            <w:rStyle w:val="Hyperlnk"/>
          </w:rPr>
          <w:t>25. Draft Commission Regulation (EC) No .../.. adapting for the tenth time to technical progress Council Regulation (EEC) No.3821/85 on recording equipment in road transport= Decision not to oppose the adoption</w:t>
        </w:r>
        <w:r w:rsidRPr="005A562F">
          <w:rPr>
            <w:webHidden/>
          </w:rPr>
          <w:tab/>
        </w:r>
        <w:r w:rsidRPr="005A562F">
          <w:rPr>
            <w:webHidden/>
          </w:rPr>
          <w:fldChar w:fldCharType="begin" w:fldLock="1"/>
        </w:r>
        <w:r w:rsidRPr="005A562F">
          <w:rPr>
            <w:webHidden/>
          </w:rPr>
          <w:instrText xml:space="preserve"> PAGEREF _Toc243975479 \h </w:instrText>
        </w:r>
        <w:r w:rsidRPr="005A562F">
          <w:rPr>
            <w:webHidden/>
          </w:rPr>
          <w:fldChar w:fldCharType="separate"/>
        </w:r>
        <w:r w:rsidRPr="005A562F">
          <w:rPr>
            <w:webHidden/>
          </w:rPr>
          <w:t>22</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0" w:history="1">
        <w:r w:rsidRPr="005A562F">
          <w:rPr>
            <w:rStyle w:val="Hyperlnk"/>
          </w:rPr>
          <w:t>26. Draft Commission Decision of [...] amending, for the purposes of adapting to technical progress, the Annex to Directive 2002/95/EC of the European Parliament and of the Council as regards an exemption for an application of cadmium = Decision not to oppose adoption</w:t>
        </w:r>
        <w:r w:rsidRPr="005A562F">
          <w:rPr>
            <w:webHidden/>
          </w:rPr>
          <w:tab/>
        </w:r>
        <w:r w:rsidRPr="005A562F">
          <w:rPr>
            <w:webHidden/>
          </w:rPr>
          <w:fldChar w:fldCharType="begin" w:fldLock="1"/>
        </w:r>
        <w:r w:rsidRPr="005A562F">
          <w:rPr>
            <w:webHidden/>
          </w:rPr>
          <w:instrText xml:space="preserve"> PAGEREF _Toc243975480 \h </w:instrText>
        </w:r>
        <w:r w:rsidRPr="005A562F">
          <w:rPr>
            <w:webHidden/>
          </w:rPr>
          <w:fldChar w:fldCharType="separate"/>
        </w:r>
        <w:r w:rsidRPr="005A562F">
          <w:rPr>
            <w:webHidden/>
          </w:rPr>
          <w:t>23</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1" w:history="1">
        <w:r w:rsidRPr="005A562F">
          <w:rPr>
            <w:rStyle w:val="Hyperlnk"/>
          </w:rPr>
          <w:t>27. Draft Commission Regulation (EC) No .../.. of [...] amending Annex I to Regulation (EC) No 689/2008 of the European Parliament and of the Council concerning the export and import of dangerous chemicals= Decision not to oppose adoption</w:t>
        </w:r>
        <w:r w:rsidRPr="005A562F">
          <w:rPr>
            <w:webHidden/>
          </w:rPr>
          <w:tab/>
        </w:r>
        <w:r w:rsidRPr="005A562F">
          <w:rPr>
            <w:webHidden/>
          </w:rPr>
          <w:fldChar w:fldCharType="begin" w:fldLock="1"/>
        </w:r>
        <w:r w:rsidRPr="005A562F">
          <w:rPr>
            <w:webHidden/>
          </w:rPr>
          <w:instrText xml:space="preserve"> PAGEREF _Toc243975481 \h </w:instrText>
        </w:r>
        <w:r w:rsidRPr="005A562F">
          <w:rPr>
            <w:webHidden/>
          </w:rPr>
          <w:fldChar w:fldCharType="separate"/>
        </w:r>
        <w:r w:rsidRPr="005A562F">
          <w:rPr>
            <w:webHidden/>
          </w:rPr>
          <w:t>23</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2" w:history="1">
        <w:r w:rsidRPr="005A562F">
          <w:rPr>
            <w:rStyle w:val="Hyperlnk"/>
          </w:rPr>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r w:rsidRPr="005A562F">
          <w:rPr>
            <w:webHidden/>
          </w:rPr>
          <w:tab/>
        </w:r>
        <w:r w:rsidRPr="005A562F">
          <w:rPr>
            <w:webHidden/>
          </w:rPr>
          <w:fldChar w:fldCharType="begin" w:fldLock="1"/>
        </w:r>
        <w:r w:rsidRPr="005A562F">
          <w:rPr>
            <w:webHidden/>
          </w:rPr>
          <w:instrText xml:space="preserve"> PAGEREF _Toc243975482 \h </w:instrText>
        </w:r>
        <w:r w:rsidRPr="005A562F">
          <w:rPr>
            <w:webHidden/>
          </w:rPr>
          <w:fldChar w:fldCharType="separate"/>
        </w:r>
        <w:r w:rsidRPr="005A562F">
          <w:rPr>
            <w:webHidden/>
          </w:rPr>
          <w:t>24</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3" w:history="1">
        <w:r w:rsidRPr="005A562F">
          <w:rPr>
            <w:rStyle w:val="Hyperlnk"/>
          </w:rPr>
          <w:t>29. Proposal for a Council Regulation opening and providing for the management of autonomous Community tariff quotas for certain fishery products for the period 2010 to 2012= Adoption</w:t>
        </w:r>
        <w:r w:rsidRPr="005A562F">
          <w:rPr>
            <w:webHidden/>
          </w:rPr>
          <w:tab/>
        </w:r>
        <w:r w:rsidRPr="005A562F">
          <w:rPr>
            <w:webHidden/>
          </w:rPr>
          <w:fldChar w:fldCharType="begin" w:fldLock="1"/>
        </w:r>
        <w:r w:rsidRPr="005A562F">
          <w:rPr>
            <w:webHidden/>
          </w:rPr>
          <w:instrText xml:space="preserve"> PAGEREF _Toc243975483 \h </w:instrText>
        </w:r>
        <w:r w:rsidRPr="005A562F">
          <w:rPr>
            <w:webHidden/>
          </w:rPr>
          <w:fldChar w:fldCharType="separate"/>
        </w:r>
        <w:r w:rsidRPr="005A562F">
          <w:rPr>
            <w:webHidden/>
          </w:rPr>
          <w:t>25</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4" w:history="1">
        <w:r w:rsidRPr="005A562F">
          <w:rPr>
            <w:rStyle w:val="Hyperlnk"/>
          </w:rPr>
          <w:t>30. Proposal for a Council Decision on the establishment of the Community position to be adopted in the North East Atlantic Fisheries Commission= Adoption</w:t>
        </w:r>
        <w:r w:rsidRPr="005A562F">
          <w:rPr>
            <w:webHidden/>
          </w:rPr>
          <w:tab/>
        </w:r>
        <w:r w:rsidRPr="005A562F">
          <w:rPr>
            <w:webHidden/>
          </w:rPr>
          <w:fldChar w:fldCharType="begin" w:fldLock="1"/>
        </w:r>
        <w:r w:rsidRPr="005A562F">
          <w:rPr>
            <w:webHidden/>
          </w:rPr>
          <w:instrText xml:space="preserve"> PAGEREF _Toc243975484 \h </w:instrText>
        </w:r>
        <w:r w:rsidRPr="005A562F">
          <w:rPr>
            <w:webHidden/>
          </w:rPr>
          <w:fldChar w:fldCharType="separate"/>
        </w:r>
        <w:r w:rsidRPr="005A562F">
          <w:rPr>
            <w:webHidden/>
          </w:rPr>
          <w:t>25</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5" w:history="1">
        <w:r w:rsidRPr="005A562F">
          <w:rPr>
            <w:rStyle w:val="Hyperlnk"/>
          </w:rPr>
          <w:t>31. Proposal for a Regulation of the European Parliament and of the Council on the voluntary participation by organisations in a Community eco-management and audit scheme (EMAS) (LA) (First reading)= Adoption of legislative act</w:t>
        </w:r>
        <w:r w:rsidRPr="005A562F">
          <w:rPr>
            <w:webHidden/>
          </w:rPr>
          <w:tab/>
        </w:r>
        <w:r w:rsidRPr="005A562F">
          <w:rPr>
            <w:webHidden/>
          </w:rPr>
          <w:fldChar w:fldCharType="begin" w:fldLock="1"/>
        </w:r>
        <w:r w:rsidRPr="005A562F">
          <w:rPr>
            <w:webHidden/>
          </w:rPr>
          <w:instrText xml:space="preserve"> PAGEREF _Toc243975485 \h </w:instrText>
        </w:r>
        <w:r w:rsidRPr="005A562F">
          <w:rPr>
            <w:webHidden/>
          </w:rPr>
          <w:fldChar w:fldCharType="separate"/>
        </w:r>
        <w:r w:rsidRPr="005A562F">
          <w:rPr>
            <w:webHidden/>
          </w:rPr>
          <w:t>26</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6" w:history="1">
        <w:r w:rsidRPr="005A562F">
          <w:rPr>
            <w:rStyle w:val="Hyperlnk"/>
          </w:rPr>
          <w:t>32. Proposal for a Regulation of the European Parliament and of the Council on a Community Ecolabel scheme (LA) (First reading)= Adoption of legislative act</w:t>
        </w:r>
        <w:r w:rsidRPr="005A562F">
          <w:rPr>
            <w:webHidden/>
          </w:rPr>
          <w:tab/>
        </w:r>
        <w:r w:rsidRPr="005A562F">
          <w:rPr>
            <w:webHidden/>
          </w:rPr>
          <w:fldChar w:fldCharType="begin" w:fldLock="1"/>
        </w:r>
        <w:r w:rsidRPr="005A562F">
          <w:rPr>
            <w:webHidden/>
          </w:rPr>
          <w:instrText xml:space="preserve"> PAGEREF _Toc243975486 \h </w:instrText>
        </w:r>
        <w:r w:rsidRPr="005A562F">
          <w:rPr>
            <w:webHidden/>
          </w:rPr>
          <w:fldChar w:fldCharType="separate"/>
        </w:r>
        <w:r w:rsidRPr="005A562F">
          <w:rPr>
            <w:webHidden/>
          </w:rPr>
          <w:t>28</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7" w:history="1">
        <w:r w:rsidRPr="005A562F">
          <w:rPr>
            <w:rStyle w:val="Hyperlnk"/>
          </w:rPr>
          <w:t>33. Proposal for a Regulation of the European Parliament and of the Council concerning statistics on plant protection products (LA) (Second reading)= Non-approval of the European Parliament's amendments</w:t>
        </w:r>
        <w:r w:rsidRPr="005A562F">
          <w:rPr>
            <w:webHidden/>
          </w:rPr>
          <w:tab/>
        </w:r>
        <w:r w:rsidRPr="005A562F">
          <w:rPr>
            <w:webHidden/>
          </w:rPr>
          <w:fldChar w:fldCharType="begin" w:fldLock="1"/>
        </w:r>
        <w:r w:rsidRPr="005A562F">
          <w:rPr>
            <w:webHidden/>
          </w:rPr>
          <w:instrText xml:space="preserve"> PAGEREF _Toc243975487 \h </w:instrText>
        </w:r>
        <w:r w:rsidRPr="005A562F">
          <w:rPr>
            <w:webHidden/>
          </w:rPr>
          <w:fldChar w:fldCharType="separate"/>
        </w:r>
        <w:r w:rsidRPr="005A562F">
          <w:rPr>
            <w:webHidden/>
          </w:rPr>
          <w:t>29</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8" w:history="1">
        <w:r w:rsidRPr="005A562F">
          <w:rPr>
            <w:rStyle w:val="Hyperlnk"/>
          </w:rPr>
          <w:t>34. Resolutions, decisions and opinions adopted by the European Parliament at its part-sessions in Strasbourg, from 14 to 17 September 2009 and in Brussels, on 7 and 8 October 2009</w:t>
        </w:r>
        <w:r w:rsidRPr="005A562F">
          <w:rPr>
            <w:webHidden/>
          </w:rPr>
          <w:tab/>
        </w:r>
        <w:r w:rsidRPr="005A562F">
          <w:rPr>
            <w:webHidden/>
          </w:rPr>
          <w:fldChar w:fldCharType="begin" w:fldLock="1"/>
        </w:r>
        <w:r w:rsidRPr="005A562F">
          <w:rPr>
            <w:webHidden/>
          </w:rPr>
          <w:instrText xml:space="preserve"> PAGEREF _Toc243975488 \h </w:instrText>
        </w:r>
        <w:r w:rsidRPr="005A562F">
          <w:rPr>
            <w:webHidden/>
          </w:rPr>
          <w:fldChar w:fldCharType="separate"/>
        </w:r>
        <w:r w:rsidRPr="005A562F">
          <w:rPr>
            <w:webHidden/>
          </w:rPr>
          <w:t>30</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89" w:history="1">
        <w:r w:rsidRPr="005A562F">
          <w:rPr>
            <w:rStyle w:val="Hyperlnk"/>
          </w:rPr>
          <w:t>35. Report on proceedings in the Council's other configurations</w:t>
        </w:r>
        <w:r w:rsidRPr="005A562F">
          <w:rPr>
            <w:webHidden/>
          </w:rPr>
          <w:tab/>
        </w:r>
        <w:r w:rsidRPr="005A562F">
          <w:rPr>
            <w:webHidden/>
          </w:rPr>
          <w:fldChar w:fldCharType="begin" w:fldLock="1"/>
        </w:r>
        <w:r w:rsidRPr="005A562F">
          <w:rPr>
            <w:webHidden/>
          </w:rPr>
          <w:instrText xml:space="preserve"> PAGEREF _Toc243975489 \h </w:instrText>
        </w:r>
        <w:r w:rsidRPr="005A562F">
          <w:rPr>
            <w:webHidden/>
          </w:rPr>
          <w:fldChar w:fldCharType="separate"/>
        </w:r>
        <w:r w:rsidRPr="005A562F">
          <w:rPr>
            <w:webHidden/>
          </w:rPr>
          <w:t>30</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0" w:history="1">
        <w:r w:rsidRPr="005A562F">
          <w:rPr>
            <w:rStyle w:val="Hyperlnk"/>
          </w:rPr>
          <w:t>36. Proposal for transfer of appropriations No DEC 34/2009 within Section III - Commission - of he general budget for 2009 (CE/NCE)</w:t>
        </w:r>
        <w:r w:rsidRPr="005A562F">
          <w:rPr>
            <w:webHidden/>
          </w:rPr>
          <w:tab/>
        </w:r>
        <w:r w:rsidRPr="005A562F">
          <w:rPr>
            <w:webHidden/>
          </w:rPr>
          <w:fldChar w:fldCharType="begin" w:fldLock="1"/>
        </w:r>
        <w:r w:rsidRPr="005A562F">
          <w:rPr>
            <w:webHidden/>
          </w:rPr>
          <w:instrText xml:space="preserve"> PAGEREF _Toc243975490 \h </w:instrText>
        </w:r>
        <w:r w:rsidRPr="005A562F">
          <w:rPr>
            <w:webHidden/>
          </w:rPr>
          <w:fldChar w:fldCharType="separate"/>
        </w:r>
        <w:r w:rsidRPr="005A562F">
          <w:rPr>
            <w:webHidden/>
          </w:rPr>
          <w:t>30</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1" w:history="1">
        <w:r w:rsidRPr="005A562F">
          <w:rPr>
            <w:rStyle w:val="Hyperlnk"/>
          </w:rPr>
          <w:t>37. Proposal for transfer of appropriations No DEC 38/2009 within Section III - Commission - of the general budget for 2009 (NCE)</w:t>
        </w:r>
        <w:r w:rsidRPr="005A562F">
          <w:rPr>
            <w:webHidden/>
          </w:rPr>
          <w:tab/>
        </w:r>
        <w:r w:rsidRPr="005A562F">
          <w:rPr>
            <w:webHidden/>
          </w:rPr>
          <w:fldChar w:fldCharType="begin" w:fldLock="1"/>
        </w:r>
        <w:r w:rsidRPr="005A562F">
          <w:rPr>
            <w:webHidden/>
          </w:rPr>
          <w:instrText xml:space="preserve"> PAGEREF _Toc243975491 \h </w:instrText>
        </w:r>
        <w:r w:rsidRPr="005A562F">
          <w:rPr>
            <w:webHidden/>
          </w:rPr>
          <w:fldChar w:fldCharType="separate"/>
        </w:r>
        <w:r w:rsidRPr="005A562F">
          <w:rPr>
            <w:webHidden/>
          </w:rPr>
          <w:t>31</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2" w:history="1">
        <w:r w:rsidRPr="005A562F">
          <w:rPr>
            <w:rStyle w:val="Hyperlnk"/>
          </w:rPr>
          <w:t>38. Outcome of the trilogue of 15 October 2009</w:t>
        </w:r>
        <w:r w:rsidRPr="005A562F">
          <w:rPr>
            <w:webHidden/>
          </w:rPr>
          <w:tab/>
        </w:r>
        <w:r w:rsidRPr="005A562F">
          <w:rPr>
            <w:webHidden/>
          </w:rPr>
          <w:fldChar w:fldCharType="begin" w:fldLock="1"/>
        </w:r>
        <w:r w:rsidRPr="005A562F">
          <w:rPr>
            <w:webHidden/>
          </w:rPr>
          <w:instrText xml:space="preserve"> PAGEREF _Toc243975492 \h </w:instrText>
        </w:r>
        <w:r w:rsidRPr="005A562F">
          <w:rPr>
            <w:webHidden/>
          </w:rPr>
          <w:fldChar w:fldCharType="separate"/>
        </w:r>
        <w:r w:rsidRPr="005A562F">
          <w:rPr>
            <w:webHidden/>
          </w:rPr>
          <w:t>31</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3" w:history="1">
        <w:r w:rsidRPr="005A562F">
          <w:rPr>
            <w:rStyle w:val="Hyperlnk"/>
          </w:rPr>
          <w:t>39. Draft Council conclusions to be adopted in the context of the signing of the agreement on economic co-operation between Portugal and São Tomé and Príncipe</w:t>
        </w:r>
        <w:r w:rsidRPr="005A562F">
          <w:rPr>
            <w:webHidden/>
          </w:rPr>
          <w:tab/>
        </w:r>
        <w:r w:rsidRPr="005A562F">
          <w:rPr>
            <w:webHidden/>
          </w:rPr>
          <w:fldChar w:fldCharType="begin" w:fldLock="1"/>
        </w:r>
        <w:r w:rsidRPr="005A562F">
          <w:rPr>
            <w:webHidden/>
          </w:rPr>
          <w:instrText xml:space="preserve"> PAGEREF _Toc243975493 \h </w:instrText>
        </w:r>
        <w:r w:rsidRPr="005A562F">
          <w:rPr>
            <w:webHidden/>
          </w:rPr>
          <w:fldChar w:fldCharType="separate"/>
        </w:r>
        <w:r w:rsidRPr="005A562F">
          <w:rPr>
            <w:webHidden/>
          </w:rPr>
          <w:t>32</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4" w:history="1">
        <w:r w:rsidRPr="005A562F">
          <w:rPr>
            <w:rStyle w:val="Hyperlnk"/>
          </w:rPr>
          <w:t>40. Transparency - public access to documents- Confirmatory application made by Mr Alain REMY (No 21/c/01/09)- Confirmatory application No 22/c/01/09</w:t>
        </w:r>
        <w:r w:rsidRPr="005A562F">
          <w:rPr>
            <w:webHidden/>
          </w:rPr>
          <w:tab/>
        </w:r>
        <w:r w:rsidRPr="005A562F">
          <w:rPr>
            <w:webHidden/>
          </w:rPr>
          <w:fldChar w:fldCharType="begin" w:fldLock="1"/>
        </w:r>
        <w:r w:rsidRPr="005A562F">
          <w:rPr>
            <w:webHidden/>
          </w:rPr>
          <w:instrText xml:space="preserve"> PAGEREF _Toc243975494 \h </w:instrText>
        </w:r>
        <w:r w:rsidRPr="005A562F">
          <w:rPr>
            <w:webHidden/>
          </w:rPr>
          <w:fldChar w:fldCharType="separate"/>
        </w:r>
        <w:r w:rsidRPr="005A562F">
          <w:rPr>
            <w:webHidden/>
          </w:rPr>
          <w:t>32</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5" w:history="1">
        <w:r w:rsidRPr="005A562F">
          <w:rPr>
            <w:rStyle w:val="Hyperlnk"/>
          </w:rPr>
          <w:t>41. Committee of the Regions- Appointment of one member (FR)</w:t>
        </w:r>
        <w:r w:rsidRPr="005A562F">
          <w:rPr>
            <w:webHidden/>
          </w:rPr>
          <w:tab/>
        </w:r>
        <w:r w:rsidRPr="005A562F">
          <w:rPr>
            <w:webHidden/>
          </w:rPr>
          <w:fldChar w:fldCharType="begin" w:fldLock="1"/>
        </w:r>
        <w:r w:rsidRPr="005A562F">
          <w:rPr>
            <w:webHidden/>
          </w:rPr>
          <w:instrText xml:space="preserve"> PAGEREF _Toc243975495 \h </w:instrText>
        </w:r>
        <w:r w:rsidRPr="005A562F">
          <w:rPr>
            <w:webHidden/>
          </w:rPr>
          <w:fldChar w:fldCharType="separate"/>
        </w:r>
        <w:r w:rsidRPr="005A562F">
          <w:rPr>
            <w:webHidden/>
          </w:rPr>
          <w:t>33</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6" w:history="1">
        <w:r w:rsidRPr="005A562F">
          <w:rPr>
            <w:rStyle w:val="Hyperlnk"/>
          </w:rPr>
          <w:t>42. European Economic and Social Committee- Appointment of an Italian member</w:t>
        </w:r>
        <w:r w:rsidRPr="005A562F">
          <w:rPr>
            <w:webHidden/>
          </w:rPr>
          <w:tab/>
        </w:r>
        <w:r w:rsidRPr="005A562F">
          <w:rPr>
            <w:webHidden/>
          </w:rPr>
          <w:fldChar w:fldCharType="begin" w:fldLock="1"/>
        </w:r>
        <w:r w:rsidRPr="005A562F">
          <w:rPr>
            <w:webHidden/>
          </w:rPr>
          <w:instrText xml:space="preserve"> PAGEREF _Toc243975496 \h </w:instrText>
        </w:r>
        <w:r w:rsidRPr="005A562F">
          <w:rPr>
            <w:webHidden/>
          </w:rPr>
          <w:fldChar w:fldCharType="separate"/>
        </w:r>
        <w:r w:rsidRPr="005A562F">
          <w:rPr>
            <w:webHidden/>
          </w:rPr>
          <w:t>33</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7" w:history="1">
        <w:r w:rsidRPr="005A562F">
          <w:rPr>
            <w:rStyle w:val="Hyperlnk"/>
          </w:rPr>
          <w:t>43. European Economic and Social Committee- Appointment of an Dutch member</w:t>
        </w:r>
        <w:r w:rsidRPr="005A562F">
          <w:rPr>
            <w:webHidden/>
          </w:rPr>
          <w:tab/>
        </w:r>
        <w:r w:rsidRPr="005A562F">
          <w:rPr>
            <w:webHidden/>
          </w:rPr>
          <w:fldChar w:fldCharType="begin" w:fldLock="1"/>
        </w:r>
        <w:r w:rsidRPr="005A562F">
          <w:rPr>
            <w:webHidden/>
          </w:rPr>
          <w:instrText xml:space="preserve"> PAGEREF _Toc243975497 \h </w:instrText>
        </w:r>
        <w:r w:rsidRPr="005A562F">
          <w:rPr>
            <w:webHidden/>
          </w:rPr>
          <w:fldChar w:fldCharType="separate"/>
        </w:r>
        <w:r w:rsidRPr="005A562F">
          <w:rPr>
            <w:webHidden/>
          </w:rPr>
          <w:t>33</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8" w:history="1">
        <w:r w:rsidRPr="005A562F">
          <w:rPr>
            <w:rStyle w:val="Hyperlnk"/>
          </w:rPr>
          <w:t>44. Council Framework Decision on prevention and settlement of conflicts of exercise of jurisdiction in criminal proceedings= Adoption</w:t>
        </w:r>
        <w:r w:rsidRPr="005A562F">
          <w:rPr>
            <w:webHidden/>
          </w:rPr>
          <w:tab/>
        </w:r>
        <w:r w:rsidRPr="005A562F">
          <w:rPr>
            <w:webHidden/>
          </w:rPr>
          <w:fldChar w:fldCharType="begin" w:fldLock="1"/>
        </w:r>
        <w:r w:rsidRPr="005A562F">
          <w:rPr>
            <w:webHidden/>
          </w:rPr>
          <w:instrText xml:space="preserve"> PAGEREF _Toc243975498 \h </w:instrText>
        </w:r>
        <w:r w:rsidRPr="005A562F">
          <w:rPr>
            <w:webHidden/>
          </w:rPr>
          <w:fldChar w:fldCharType="separate"/>
        </w:r>
        <w:r w:rsidRPr="005A562F">
          <w:rPr>
            <w:webHidden/>
          </w:rPr>
          <w:t>34</w:t>
        </w:r>
        <w:r w:rsidRPr="005A562F">
          <w:rPr>
            <w:webHidden/>
          </w:rPr>
          <w:fldChar w:fldCharType="end"/>
        </w:r>
      </w:hyperlink>
    </w:p>
    <w:p w:rsidR="009337B7" w:rsidRPr="005A562F" w:rsidRDefault="009337B7">
      <w:pPr>
        <w:pStyle w:val="Innehll2"/>
        <w:tabs>
          <w:tab w:val="right" w:leader="dot" w:pos="7644"/>
        </w:tabs>
        <w:rPr>
          <w:b w:val="0"/>
          <w:bCs w:val="0"/>
          <w:lang w:eastAsia="sv-SE"/>
        </w:rPr>
      </w:pPr>
      <w:hyperlink w:anchor="_Toc243975499" w:history="1">
        <w:r w:rsidRPr="005A562F">
          <w:rPr>
            <w:rStyle w:val="Hyperlnk"/>
          </w:rPr>
          <w:t>45. Council Framework Decision on the application, between Member States of the European Union, of the principle of mutual recognition to decisions on supervision measures as an alternative to provisional detention= Adoption</w:t>
        </w:r>
        <w:r w:rsidRPr="005A562F">
          <w:rPr>
            <w:webHidden/>
          </w:rPr>
          <w:tab/>
        </w:r>
        <w:r w:rsidRPr="005A562F">
          <w:rPr>
            <w:webHidden/>
          </w:rPr>
          <w:fldChar w:fldCharType="begin" w:fldLock="1"/>
        </w:r>
        <w:r w:rsidRPr="005A562F">
          <w:rPr>
            <w:webHidden/>
          </w:rPr>
          <w:instrText xml:space="preserve"> PAGEREF _Toc243975499 \h </w:instrText>
        </w:r>
        <w:r w:rsidRPr="005A562F">
          <w:rPr>
            <w:webHidden/>
          </w:rPr>
          <w:fldChar w:fldCharType="separate"/>
        </w:r>
        <w:r w:rsidRPr="005A562F">
          <w:rPr>
            <w:webHidden/>
          </w:rPr>
          <w:t>35</w:t>
        </w:r>
        <w:r w:rsidRPr="005A562F">
          <w:rPr>
            <w:webHidden/>
          </w:rPr>
          <w:fldChar w:fldCharType="end"/>
        </w:r>
      </w:hyperlink>
    </w:p>
    <w:p w:rsidR="005F1820" w:rsidRPr="005A562F" w:rsidRDefault="005F1820">
      <w:pPr>
        <w:pStyle w:val="RKnormal"/>
        <w:ind w:left="0"/>
        <w:rPr>
          <w:b/>
          <w:bCs/>
        </w:rPr>
      </w:pPr>
      <w:r w:rsidRPr="005A562F">
        <w:rPr>
          <w:b/>
          <w:bCs/>
        </w:rPr>
        <w:fldChar w:fldCharType="end"/>
      </w:r>
    </w:p>
    <w:p w:rsidR="005F1820" w:rsidRPr="005A562F" w:rsidRDefault="005F1820">
      <w:pPr>
        <w:pStyle w:val="Rubrik1"/>
        <w:tabs>
          <w:tab w:val="clear" w:pos="1134"/>
          <w:tab w:val="left" w:pos="0"/>
        </w:tabs>
      </w:pPr>
      <w:r w:rsidRPr="005A562F">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75453"/>
      <w:r w:rsidRPr="005A562F">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5A562F" w:rsidRDefault="005F1820">
      <w:pPr>
        <w:tabs>
          <w:tab w:val="left" w:pos="1843"/>
        </w:tabs>
      </w:pPr>
      <w:r w:rsidRPr="005A562F">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5A562F" w:rsidRDefault="005F1820">
      <w:pPr>
        <w:pStyle w:val="Rubrik1"/>
        <w:spacing w:before="0" w:after="0"/>
      </w:pPr>
      <w:r w:rsidRPr="005A562F">
        <w:t xml:space="preserve"> </w:t>
      </w:r>
      <w:bookmarkStart w:id="54" w:name="Punkt"/>
      <w:bookmarkEnd w:id="54"/>
    </w:p>
    <w:p w:rsidR="006E20FA" w:rsidRPr="005A562F" w:rsidRDefault="006E20FA">
      <w:pPr>
        <w:pStyle w:val="RKnormal"/>
        <w:tabs>
          <w:tab w:val="clear" w:pos="1843"/>
          <w:tab w:val="left" w:pos="0"/>
        </w:tabs>
        <w:ind w:left="0"/>
      </w:pPr>
      <w:r w:rsidRPr="005A562F">
        <w:t xml:space="preserve"> </w:t>
      </w:r>
    </w:p>
    <w:p w:rsidR="008D78C7" w:rsidRPr="005A562F" w:rsidRDefault="00362DCB" w:rsidP="00362DCB">
      <w:pPr>
        <w:pStyle w:val="Rubrik1"/>
        <w:rPr>
          <w:rFonts w:ascii="Arial" w:hAnsi="Arial" w:cs="Arial"/>
          <w:i/>
          <w:iCs/>
          <w:sz w:val="24"/>
        </w:rPr>
      </w:pPr>
      <w:bookmarkStart w:id="55" w:name="_Toc243975454"/>
      <w:r w:rsidRPr="005A562F">
        <w:t xml:space="preserve">Punkter som godkändes vid Coreper II den 21 </w:t>
      </w:r>
      <w:r w:rsidR="00AE47A8" w:rsidRPr="005A562F">
        <w:t xml:space="preserve">och 22 </w:t>
      </w:r>
      <w:r w:rsidRPr="005A562F">
        <w:t>oktober</w:t>
      </w:r>
      <w:r w:rsidR="008D78C7" w:rsidRPr="005A562F">
        <w:t xml:space="preserve"> och </w:t>
      </w:r>
      <w:r w:rsidR="00D4343A" w:rsidRPr="005A562F">
        <w:t xml:space="preserve">punkter </w:t>
      </w:r>
      <w:r w:rsidR="00AE47A8" w:rsidRPr="005A562F">
        <w:t xml:space="preserve">som förväntas godkännas av </w:t>
      </w:r>
      <w:r w:rsidRPr="005A562F">
        <w:t xml:space="preserve">Coreper I den 23 oktober </w:t>
      </w:r>
      <w:r w:rsidR="00DC108E" w:rsidRPr="005A562F">
        <w:t>och Coreper II den 26 oktober</w:t>
      </w:r>
      <w:bookmarkEnd w:id="55"/>
      <w:r w:rsidRPr="005A562F">
        <w:t xml:space="preserve"> </w:t>
      </w:r>
      <w:r w:rsidR="006E20FA" w:rsidRPr="005A562F">
        <w:rPr>
          <w:rFonts w:ascii="Arial" w:hAnsi="Arial" w:cs="Arial"/>
          <w:i/>
          <w:iCs/>
          <w:sz w:val="24"/>
        </w:rPr>
        <w:t xml:space="preserve"> </w:t>
      </w:r>
    </w:p>
    <w:p w:rsidR="006E20FA" w:rsidRPr="005A562F" w:rsidRDefault="006E20FA" w:rsidP="008D78C7">
      <w:pPr>
        <w:pStyle w:val="Rubrik2"/>
      </w:pPr>
      <w:bookmarkStart w:id="56" w:name="_Toc243975455"/>
      <w:r w:rsidRPr="005A562F">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bookmarkEnd w:id="56"/>
    </w:p>
    <w:p w:rsidR="006E20FA" w:rsidRPr="005A562F" w:rsidRDefault="006E20FA">
      <w:pPr>
        <w:pStyle w:val="RKnormal"/>
        <w:tabs>
          <w:tab w:val="clear" w:pos="1843"/>
          <w:tab w:val="left" w:pos="0"/>
        </w:tabs>
        <w:ind w:left="0"/>
      </w:pPr>
    </w:p>
    <w:p w:rsidR="006E20FA" w:rsidRPr="005A562F" w:rsidRDefault="006E20FA" w:rsidP="006E20FA">
      <w:r w:rsidRPr="005A562F">
        <w:t>14545/09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Cecilia Malmström</w:t>
      </w:r>
    </w:p>
    <w:p w:rsidR="006E20FA" w:rsidRPr="005A562F" w:rsidRDefault="006E20FA">
      <w:pPr>
        <w:pStyle w:val="RKnormal"/>
        <w:tabs>
          <w:tab w:val="clear" w:pos="1843"/>
          <w:tab w:val="left" w:pos="0"/>
        </w:tabs>
        <w:ind w:left="0"/>
      </w:pPr>
    </w:p>
    <w:p w:rsidR="006E20FA" w:rsidRPr="005A562F" w:rsidRDefault="00362DCB" w:rsidP="006E20FA">
      <w:r w:rsidRPr="005A562F">
        <w:t>Förväntas godkännas</w:t>
      </w:r>
      <w:r w:rsidR="006E20FA" w:rsidRPr="005A562F">
        <w:t xml:space="preserve"> av Coreper I den 23 oktober 2009</w:t>
      </w:r>
    </w:p>
    <w:p w:rsidR="006E20FA" w:rsidRPr="005A562F" w:rsidRDefault="006E20FA">
      <w:pPr>
        <w:pStyle w:val="RKnormal"/>
        <w:tabs>
          <w:tab w:val="clear" w:pos="1843"/>
          <w:tab w:val="left" w:pos="0"/>
        </w:tabs>
        <w:ind w:left="0"/>
      </w:pPr>
    </w:p>
    <w:p w:rsidR="008D78C7" w:rsidRPr="005A562F" w:rsidRDefault="006E20FA" w:rsidP="00BC43BA">
      <w:r w:rsidRPr="005A562F">
        <w:t>Information från rådets rättstjänst om att rådet bör yttra sig i mål C-343/09, Afton Chemical Ltd, vid EG-domstolen. En brittisk domstol har begärt ett förhandsavgörande från EG-domstolen gällande giltigheten av artikel 1.8 i Europaparlamentets och rådets direktiv 2009/30/EG (som ändrar direktiv 98/70/EG) gällande bl.a. specifikationer för bensin, diesel och gasoljor och införande av ett system för hur växthusgasutsläpp ska övervakas och minskas. Afton Chemical Ltd, som är klagandepart i målet vid den nationella domstolen, tillverkar och säljer metalltillsatsen metylcyclopentadienyl-mangantrikarbonyl (MMT). Artikel 1.8 i direktivet föreskriver begränsningar av förekomsten av MMT i bränsle. Inför den nationella domstolen har klaganden framställt en rad argument till styrkande av att artikel 1.8 i direktivet är olaglig och den nationella domstolen att därefter ställt två frågor till EG-domstolen angående artikelns giltighet. Eftersom målet handlar om giltigheten av ett direktiv från rådet anser rådets rättstjänst att rådet bör ge in ett skriftligt yttrande i målet. Rådet har två månader på sig att ge in ett sådant yttrande. Det står medlemsstaterna, Europaparlamentet och kommissionen fritt att också ge in skriftliga yttranden.</w:t>
      </w:r>
    </w:p>
    <w:p w:rsidR="00BC43BA" w:rsidRPr="005A562F" w:rsidRDefault="00BC43BA" w:rsidP="00BC43BA"/>
    <w:p w:rsidR="00DC108E" w:rsidRPr="005A562F" w:rsidRDefault="006E20FA" w:rsidP="00DC108E">
      <w:pPr>
        <w:autoSpaceDE w:val="0"/>
        <w:autoSpaceDN w:val="0"/>
        <w:adjustRightInd w:val="0"/>
        <w:spacing w:line="240" w:lineRule="auto"/>
      </w:pPr>
      <w:r w:rsidRPr="005A562F">
        <w:t xml:space="preserve"> </w:t>
      </w:r>
    </w:p>
    <w:p w:rsidR="00DC108E" w:rsidRPr="005A562F" w:rsidRDefault="00DC108E" w:rsidP="009337B7">
      <w:pPr>
        <w:pStyle w:val="Rubrik2"/>
        <w:rPr>
          <w:lang w:eastAsia="sv-SE"/>
        </w:rPr>
      </w:pPr>
      <w:bookmarkStart w:id="57" w:name="_Toc243975456"/>
      <w:r w:rsidRPr="005A562F">
        <w:rPr>
          <w:lang w:eastAsia="sv-SE"/>
        </w:rPr>
        <w:t>2. Draft Council Conclusions on Afghanistan/Pakistan</w:t>
      </w:r>
      <w:bookmarkEnd w:id="57"/>
    </w:p>
    <w:p w:rsidR="00DC108E" w:rsidRPr="005A562F" w:rsidRDefault="00DC108E" w:rsidP="00DC108E">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DC108E" w:rsidRPr="005A562F" w:rsidRDefault="00DC108E" w:rsidP="00DC108E">
      <w:pPr>
        <w:autoSpaceDE w:val="0"/>
        <w:autoSpaceDN w:val="0"/>
        <w:adjustRightInd w:val="0"/>
        <w:spacing w:line="360" w:lineRule="auto"/>
        <w:rPr>
          <w:rFonts w:cs="OrigGarmnd BT"/>
          <w:color w:val="000000"/>
          <w:szCs w:val="24"/>
          <w:lang w:eastAsia="sv-SE"/>
        </w:rPr>
      </w:pPr>
      <w:r w:rsidRPr="005A562F">
        <w:rPr>
          <w:rFonts w:cs="OrigGarmnd BT"/>
          <w:color w:val="000000"/>
          <w:szCs w:val="24"/>
          <w:lang w:eastAsia="sv-SE"/>
        </w:rPr>
        <w:t>14576/09</w:t>
      </w:r>
    </w:p>
    <w:p w:rsidR="00DC108E" w:rsidRPr="005A562F" w:rsidRDefault="00DC108E" w:rsidP="00DC108E">
      <w:pPr>
        <w:tabs>
          <w:tab w:val="left" w:pos="0"/>
          <w:tab w:val="left" w:pos="2835"/>
        </w:tabs>
        <w:autoSpaceDE w:val="0"/>
        <w:autoSpaceDN w:val="0"/>
        <w:adjustRightInd w:val="0"/>
        <w:spacing w:line="240" w:lineRule="auto"/>
      </w:pPr>
    </w:p>
    <w:p w:rsidR="00DC108E" w:rsidRPr="005A562F" w:rsidRDefault="00DC108E" w:rsidP="00DC108E">
      <w:pPr>
        <w:autoSpaceDE w:val="0"/>
        <w:autoSpaceDN w:val="0"/>
        <w:adjustRightInd w:val="0"/>
      </w:pPr>
      <w:r w:rsidRPr="005A562F">
        <w:t>Ansvarigt departement: Utrikesdepartementet</w:t>
      </w:r>
    </w:p>
    <w:p w:rsidR="00DC108E" w:rsidRPr="005A562F" w:rsidRDefault="00DC108E" w:rsidP="00DC108E">
      <w:pPr>
        <w:tabs>
          <w:tab w:val="left" w:pos="0"/>
          <w:tab w:val="left" w:pos="2835"/>
        </w:tabs>
        <w:autoSpaceDE w:val="0"/>
        <w:autoSpaceDN w:val="0"/>
        <w:adjustRightInd w:val="0"/>
      </w:pPr>
    </w:p>
    <w:p w:rsidR="00DC108E" w:rsidRPr="005A562F" w:rsidRDefault="00DC108E" w:rsidP="00DC108E">
      <w:pPr>
        <w:autoSpaceDE w:val="0"/>
        <w:autoSpaceDN w:val="0"/>
        <w:adjustRightInd w:val="0"/>
      </w:pPr>
      <w:r w:rsidRPr="005A562F">
        <w:t>Ansvarigt statsråd: Carl Bildt</w:t>
      </w:r>
    </w:p>
    <w:p w:rsidR="00DC108E" w:rsidRPr="005A562F" w:rsidRDefault="00DC108E" w:rsidP="00DC108E">
      <w:pPr>
        <w:tabs>
          <w:tab w:val="left" w:pos="0"/>
          <w:tab w:val="left" w:pos="2835"/>
        </w:tabs>
        <w:autoSpaceDE w:val="0"/>
        <w:autoSpaceDN w:val="0"/>
        <w:adjustRightInd w:val="0"/>
      </w:pPr>
    </w:p>
    <w:p w:rsidR="00DC108E" w:rsidRPr="005A562F" w:rsidRDefault="00DC108E" w:rsidP="00DC108E">
      <w:pPr>
        <w:autoSpaceDE w:val="0"/>
        <w:autoSpaceDN w:val="0"/>
        <w:adjustRightInd w:val="0"/>
      </w:pPr>
      <w:r w:rsidRPr="005A562F">
        <w:t>Förväntas godkännas av Coreper II den 26 oktober 2009</w:t>
      </w:r>
    </w:p>
    <w:p w:rsidR="00DC108E" w:rsidRPr="005A562F" w:rsidRDefault="00DC108E" w:rsidP="00DC108E">
      <w:pPr>
        <w:tabs>
          <w:tab w:val="left" w:pos="0"/>
          <w:tab w:val="left" w:pos="2835"/>
        </w:tabs>
        <w:autoSpaceDE w:val="0"/>
        <w:autoSpaceDN w:val="0"/>
        <w:adjustRightInd w:val="0"/>
      </w:pPr>
    </w:p>
    <w:p w:rsidR="00DC108E" w:rsidRPr="005A562F" w:rsidRDefault="00DC108E" w:rsidP="00DC108E">
      <w:pPr>
        <w:autoSpaceDE w:val="0"/>
        <w:autoSpaceDN w:val="0"/>
        <w:adjustRightInd w:val="0"/>
      </w:pPr>
      <w:r w:rsidRPr="005A562F">
        <w:t>Rådet väntas följa upp utvecklingen i Afghanistan med avseende på valet och de utmaningar som en andra valomgång den 7 november innebär, samt hur EU och det internationella samfundet ska engagera och påverka en nyvald regering. Vad gäller Pakistan väntas rådet beröra situationen i landets västra delar i ljuset av offensiven mot talibanfästen i stamområdena, inklusive betydelsen av att kunna hantera en förvärrad humanitär situation i området.</w:t>
      </w:r>
    </w:p>
    <w:p w:rsidR="00DC108E" w:rsidRPr="005A562F" w:rsidRDefault="00DC108E" w:rsidP="00DC108E">
      <w:pPr>
        <w:autoSpaceDE w:val="0"/>
        <w:autoSpaceDN w:val="0"/>
        <w:adjustRightInd w:val="0"/>
      </w:pPr>
    </w:p>
    <w:p w:rsidR="00DC108E" w:rsidRPr="005A562F" w:rsidRDefault="00DC108E" w:rsidP="00DC108E">
      <w:pPr>
        <w:autoSpaceDE w:val="0"/>
        <w:autoSpaceDN w:val="0"/>
        <w:adjustRightInd w:val="0"/>
      </w:pPr>
      <w:r w:rsidRPr="005A562F">
        <w:t xml:space="preserve">Genom slutsatserna understryks vikten av att förstärka EU:s engagemang i Afghanistan och Pakistan. Slutsatserna upprepar avsikt att bidra långsiktigt. Behovet av ökade/mer samordnade insatser understryks. Fokus måste ligga på afghanskt ansvar. Avseende Afghanistan anges civilt kapacitetsbyggande, EU:s polisinsats (EUPOL) och rättsområdet samt utveckling av jordbruket som prioriterade områden. Vad gäller Pakistan konstateras vikten av goda grannlandsrelationer fördjupade relationer, stärkt handelsutbyte, samarbete om kontraterrorism, icke-spridning och utvecklingen av demokratiska institutioner inom bl. a säkerhetssektorn. Slutsatserna förutser en implementeringsplan under 2009 och att rådet hålls löpande informerat. </w:t>
      </w:r>
    </w:p>
    <w:p w:rsidR="00DC108E" w:rsidRPr="005A562F" w:rsidRDefault="00DC108E" w:rsidP="00DC108E">
      <w:pPr>
        <w:autoSpaceDE w:val="0"/>
        <w:autoSpaceDN w:val="0"/>
        <w:adjustRightInd w:val="0"/>
      </w:pPr>
    </w:p>
    <w:p w:rsidR="006E20FA" w:rsidRPr="005A562F" w:rsidRDefault="00DC108E" w:rsidP="00DC108E">
      <w:r w:rsidRPr="005A562F">
        <w:t>Slutsatserna förutses behöva uppdateras vid ett extrainsatt Coreper II på måndag inför GAERC med anledning av utveckling marken. Vid behov får UD återkomma till EU-nämndens kansli på måndag eftermiddag.</w:t>
      </w:r>
    </w:p>
    <w:p w:rsidR="006E20FA" w:rsidRPr="005A562F" w:rsidRDefault="006E20FA" w:rsidP="00DC108E">
      <w:pPr>
        <w:pStyle w:val="RKnormal"/>
        <w:tabs>
          <w:tab w:val="clear" w:pos="1843"/>
          <w:tab w:val="left" w:pos="0"/>
        </w:tabs>
        <w:spacing w:line="320" w:lineRule="atLeast"/>
        <w:ind w:left="0"/>
      </w:pPr>
      <w:r w:rsidRPr="005A562F">
        <w:t xml:space="preserve"> </w:t>
      </w:r>
    </w:p>
    <w:p w:rsidR="006E20FA" w:rsidRPr="005A562F" w:rsidRDefault="006E20FA" w:rsidP="006E20FA">
      <w:pPr>
        <w:pStyle w:val="Rubrik2"/>
      </w:pPr>
      <w:bookmarkStart w:id="58" w:name="_Toc243975457"/>
      <w:r w:rsidRPr="005A562F">
        <w:t>3. Relations with the Republic of Indonesia- Council decision on the signing of the Framework Agreement in comprehensive Partnership and Cooperation between the European Community and its Member States, of the part, and the Republic of Indonesia, of the other part</w:t>
      </w:r>
      <w:bookmarkEnd w:id="58"/>
    </w:p>
    <w:p w:rsidR="006E20FA" w:rsidRPr="005A562F" w:rsidRDefault="006E20FA">
      <w:pPr>
        <w:pStyle w:val="RKnormal"/>
        <w:tabs>
          <w:tab w:val="clear" w:pos="1843"/>
          <w:tab w:val="left" w:pos="0"/>
        </w:tabs>
        <w:ind w:left="0"/>
      </w:pPr>
    </w:p>
    <w:p w:rsidR="006E20FA" w:rsidRPr="005A562F" w:rsidRDefault="006E20FA" w:rsidP="006E20FA">
      <w:r w:rsidRPr="005A562F">
        <w:t>14537/09, 14028/09, 14032/09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6E20FA" w:rsidRPr="005A562F" w:rsidRDefault="006E20FA" w:rsidP="006E20FA">
      <w:r w:rsidRPr="005A562F">
        <w:t>Tidigare behandling vid rådsmöte: Allmänna frågor och yttre förbindelser</w:t>
      </w:r>
    </w:p>
    <w:p w:rsidR="006E20FA" w:rsidRPr="005A562F" w:rsidRDefault="006E20FA">
      <w:pPr>
        <w:pStyle w:val="RKnormal"/>
        <w:tabs>
          <w:tab w:val="clear" w:pos="1843"/>
          <w:tab w:val="left" w:pos="0"/>
        </w:tabs>
        <w:ind w:left="0"/>
      </w:pPr>
    </w:p>
    <w:p w:rsidR="008D78C7" w:rsidRPr="005A562F" w:rsidRDefault="00AE47A8" w:rsidP="008D78C7">
      <w:r w:rsidRPr="005A562F">
        <w:t xml:space="preserve">Godkänd av </w:t>
      </w:r>
      <w:r w:rsidR="008D78C7" w:rsidRPr="005A562F">
        <w:t>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Beslut om undertecknande av Partnerskaps- och Samarbetsavtal (PSA) med Indonesien som färdigförhandlades under 2007 och paraferades av Indonesien i juli 2009. Avtalet är ett s k blandavtal där EU29 står som avtalsparter på EU-sidan; samtliga MS bör underteckna vid GAERC 26-27 oktober.</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59" w:name="_Toc243975458"/>
      <w:r w:rsidRPr="005A562F">
        <w:t>4. Draft Council conclusions on the establishment of a Human Rights dialogue with Indonesia</w:t>
      </w:r>
      <w:bookmarkEnd w:id="59"/>
    </w:p>
    <w:p w:rsidR="006E20FA" w:rsidRPr="005A562F" w:rsidRDefault="006E20FA">
      <w:pPr>
        <w:pStyle w:val="RKnormal"/>
        <w:tabs>
          <w:tab w:val="clear" w:pos="1843"/>
          <w:tab w:val="left" w:pos="0"/>
        </w:tabs>
        <w:ind w:left="0"/>
      </w:pPr>
    </w:p>
    <w:p w:rsidR="006E20FA" w:rsidRPr="005A562F" w:rsidRDefault="006E20FA" w:rsidP="006E20FA">
      <w:r w:rsidRPr="005A562F">
        <w:t>14518/09, 14519/09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Vid möte på högre tjänstemannanivå i Jakarta i juli mellan EU och Indonesien kom parterna överens ad referendum om att upprätta en dialog om de mänskliga rättigheterna. Utkast till sedvanliga rådsslutsatser om att från EU:s sida formellt ingå i en dialog bereddes i rådsarbetsgruppen för mänskliga rättigheter, COHOM den 6 oktober, rådsarbetsgruppen för Asien, COASI den 14 oktober och i KUSP den 20 oktober. Beredningen har fortlöpt utan svårigheter.</w:t>
      </w:r>
    </w:p>
    <w:p w:rsidR="006E20FA" w:rsidRPr="005A562F" w:rsidRDefault="006E20FA" w:rsidP="006E20FA">
      <w:pPr>
        <w:pStyle w:val="Rubrik2"/>
      </w:pPr>
      <w:bookmarkStart w:id="60" w:name="_Toc243975459"/>
      <w:r w:rsidRPr="005A562F">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bookmarkEnd w:id="60"/>
    </w:p>
    <w:p w:rsidR="006E20FA" w:rsidRPr="005A562F" w:rsidRDefault="006E20FA">
      <w:pPr>
        <w:pStyle w:val="RKnormal"/>
        <w:tabs>
          <w:tab w:val="clear" w:pos="1843"/>
          <w:tab w:val="left" w:pos="0"/>
        </w:tabs>
        <w:ind w:left="0"/>
      </w:pPr>
    </w:p>
    <w:p w:rsidR="006E20FA" w:rsidRPr="005A562F" w:rsidRDefault="006E20FA" w:rsidP="006E20FA">
      <w:r w:rsidRPr="005A562F">
        <w:t>13881/09, 14483/09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Coreper skall godkänna EU:s position innebärande att samarbetsrådet EU-Ukraina ska anta en rekommendation om implementering av Associeringsagendan EU-Ukraina och bildande av en gemensam kommitté. Antagandet sker alltså formellt inom ramen för samarbetsrådet, men genomförs i praktiken genom utväxling av brev.</w:t>
      </w:r>
    </w:p>
    <w:p w:rsidR="006E20FA" w:rsidRPr="005A562F" w:rsidRDefault="006E20FA" w:rsidP="006E20FA"/>
    <w:p w:rsidR="006E20FA" w:rsidRPr="005A562F" w:rsidRDefault="006E20FA" w:rsidP="006E20FA">
      <w:r w:rsidRPr="005A562F">
        <w:t xml:space="preserve">Associeringsagendan ersätter den handlingsplan för Ukraina som nu reglerar reformsamarbetet mellan EU och Ukraina inom ramen för den Europeiska grannskapspolitiken. Associeringsagendan är kopplad till det associeringsavtal mellan EU och Ukraina som parterna för närvarande förhandlar om. Den gemensamma kommittén skall bevaka implementeringen av agendan och om nödvändigt föreslå förändringar. </w:t>
      </w:r>
    </w:p>
    <w:p w:rsidR="006E20FA" w:rsidRPr="005A562F" w:rsidRDefault="006E20FA" w:rsidP="006E20FA"/>
    <w:p w:rsidR="006E20FA" w:rsidRPr="005A562F" w:rsidRDefault="006E20FA" w:rsidP="006E20FA">
      <w:r w:rsidRPr="005A562F">
        <w:t>Vid samarbetsrådet EU-Ukraina den 16 juni 2009 noterades att Associeringsagendan var färdigförhandlad, men det formella antagandet på EU-sidan har dröjt p.g.a. juridiska oklarheter om beslutsprocessen och parlamentariska reservationer från vissa MS som därefter dragits tillbaks.</w:t>
      </w:r>
    </w:p>
    <w:p w:rsidR="006E20FA" w:rsidRPr="005A562F" w:rsidRDefault="006E20FA" w:rsidP="006E20FA"/>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1" w:name="_Toc243975460"/>
      <w:r w:rsidRPr="005A562F">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bookmarkEnd w:id="61"/>
    </w:p>
    <w:p w:rsidR="006E20FA" w:rsidRPr="005A562F" w:rsidRDefault="006E20FA">
      <w:pPr>
        <w:pStyle w:val="RKnormal"/>
        <w:tabs>
          <w:tab w:val="clear" w:pos="1843"/>
          <w:tab w:val="left" w:pos="0"/>
        </w:tabs>
        <w:ind w:left="0"/>
      </w:pPr>
    </w:p>
    <w:p w:rsidR="006E20FA" w:rsidRPr="005A562F" w:rsidRDefault="006E20FA" w:rsidP="006E20FA">
      <w:r w:rsidRPr="005A562F">
        <w:t>14462/09, 10914446/09, 10714461/09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Syftet med beh</w:t>
      </w:r>
      <w:r w:rsidR="006A6031" w:rsidRPr="005A562F">
        <w:t>andlingen i Coreper är att som I</w:t>
      </w:r>
      <w:r w:rsidRPr="005A562F">
        <w:t>-punkt bekräfta utkastet till EU:s position inför samarbetsråden med de tre länderna i Södra Kaukasus den 26 oktober.</w:t>
      </w:r>
    </w:p>
    <w:p w:rsidR="006E20FA" w:rsidRPr="005A562F" w:rsidRDefault="006E20FA" w:rsidP="006E20FA"/>
    <w:p w:rsidR="006E20FA" w:rsidRPr="005A562F" w:rsidRDefault="006E20FA" w:rsidP="006E20FA">
      <w:r w:rsidRPr="005A562F">
        <w:t xml:space="preserve">Rådsarbetsgruppen COEST har kommit överens om EU:s position för de tre samarbetsråden per tyst procedur den 16 oktober, efter två diskussionstillfällen. </w:t>
      </w:r>
    </w:p>
    <w:p w:rsidR="006E20FA" w:rsidRPr="005A562F" w:rsidRDefault="006E20FA" w:rsidP="006E20FA"/>
    <w:p w:rsidR="006E20FA" w:rsidRPr="005A562F" w:rsidRDefault="006E20FA" w:rsidP="006E20FA">
      <w:r w:rsidRPr="005A562F">
        <w:t>Samarbetsråden hålls på ministernivå och sker inom ramen för de partnerskaps- (PSA) och samarbetsavtal som EU har med dessa länder. Samarbetsråden utgör grunden i den politiska dialogen mellan EU och dessa länder och övervakar reformarbetet i länderna inom ramen för PSA och ENP-handlingsplanen. Samarbetsråden kommer också att diskutera utsikterna till fördjupat samarbete mellan EU och respektive land inom ramen för det Östliga partnerskapet samt konflikterna i regionen.</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2" w:name="_Toc243975461"/>
      <w:r w:rsidRPr="005A562F">
        <w:t>7. (poss.) Relations with Russia= Key outstanding issues for the EU in its relations with Russia</w:t>
      </w:r>
      <w:bookmarkEnd w:id="62"/>
    </w:p>
    <w:p w:rsidR="006E20FA" w:rsidRPr="005A562F" w:rsidRDefault="006E20FA">
      <w:pPr>
        <w:pStyle w:val="RKnormal"/>
        <w:tabs>
          <w:tab w:val="clear" w:pos="1843"/>
          <w:tab w:val="left" w:pos="0"/>
        </w:tabs>
        <w:ind w:left="0"/>
      </w:pPr>
    </w:p>
    <w:p w:rsidR="006E20FA" w:rsidRPr="005A562F" w:rsidRDefault="006E20FA" w:rsidP="006E20FA">
      <w:r w:rsidRPr="005A562F">
        <w:t>14606/09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Rådsarbetsgruppen för Östeuropa och Centralasien (Coest) har behandlat ett papper med EU:s position som en del av förberedelseprocessen för EU-Rysslandstoppmötet i Stockholm den 18 november. Papperet innehåller bakgrund, mål och handlingslinjer på de fyra områdena ekonomi, RIF, extern säkerhet samt forskning och utbildning.</w:t>
      </w:r>
    </w:p>
    <w:p w:rsidR="006E20FA" w:rsidRPr="005A562F" w:rsidRDefault="006E20FA" w:rsidP="006E20FA"/>
    <w:p w:rsidR="006E20FA" w:rsidRPr="005A562F" w:rsidRDefault="006E20FA" w:rsidP="006E20FA">
      <w:r w:rsidRPr="005A562F">
        <w:t>Efter tyst procedur antogs dokumentet den 21 september.</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3" w:name="_Toc243975462"/>
      <w:r w:rsidRPr="005A562F">
        <w:t>8. (poss.) Relations with Russia= Establishment of the position of the European Union for the second EU-Russia Permanent Partnership Council (Environment), to be held in Moscow on 10 November 2009</w:t>
      </w:r>
      <w:bookmarkEnd w:id="63"/>
    </w:p>
    <w:p w:rsidR="006E20FA" w:rsidRPr="005A562F" w:rsidRDefault="006E20FA">
      <w:pPr>
        <w:pStyle w:val="RKnormal"/>
        <w:tabs>
          <w:tab w:val="clear" w:pos="1843"/>
          <w:tab w:val="left" w:pos="0"/>
        </w:tabs>
        <w:ind w:left="0"/>
      </w:pPr>
    </w:p>
    <w:p w:rsidR="006E20FA" w:rsidRPr="005A562F" w:rsidRDefault="006E20FA" w:rsidP="006E20FA">
      <w:r w:rsidRPr="005A562F">
        <w:t>14607/09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Rådsarbetsgruppen för Östeuropa och Centralasien (Coest) har kommit överens om EU:s position inför mötet som äger rum i Moskva den 10 november 2009. Ämnen för diskussion inkluderar EU:s och Rysslands relation på områden som marin miljö, klimat och nordliga frågor.</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4" w:name="_Toc243975463"/>
      <w:r w:rsidRPr="005A562F">
        <w:t>9. Approval of the draft revised "Plan de mise en oeuvre" (OPLAN) for the European Union mission to provide advice and assistance for security sector reform in RDC (EUSEC RD Congo)</w:t>
      </w:r>
      <w:bookmarkEnd w:id="64"/>
    </w:p>
    <w:p w:rsidR="006E20FA" w:rsidRPr="005A562F" w:rsidRDefault="006E20FA">
      <w:pPr>
        <w:pStyle w:val="RKnormal"/>
        <w:tabs>
          <w:tab w:val="clear" w:pos="1843"/>
          <w:tab w:val="left" w:pos="0"/>
        </w:tabs>
        <w:ind w:left="0"/>
      </w:pPr>
    </w:p>
    <w:p w:rsidR="006E20FA" w:rsidRPr="005A562F" w:rsidRDefault="006E20FA" w:rsidP="006E20FA">
      <w:r w:rsidRPr="005A562F">
        <w:t>13647/09, 14547/09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6E20FA" w:rsidRPr="005A562F" w:rsidRDefault="006E20FA" w:rsidP="006E20FA">
      <w:r w:rsidRPr="005A562F">
        <w:t>Tidigare behandling vid rådsmöte: Allmänna frågor och yttre förbindelser</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Godkännande av operativ plan för EUSEC RD Congo </w:t>
      </w:r>
    </w:p>
    <w:p w:rsidR="006E20FA" w:rsidRPr="005A562F" w:rsidRDefault="006E20FA" w:rsidP="006E20FA"/>
    <w:p w:rsidR="006E20FA" w:rsidRPr="005A562F" w:rsidRDefault="006E20FA" w:rsidP="006E20FA">
      <w:r w:rsidRPr="005A562F">
        <w:t>Den operativa planen för EUSEC RD Congo (Europeiska Unionens rådgivnings- och biståndsuppdrag för reform av säkerhetssektorn i Demokratiska republiken Kongo) har reviderats med anledning av ändring och förlängning av insatsens mandat tidigare i höst.</w:t>
      </w:r>
    </w:p>
    <w:p w:rsidR="006E20FA" w:rsidRPr="005A562F" w:rsidRDefault="006E20FA" w:rsidP="006E20FA"/>
    <w:p w:rsidR="006E20FA" w:rsidRPr="005A562F" w:rsidRDefault="006E20FA" w:rsidP="006E20FA">
      <w:r w:rsidRPr="005A562F">
        <w:t>EUSEC har i uppdrag att stödja de kongolesiska myndigheterna i reformering av landets säkerhetssektor. Insatsens arbete kommer att omfatta rådgivning på strategisk nivå samt stöd för implementering av arméreform på operativ nivå.</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5" w:name="_Toc243975464"/>
      <w:r w:rsidRPr="005A562F">
        <w:t>10. Opening of consultations with Niger under Article 96 of the ACP-EC Cotonou Agreement- Letter to be sent to the authorities of Niger</w:t>
      </w:r>
      <w:bookmarkEnd w:id="65"/>
    </w:p>
    <w:p w:rsidR="006E20FA" w:rsidRPr="005A562F" w:rsidRDefault="006E20FA">
      <w:pPr>
        <w:pStyle w:val="RKnormal"/>
        <w:tabs>
          <w:tab w:val="clear" w:pos="1843"/>
          <w:tab w:val="left" w:pos="0"/>
        </w:tabs>
        <w:ind w:left="0"/>
      </w:pPr>
    </w:p>
    <w:p w:rsidR="006E20FA" w:rsidRPr="005A562F" w:rsidRDefault="006E20FA" w:rsidP="006E20FA">
      <w:r w:rsidRPr="005A562F">
        <w:t>14579/09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Gunilla Carlsson</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Mot bakgrund av de icke-konstitutionella ageranden som Nigers president vidtagit de senaste månaderna har Kommissionen lagt fram ett förslag om inledande av konsultationer enligt art 96 i Cotonou avtalet. Niger kommer nu att bjudas att komma till Bryssel inom 30 dagar för ett politiskt möte som öppnar konsultationerna. Efter detta inledande möte pågår konsultationerna i högst 120 dagar. Därefter görs en utvärdering av de nigeriska myndigheternas vilja att hörsamma EU:s krav på förändring. Art 96 </w:t>
      </w:r>
      <w:r w:rsidR="006A6031" w:rsidRPr="005A562F">
        <w:t>konsultationer</w:t>
      </w:r>
      <w:r w:rsidRPr="005A562F">
        <w:t xml:space="preserve"> kan leda till frysning av EU:s bistånd.</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6" w:name="_Toc243975465"/>
      <w:r w:rsidRPr="005A562F">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bookmarkEnd w:id="66"/>
    </w:p>
    <w:p w:rsidR="006E20FA" w:rsidRPr="005A562F" w:rsidRDefault="006E20FA">
      <w:pPr>
        <w:pStyle w:val="RKnormal"/>
        <w:tabs>
          <w:tab w:val="clear" w:pos="1843"/>
          <w:tab w:val="left" w:pos="0"/>
        </w:tabs>
        <w:ind w:left="0"/>
      </w:pPr>
    </w:p>
    <w:p w:rsidR="006E20FA" w:rsidRPr="005A562F" w:rsidRDefault="006E20FA" w:rsidP="006E20FA">
      <w:r w:rsidRPr="005A562F">
        <w:t>12190/09, 14603/09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DF2A59" w:rsidRPr="005A562F" w:rsidRDefault="00DF2A59" w:rsidP="008D78C7"/>
    <w:p w:rsidR="00DF2A59" w:rsidRPr="005A562F" w:rsidRDefault="00DF2A59" w:rsidP="00DF2A59">
      <w:r w:rsidRPr="005A562F">
        <w:t xml:space="preserve">För eventualiteten att individer misstänkta för sjöröveri behöver överlämnas för lagföring i land i regionen har EU tidigare förhandlat fram avtal med Kenya som syftar till att säkerställa dessa individers mänskliga rättigheter. </w:t>
      </w:r>
    </w:p>
    <w:p w:rsidR="00DF2A59" w:rsidRPr="005A562F" w:rsidRDefault="00DF2A59" w:rsidP="00DF2A59"/>
    <w:p w:rsidR="00DF2A59" w:rsidRPr="005A562F" w:rsidRDefault="00DF2A59" w:rsidP="00DF2A59">
      <w:r w:rsidRPr="005A562F">
        <w:t xml:space="preserve">Då Kenyas kapacitet för att ta emot misstänkta sjörövare är begränsad är det angeläget att EU sluter avtal även med andra länder i regionen, vilket EU nu önskar göra med i detta fall Seychellerna. Avtalens förekomst förbinder inte de stater som deltar i insatsen att överlämna individer, utan sluts för den händelse det bedöms nödvändigt att överlämna. </w:t>
      </w:r>
    </w:p>
    <w:p w:rsidR="00DF2A59" w:rsidRPr="005A562F" w:rsidRDefault="00DF2A59" w:rsidP="00DF2A59"/>
    <w:p w:rsidR="00DF2A59" w:rsidRPr="005A562F" w:rsidRDefault="00DF2A59" w:rsidP="00DF2A59">
      <w:r w:rsidRPr="005A562F">
        <w:t>Regeringen avser i rådet rösta för att avtal ingås med Seychellerna gällande överföring av individer misstänkta för sjöröveri.</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7" w:name="_Toc243975466"/>
      <w:r w:rsidRPr="005A562F">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bookmarkEnd w:id="67"/>
    </w:p>
    <w:p w:rsidR="006E20FA" w:rsidRPr="005A562F" w:rsidRDefault="006E20FA">
      <w:pPr>
        <w:pStyle w:val="RKnormal"/>
        <w:tabs>
          <w:tab w:val="clear" w:pos="1843"/>
          <w:tab w:val="left" w:pos="0"/>
        </w:tabs>
        <w:ind w:left="0"/>
      </w:pPr>
    </w:p>
    <w:p w:rsidR="006E20FA" w:rsidRPr="005A562F" w:rsidRDefault="006E20FA" w:rsidP="006E20FA">
      <w:r w:rsidRPr="005A562F">
        <w:t>12538/09, 14605/09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8D78C7" w:rsidRPr="005A562F" w:rsidRDefault="008D78C7" w:rsidP="008D78C7"/>
    <w:p w:rsidR="00DF2A59" w:rsidRPr="005A562F" w:rsidRDefault="00DF2A59" w:rsidP="008D78C7"/>
    <w:p w:rsidR="00DF2A59" w:rsidRPr="005A562F" w:rsidRDefault="00DF2A59" w:rsidP="00DF2A59"/>
    <w:p w:rsidR="00DF2A59" w:rsidRPr="005A562F" w:rsidRDefault="00DF2A59" w:rsidP="00DF2A59">
      <w:r w:rsidRPr="005A562F">
        <w:t>I samband med planeringen av EU:s marina insats, Operation Atalanta, slöts avtal med de länder genom vilka EU-styrkan måste passera eller i vilka den ska uppehålla sig under insatsen. Dessa statusavtal (Status of Forces Agreement) reglerar EU-personalens status och rättigheter i landet. EU önskar nu även sluta ett sådant avtal med Seychellerna. Avtalen formas i enlighet med EU:s modellavtal.</w:t>
      </w:r>
    </w:p>
    <w:p w:rsidR="00DF2A59" w:rsidRPr="005A562F" w:rsidRDefault="00DF2A59" w:rsidP="00DF2A59"/>
    <w:p w:rsidR="00DF2A59" w:rsidRPr="005A562F" w:rsidRDefault="00DF2A59" w:rsidP="00DF2A59">
      <w:r w:rsidRPr="005A562F">
        <w:t>Regeringen avser i rådet rösta för att avtal ingås med Seychellerna avseende statusen för den militära styrkan och dess personal.</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68" w:name="_Toc243975467"/>
      <w:r w:rsidRPr="005A562F">
        <w:t>13. Council Decision on the financial contributions to be paid by the Member States to finance the European Development Fund (3rd instalment 2009)</w:t>
      </w:r>
      <w:bookmarkEnd w:id="68"/>
    </w:p>
    <w:p w:rsidR="006E20FA" w:rsidRPr="005A562F" w:rsidRDefault="006E20FA">
      <w:pPr>
        <w:pStyle w:val="RKnormal"/>
        <w:tabs>
          <w:tab w:val="clear" w:pos="1843"/>
          <w:tab w:val="left" w:pos="0"/>
        </w:tabs>
        <w:ind w:left="0"/>
        <w:rPr>
          <w:highlight w:val="yellow"/>
        </w:rPr>
      </w:pPr>
    </w:p>
    <w:p w:rsidR="006E20FA" w:rsidRPr="005A562F" w:rsidRDefault="006E20FA" w:rsidP="006E20FA">
      <w:r w:rsidRPr="005A562F">
        <w:t>14652/09, 14653/09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Gunilla Carlsson</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A55F55" w:rsidRPr="005A562F" w:rsidRDefault="00A55F55" w:rsidP="008D78C7"/>
    <w:p w:rsidR="006E20FA" w:rsidRPr="005A562F" w:rsidRDefault="006B77E9">
      <w:pPr>
        <w:pStyle w:val="RKnormal"/>
        <w:tabs>
          <w:tab w:val="clear" w:pos="1843"/>
          <w:tab w:val="left" w:pos="0"/>
        </w:tabs>
        <w:ind w:left="0"/>
      </w:pPr>
      <w:r w:rsidRPr="005A562F">
        <w:t>EU:s gemensamma bistånd till länderna i Afrika, Karibien och Stillahavsområdet finansieras genom den Europeiska Utvecklingsfonden (EUF), som hanteras av Europeiska Kommissionen. EU:s medlemsstater bidrad till EUF enligt en fördelningsnyckel. Svreige andel av EUF är för närvarande ca 2,75%. Medlemstaterna bidrar med tre årliga inbetalningar, och får rådet ligger nu att godkänna kommissionens förslag till rådsbeslut om den tredje inbetalningen för 2009.</w:t>
      </w:r>
      <w:r w:rsidR="006E20FA" w:rsidRPr="005A562F">
        <w:t xml:space="preserve"> </w:t>
      </w:r>
    </w:p>
    <w:p w:rsidR="006B77E9" w:rsidRPr="005A562F" w:rsidRDefault="006B77E9">
      <w:pPr>
        <w:pStyle w:val="RKnormal"/>
        <w:tabs>
          <w:tab w:val="clear" w:pos="1843"/>
          <w:tab w:val="left" w:pos="0"/>
        </w:tabs>
        <w:ind w:left="0"/>
      </w:pPr>
    </w:p>
    <w:p w:rsidR="006E20FA" w:rsidRPr="005A562F" w:rsidRDefault="006E20FA" w:rsidP="006E20FA">
      <w:pPr>
        <w:pStyle w:val="Rubrik2"/>
      </w:pPr>
      <w:bookmarkStart w:id="69" w:name="_Toc243975468"/>
      <w:r w:rsidRPr="005A562F">
        <w:t>14. Draft Council Conclusions on Yemen</w:t>
      </w:r>
      <w:bookmarkEnd w:id="69"/>
    </w:p>
    <w:p w:rsidR="006E20FA" w:rsidRPr="005A562F" w:rsidRDefault="006E20FA">
      <w:pPr>
        <w:pStyle w:val="RKnormal"/>
        <w:tabs>
          <w:tab w:val="clear" w:pos="1843"/>
          <w:tab w:val="left" w:pos="0"/>
        </w:tabs>
        <w:ind w:left="0"/>
      </w:pPr>
    </w:p>
    <w:p w:rsidR="006E20FA" w:rsidRPr="005A562F" w:rsidRDefault="006E20FA" w:rsidP="006E20FA">
      <w:r w:rsidRPr="005A562F">
        <w:t>14774/09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GAERC kommer att anta rådsslutsatser om Jemen. Ingen diskussion förväntas.</w:t>
      </w:r>
      <w:r w:rsidR="00BC43BA" w:rsidRPr="005A562F">
        <w:t xml:space="preserve"> </w:t>
      </w:r>
      <w:r w:rsidRPr="005A562F">
        <w:t>Rådsslutsatserna fokuserar på de politiska, ekonomiska och säkerhetsmässiga utmaningar Jemen står inför. EU kommer att uttrycka sin beredskap att stödja den jemenitiska regeringen i dess arbete för ett enat, stabilt och demokratiskt Jemen. Den försämrade humanitära situationen, med ett stort antal internflyktingar, döda och sårade, i de norra delarna av Jemen framhålls. EU kommer att beklaga att regeringspartiet och oppositionen inte kom överens om att hålla val 2009 och understryka vikten av att sådana genomförs 2011.</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0" w:name="_Toc243975469"/>
      <w:r w:rsidRPr="005A562F">
        <w:t>15. Recommendation from the Commission to the Council to authorise the modifications to the negotiation directives for a Trade and Cooperation Agreement with the Republic of Iraq</w:t>
      </w:r>
      <w:bookmarkEnd w:id="70"/>
    </w:p>
    <w:p w:rsidR="006E20FA" w:rsidRPr="005A562F" w:rsidRDefault="006E20FA">
      <w:pPr>
        <w:pStyle w:val="RKnormal"/>
        <w:tabs>
          <w:tab w:val="clear" w:pos="1843"/>
          <w:tab w:val="left" w:pos="0"/>
        </w:tabs>
        <w:ind w:left="0"/>
      </w:pPr>
    </w:p>
    <w:p w:rsidR="006E20FA" w:rsidRPr="005A562F" w:rsidRDefault="006E20FA" w:rsidP="006E20FA">
      <w:r w:rsidRPr="005A562F">
        <w:t>13407/09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4E0E11" w:rsidRPr="005A562F" w:rsidRDefault="004E0E11" w:rsidP="008D78C7"/>
    <w:p w:rsidR="004E0E11" w:rsidRPr="005A562F" w:rsidRDefault="004E0E11" w:rsidP="004E0E11">
      <w:r w:rsidRPr="005A562F">
        <w:t xml:space="preserve">Kommissionen förhandlar på mandat från EU:s medlemsstater om ett partnerskap-och samarbetsavtal (PCA) med Irak. Förevarande förslag från Kommissionen till Rådet innebär en modifiering av förhandlingsmandatet, närmare bestämt att ändra titeln för avtalet (från samarbets- och handelsavtal (TCA) till partnerskap-och samarbetsavtal (PCA) med Irak), samt att upprätta ett samarbetsråd på ministernivå. Dessa ändringar följer tidigare överenskommelser i rådsarbetsgruppen MOG och som därefter förhandlats och överenskommits med irakierna. </w:t>
      </w:r>
    </w:p>
    <w:p w:rsidR="004E0E11" w:rsidRPr="005A562F" w:rsidRDefault="004E0E11" w:rsidP="008D78C7"/>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1" w:name="_Toc243975470"/>
      <w:r w:rsidRPr="005A562F">
        <w:t>16. Draft Council Conclusions on Sri Lanka</w:t>
      </w:r>
      <w:bookmarkEnd w:id="71"/>
    </w:p>
    <w:p w:rsidR="006E20FA" w:rsidRPr="005A562F" w:rsidRDefault="006E20FA">
      <w:pPr>
        <w:pStyle w:val="RKnormal"/>
        <w:tabs>
          <w:tab w:val="clear" w:pos="1843"/>
          <w:tab w:val="left" w:pos="0"/>
        </w:tabs>
        <w:ind w:left="0"/>
      </w:pPr>
    </w:p>
    <w:p w:rsidR="006E20FA" w:rsidRPr="005A562F" w:rsidRDefault="006E20FA" w:rsidP="006E20FA">
      <w:r w:rsidRPr="005A562F">
        <w:t>14619/09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Rådsslutsatser om Sri Lanka som är tänkta att antas vid GAERC 26-27 oktober. Tyngdpunkten i slutsatserna ligger på situationen för de omkring 260 000 internflyktingar från det tidigare konfliktområdet i norr som fortfarande hålls instängda i militärkontrollerade läger under svåra förhållanden. Huvudbudskapet är att flyktingarna utan dröjsmål bör beviljas rörelsefrihet och att internationella humanitära organisationer ska ges obehindrat tillträde till lägren, inklusive för att bedriva skyddsarbete. EU konstaterar att den urskillningslösa interneringen av flyktingar i norra Sri Lanka är ett brott mot internationell rätt.  </w:t>
      </w:r>
    </w:p>
    <w:p w:rsidR="00BC43BA" w:rsidRPr="005A562F" w:rsidRDefault="00BC43BA" w:rsidP="006E20FA"/>
    <w:p w:rsidR="006E20FA" w:rsidRPr="005A562F" w:rsidRDefault="006E20FA" w:rsidP="006E20FA">
      <w:r w:rsidRPr="005A562F">
        <w:t xml:space="preserve">Inledningsvis betonas att EU vill engagera Sri Lankas regering i en dialog. Vid sidan av de tamilska flyktingarnas situation gäller det nödvändigheten av en nationell försoningsprocess för att säkra långsiktig säkerhet och välstånd. </w:t>
      </w:r>
    </w:p>
    <w:p w:rsidR="00BC43BA" w:rsidRPr="005A562F" w:rsidRDefault="00BC43BA" w:rsidP="006E20FA"/>
    <w:p w:rsidR="006E20FA" w:rsidRPr="005A562F" w:rsidRDefault="006E20FA" w:rsidP="006E20FA">
      <w:r w:rsidRPr="005A562F">
        <w:t>Rådsslutsatserna tar också upp den fortsatt mycket oroande situationen för mänskliga rättigheter i Sri Lanka, med särskild betoning på inskränkningarna av press- och yttrandefriheten. Vikten av en oberoende och trovärdig undersökning av anklagelser om krigsbrott understryks. Rådslutsatserna uttrycker stöd för ett stärkt FN-engagemang i Sri Lanka.</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2" w:name="_Toc243975471"/>
      <w:r w:rsidRPr="005A562F">
        <w:t>17. Strengthening EU Action in Afghanistan and Pakistan</w:t>
      </w:r>
      <w:bookmarkEnd w:id="72"/>
    </w:p>
    <w:p w:rsidR="006E20FA" w:rsidRPr="005A562F" w:rsidRDefault="006E20FA">
      <w:pPr>
        <w:pStyle w:val="RKnormal"/>
        <w:tabs>
          <w:tab w:val="clear" w:pos="1843"/>
          <w:tab w:val="left" w:pos="0"/>
        </w:tabs>
        <w:ind w:left="0"/>
      </w:pPr>
    </w:p>
    <w:p w:rsidR="006E20FA" w:rsidRPr="005A562F" w:rsidRDefault="006E20FA" w:rsidP="006E20FA">
      <w:r w:rsidRPr="005A562F">
        <w:t>14064/09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8D78C7" w:rsidRPr="005A562F" w:rsidRDefault="008D78C7" w:rsidP="008D78C7"/>
    <w:p w:rsidR="00A55F55" w:rsidRPr="005A562F" w:rsidRDefault="00BC43BA" w:rsidP="008D78C7">
      <w:r w:rsidRPr="005A562F">
        <w:t>Rådet kommer att anta en handlingsplan för förstärkt EU-engagemang i Afghanistan och Pakistan som, i enlighet med rådets uppdrag från den 15 juni, har utarbetats av rådssekretariatet och kommissionen i nära samarbete med ordförandeskapet. Rådet väntas därvid också diskutera hur planen kan användas i dialogen med länderna och internationella samfundet.</w:t>
      </w:r>
    </w:p>
    <w:p w:rsidR="006E20FA" w:rsidRPr="005A562F" w:rsidRDefault="006E20FA">
      <w:pPr>
        <w:pStyle w:val="RKnormal"/>
        <w:tabs>
          <w:tab w:val="clear" w:pos="1843"/>
          <w:tab w:val="left" w:pos="0"/>
        </w:tabs>
        <w:ind w:left="0"/>
      </w:pPr>
    </w:p>
    <w:p w:rsidR="006E20FA" w:rsidRPr="005A562F" w:rsidRDefault="006E20FA" w:rsidP="006E20FA">
      <w:pPr>
        <w:pStyle w:val="Rubrik2"/>
      </w:pPr>
      <w:bookmarkStart w:id="73" w:name="_Toc243975472"/>
      <w:r w:rsidRPr="005A562F">
        <w:t>18. Draft Council conclusions on Guinea</w:t>
      </w:r>
      <w:bookmarkEnd w:id="73"/>
    </w:p>
    <w:p w:rsidR="006E20FA" w:rsidRPr="005A562F" w:rsidRDefault="006E20FA">
      <w:pPr>
        <w:pStyle w:val="RKnormal"/>
        <w:tabs>
          <w:tab w:val="clear" w:pos="1843"/>
          <w:tab w:val="left" w:pos="0"/>
        </w:tabs>
        <w:ind w:left="0"/>
      </w:pPr>
    </w:p>
    <w:p w:rsidR="006E20FA" w:rsidRPr="005A562F" w:rsidRDefault="006E20FA" w:rsidP="006E20FA">
      <w:r w:rsidRPr="005A562F">
        <w:t>14741/09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Ministerrådet förväntas anta rådsslutsatser om Guinea. Slutsatserna bekräftar EU:s oro över utvecklingen i Guinea och fördömer våldet vid demonstrationen den 28 september. Slutsatserna välkomnar upprättandet av en internationell undersökningskommission och utnämningen av Burkina Fasos president ompaoré till medlare i krisen. Slutsatserna uppmanar alla politiska aktörer i Guinea att avstå från våldshandlingar och medverka i en dialog om att återupprätta konstitutionellt styre och respekt för rättsstaten i Guinea. Slutsatserna slår också fast att EU ska införa riktade åtgärder mot individer och vapenembargo gentemot Guinea.</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4" w:name="_Toc243975473"/>
      <w:r w:rsidRPr="005A562F">
        <w:t>19. Draft Council Common Position concerning restrictive measures against Guinea</w:t>
      </w:r>
      <w:bookmarkEnd w:id="74"/>
    </w:p>
    <w:p w:rsidR="006E20FA" w:rsidRPr="005A562F" w:rsidRDefault="006E20FA">
      <w:pPr>
        <w:pStyle w:val="RKnormal"/>
        <w:tabs>
          <w:tab w:val="clear" w:pos="1843"/>
          <w:tab w:val="left" w:pos="0"/>
        </w:tabs>
        <w:ind w:left="0"/>
      </w:pPr>
    </w:p>
    <w:p w:rsidR="006E20FA" w:rsidRPr="005A562F" w:rsidRDefault="006E20FA" w:rsidP="006E20FA">
      <w:r w:rsidRPr="005A562F">
        <w:t>14697/09, 14811/09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Militären i Guinea tog makten i en kupp i december 2008 som fördömdes av det internationella samfundet. Övergångsprocessen till civilt och konstitutionsenligt styre har försenats och allt tyder nu på att juntaledaren, i strid mot tidigare löften att inte kandidera, avser att ställa upp i det val som planeras till januari 2010. </w:t>
      </w:r>
    </w:p>
    <w:p w:rsidR="006E20FA" w:rsidRPr="005A562F" w:rsidRDefault="006E20FA" w:rsidP="006E20FA">
      <w:r w:rsidRPr="005A562F">
        <w:t>Grova kränkningar av mänskliga rättigheter sker kontinuerligt. Vid en fredlig demonstration den 28 september eskalerade situationen ytterligare då säkerhetsstyrkor öppnade eld. Enligt uppgift dödades fler än 200 människor, fler än 1250 människor skadades och massvåldtäkter ägde rum. Det politiska läget i Guinea är mycket spänt och det finns risk för regional spridning. Den västafrikanska samarbetsorganisationen ECOWAS har beslutat att tillsammans med Afrikanska Unionen (AU) utarbeta en regim med riktade sanktioner mot individer som motarbetar övergångsprocessen samt att införa ett vapenembargo. EU har uppmanats att stödja detta embargo. Det Europeiska rådet föreslås nu anta en gemensam ståndpunkt om införande av vapenembargo samt reserestriktioner för inresa till EU för medlemmar i militärjuntan samt för personer associerade med juntan som gjort sig är ansvariga för övergrepp i samband med demonstrationen den 28 september eller som lamslår den politiska processen mot ett demokratiskt styre.</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5" w:name="_Toc243975474"/>
      <w:r w:rsidRPr="005A562F">
        <w:t>20. Relations with Uzbekistan- Draft Council Conclusion on Uzbekistan</w:t>
      </w:r>
      <w:bookmarkEnd w:id="75"/>
    </w:p>
    <w:p w:rsidR="006E20FA" w:rsidRPr="005A562F" w:rsidRDefault="006E20FA">
      <w:pPr>
        <w:pStyle w:val="RKnormal"/>
        <w:tabs>
          <w:tab w:val="clear" w:pos="1843"/>
          <w:tab w:val="left" w:pos="0"/>
        </w:tabs>
        <w:ind w:left="0"/>
      </w:pPr>
    </w:p>
    <w:p w:rsidR="006E20FA" w:rsidRPr="005A562F" w:rsidRDefault="006E20FA" w:rsidP="006E20FA">
      <w:r w:rsidRPr="005A562F">
        <w:t>14735/09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Syftet med COREPER-behandlingen är att bekräfta rådsslutsatser om översynen av EU:s restriktiva åtgärder mot Uzbekistan. Slutsatserna har beretts och överenskommits i rådsarbetsgruppen för Östeuropa och Centralasien, COEST, och antogs av Kommittén för utrikes säkerhetspolitik (KUSP) den 20 oktober.</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6" w:name="_Toc243975475"/>
      <w:r w:rsidRPr="005A562F">
        <w:t>21. Draft Council conclusions on Sahel</w:t>
      </w:r>
      <w:bookmarkEnd w:id="76"/>
    </w:p>
    <w:p w:rsidR="006E20FA" w:rsidRPr="005A562F" w:rsidRDefault="006E20FA">
      <w:pPr>
        <w:pStyle w:val="RKnormal"/>
        <w:tabs>
          <w:tab w:val="clear" w:pos="1843"/>
          <w:tab w:val="left" w:pos="0"/>
        </w:tabs>
        <w:ind w:left="0"/>
      </w:pPr>
    </w:p>
    <w:p w:rsidR="006E20FA" w:rsidRPr="005A562F" w:rsidRDefault="006E20FA" w:rsidP="006E20FA">
      <w:r w:rsidRPr="005A562F">
        <w:t>14712/09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Rådet förväntas anta slutsatser om Sahel. Syftet med slutsatserna är att upprätthålla momentum i EU:s engagemang för regionen samt att ge politiskt klartecken för att gå vidare med de rekommendationer som presenteras i delrapporten från Malimissionen. </w:t>
      </w:r>
      <w:r w:rsidR="00AF541E" w:rsidRPr="005A562F">
        <w:t xml:space="preserve">Utkastet till rådsslutsatser bekräftar EU:s oro för utvecklingen i Sahelregionen (ffa Mali, Mauretanien och Niger) vilken kännetecknas av smuggling, underutveckling, bristande kontroll över territoriet, utsatthet för klimatförändringar, rebelluppror och en ökande terrorism. Slutsatserna upplyser om att en helhetssyn (comprehensive approach) för regionen är under utarbetande inom EU i nära samråd med regeringarna i regionen och till stöd för deras egna ansträngningar. </w:t>
      </w:r>
      <w:r w:rsidRPr="005A562F">
        <w:t>Slutsatserna understryker behovet av snabbt agerande och upplyser om att en översyn pågår av vilka EU instrument som skulle kunna användas för insatser i Sahel. EU:s engagemang inkluderar politisk dialog med länderna i regionen och med andra nyckelaktörer.</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7" w:name="_Toc243975476"/>
      <w:r w:rsidRPr="005A562F">
        <w:t>22. Draft Council conclusions on the Great Lakes Region</w:t>
      </w:r>
      <w:bookmarkEnd w:id="77"/>
    </w:p>
    <w:p w:rsidR="006E20FA" w:rsidRPr="005A562F" w:rsidRDefault="006E20FA">
      <w:pPr>
        <w:pStyle w:val="RKnormal"/>
        <w:tabs>
          <w:tab w:val="clear" w:pos="1843"/>
          <w:tab w:val="left" w:pos="0"/>
        </w:tabs>
        <w:ind w:left="0"/>
      </w:pPr>
    </w:p>
    <w:p w:rsidR="006E20FA" w:rsidRPr="005A562F" w:rsidRDefault="006E20FA" w:rsidP="006E20FA">
      <w:r w:rsidRPr="005A562F">
        <w:t>14709/09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Utrikesdepartementet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Carl Bildt</w:t>
      </w:r>
    </w:p>
    <w:p w:rsidR="006E20FA" w:rsidRPr="005A562F" w:rsidRDefault="006E20FA">
      <w:pPr>
        <w:pStyle w:val="RKnormal"/>
        <w:tabs>
          <w:tab w:val="clear" w:pos="1843"/>
          <w:tab w:val="left" w:pos="0"/>
        </w:tabs>
        <w:ind w:left="0"/>
      </w:pPr>
    </w:p>
    <w:p w:rsidR="00AE47A8" w:rsidRPr="005A562F" w:rsidRDefault="00AE47A8" w:rsidP="00AE47A8">
      <w:r w:rsidRPr="005A562F">
        <w:t>Godkänd av Coreper II den 22 oktober 2009</w:t>
      </w:r>
    </w:p>
    <w:p w:rsidR="006E20FA" w:rsidRPr="005A562F" w:rsidRDefault="006E20FA">
      <w:pPr>
        <w:pStyle w:val="RKnormal"/>
        <w:tabs>
          <w:tab w:val="clear" w:pos="1843"/>
          <w:tab w:val="left" w:pos="0"/>
        </w:tabs>
        <w:ind w:left="0"/>
      </w:pPr>
    </w:p>
    <w:p w:rsidR="006E20FA" w:rsidRPr="005A562F" w:rsidRDefault="006E20FA" w:rsidP="006E20FA">
      <w:r w:rsidRPr="005A562F">
        <w:t>Rådsslutsatserna bekräftar EU:s oro för utvecklingen i östra DRK som en följd av attacker och övergrepp av FDLR och LRA, men också av den kongolesiska armén under Kimia II och Rudia II operationerna. Slutsatserna fördömer kraftfullt det sexuella våldet och uppmanar den kongolesiska regeringen att agera mot den rådande straffriheten. I slutsatserna vidhålls EU:s engagemang för säkerhetssektorreform, bekämpande av illegal utvinning av naturresurser och ett agerande för att hantera FDLR-ledare inom EU samtidigt som det kongolesiska ägandeskapet understryks. Vidare uppmanas den kongolesiska regeringen att fullfölja sitt åtagande och organisera lokala val som en nödvändighet för att åstadkomma demokrati. Slutsatserna uttrycker även oro över den senaste tidens oroligheter i Uganda och uppmanar regeringen att verka för fria och rättvisa val 2011. Samtidigt välkomnas de framsteg som gjorts i fredsprocessen i Burundi och uppmanar även dem att genomföra fria och rättvisa val 2010. Slutsatserna understryker behovet av agerande av samtliga parter i Stora sjöregionen för att åstadkomma fred och stabilitet. De betonar också ett starkt EU-engagemang som inkluderar afrikanskt ägarskap.</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8" w:name="_Toc243975477"/>
      <w:r w:rsidRPr="005A562F">
        <w:t xml:space="preserve">23. </w:t>
      </w:r>
      <w:r w:rsidR="0098508F" w:rsidRPr="005A562F">
        <w:t xml:space="preserve">Reply to written question put to the Council by Members of the European Parliament </w:t>
      </w:r>
      <w:r w:rsidR="0098508F" w:rsidRPr="005A562F">
        <w:rPr>
          <w:b w:val="0"/>
        </w:rPr>
        <w:t xml:space="preserve">(+) </w:t>
      </w:r>
      <w:r w:rsidRPr="005A562F">
        <w:t>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bookmarkEnd w:id="78"/>
    </w:p>
    <w:p w:rsidR="006E20FA" w:rsidRPr="005A562F" w:rsidRDefault="006E20FA">
      <w:pPr>
        <w:pStyle w:val="RKnormal"/>
        <w:tabs>
          <w:tab w:val="clear" w:pos="1843"/>
          <w:tab w:val="left" w:pos="0"/>
        </w:tabs>
        <w:ind w:left="0"/>
      </w:pPr>
    </w:p>
    <w:p w:rsidR="006E20FA" w:rsidRPr="005A562F" w:rsidRDefault="006E20FA" w:rsidP="006E20FA">
      <w:r w:rsidRPr="005A562F">
        <w:t>14439/09, 62413642/09, 56914438/09, 62314368/09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Statsrådsberedningen</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Cecilia Malmström</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Föranleder ingen annotering</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79" w:name="_Toc243975478"/>
      <w:r w:rsidRPr="005A562F">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bookmarkEnd w:id="79"/>
    </w:p>
    <w:p w:rsidR="006E20FA" w:rsidRPr="005A562F" w:rsidRDefault="006E20FA">
      <w:pPr>
        <w:pStyle w:val="RKnormal"/>
        <w:tabs>
          <w:tab w:val="clear" w:pos="1843"/>
          <w:tab w:val="left" w:pos="0"/>
        </w:tabs>
        <w:ind w:left="0"/>
      </w:pPr>
    </w:p>
    <w:p w:rsidR="006E20FA" w:rsidRPr="005A562F" w:rsidRDefault="006E20FA" w:rsidP="006E20FA">
      <w:r w:rsidRPr="005A562F">
        <w:t>14275/09, 14277/09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Integration och jämställdhet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Nyamko Sabuni</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AF541E" w:rsidP="006E20FA">
      <w:r w:rsidRPr="005A562F">
        <w:t>Våren 2009 lade kommissionen</w:t>
      </w:r>
      <w:r w:rsidR="006E20FA" w:rsidRPr="005A562F">
        <w:t xml:space="preserve"> fram ett förslag om säkerhetskrav för barnsäkra spärrar för fönster och balkongdörrar i Europastandarder på grundval av det allmänna produktsäkerhetsdirektivet. Enligt direktivet ska kommittén för allmän produktsäkerhet höras innan ett förslag kan antas av rådet. Kommittén hördes den 15 juni 2009. Den röstade enhälligt för förslaget. </w:t>
      </w:r>
    </w:p>
    <w:p w:rsidR="006E20FA" w:rsidRPr="005A562F" w:rsidRDefault="006E20FA" w:rsidP="006E20FA"/>
    <w:p w:rsidR="006E20FA" w:rsidRPr="005A562F" w:rsidRDefault="006E20FA" w:rsidP="006E20FA">
      <w:r w:rsidRPr="005A562F">
        <w:t>Syftet med förslaget är att de aktuella produkterna, genom att uppfylla Europastandarder, ska uppfylla direktivets allmänna säkerhetskrav. Genom säkerhetskraven ska fallolyckor från t.ex. fönster och balkonger förhindras. Målgruppen är barn under 51 månader (4,25 år). Förslaget gäller endast sådana produkter som konsumenter själva monterar, inte sådana som monteras av fabriken; dessa omfattas av det s.k. byggproduktdirektivet. Förslaget innebär i korthet följande:</w:t>
      </w:r>
    </w:p>
    <w:p w:rsidR="006E20FA" w:rsidRPr="005A562F" w:rsidRDefault="006E20FA" w:rsidP="006E20FA"/>
    <w:p w:rsidR="006E20FA" w:rsidRPr="005A562F" w:rsidRDefault="006E20FA" w:rsidP="006E20FA">
      <w:r w:rsidRPr="005A562F">
        <w:t>•</w:t>
      </w:r>
      <w:r w:rsidRPr="005A562F">
        <w:tab/>
        <w:t>Krav ställs på fönsterstorlek och på förekomst av och egenskaper hos fönsterskenor och fönsterspärrar. Avvikelser förekommer dock i nationella byggnormer.</w:t>
      </w:r>
    </w:p>
    <w:p w:rsidR="006E20FA" w:rsidRPr="005A562F" w:rsidRDefault="006E20FA" w:rsidP="006E20FA">
      <w:r w:rsidRPr="005A562F">
        <w:t>•</w:t>
      </w:r>
      <w:r w:rsidRPr="005A562F">
        <w:tab/>
        <w:t xml:space="preserve">Regler uppställs om särskilda säkerhetskrav och provningsmetoder avseende fysikaliska och mekaniska egenskaper, minsta mått på smådelar för att förhindra kvävning, vassa kanter och utskjutande delar, utformning som hindrar att barns fingrar fastnar, provmetoder som beaktar materials åldrande samt om vilken produktinformation som ska lämnas och hur. </w:t>
      </w:r>
    </w:p>
    <w:p w:rsidR="006E20FA" w:rsidRPr="005A562F" w:rsidRDefault="006E20FA" w:rsidP="006E20FA"/>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0" w:name="_Toc243975479"/>
      <w:r w:rsidRPr="005A562F">
        <w:t>25. Draft Commission Regulation (EC) No .../.. adapting for the tenth time to technical progress Council Regulation (EEC) No.3821/85 on recording equipment in road transport= Decision not to oppose the adoption</w:t>
      </w:r>
      <w:bookmarkEnd w:id="80"/>
    </w:p>
    <w:p w:rsidR="006E20FA" w:rsidRPr="005A562F" w:rsidRDefault="006E20FA">
      <w:pPr>
        <w:pStyle w:val="RKnormal"/>
        <w:tabs>
          <w:tab w:val="clear" w:pos="1843"/>
          <w:tab w:val="left" w:pos="0"/>
        </w:tabs>
        <w:ind w:left="0"/>
      </w:pPr>
    </w:p>
    <w:p w:rsidR="006E20FA" w:rsidRPr="005A562F" w:rsidRDefault="006E20FA" w:rsidP="006E20FA">
      <w:r w:rsidRPr="005A562F">
        <w:t>12741/09, 14334/09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Näringsdepartementet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Åsa Torstensson</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Den 24 augusti 2009 mottog rådet ovannämnda utkast till kommissionens förordning för behandling i rådet. Förslaget innebär att bilaga IB till förordning (EEG) nr 3821/85 om färdskrivare vid vägtransporter anpassas till den tekniska utvecklingen.</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1" w:name="_Toc243975480"/>
      <w:r w:rsidRPr="005A562F">
        <w:t>26. Draft Commission Decision of [...] amending, for the purposes of adapting to technical progress, the Annex to Directive 2002/95/EC of the European Parliament and of the Council as regards an exemption for an application of cadmium = Decision not to oppose adoption</w:t>
      </w:r>
      <w:bookmarkEnd w:id="81"/>
    </w:p>
    <w:p w:rsidR="006E20FA" w:rsidRPr="005A562F" w:rsidRDefault="006E20FA">
      <w:pPr>
        <w:pStyle w:val="RKnormal"/>
        <w:tabs>
          <w:tab w:val="clear" w:pos="1843"/>
          <w:tab w:val="left" w:pos="0"/>
        </w:tabs>
        <w:ind w:left="0"/>
      </w:pPr>
    </w:p>
    <w:p w:rsidR="006E20FA" w:rsidRPr="005A562F" w:rsidRDefault="006E20FA" w:rsidP="006E20FA">
      <w:r w:rsidRPr="005A562F">
        <w:t>14271/09, 13499/09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Miljödepartementet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Andreas Carlgren</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Frågan gäller undantag till bilagan till RoHS-direktivet som begränsar vissa farliga ämnen i elektriska och elektroniska produkter. Dessa ändringar i bilagan hanteras enligt kommittologiförfarande. I detta specifika fallet har frågan inte tagits upp vid ett möte utan genom en skriftlig konsultation med röstning där SE ställt sig positivt till undantaget. </w:t>
      </w:r>
    </w:p>
    <w:p w:rsidR="006E20FA" w:rsidRPr="005A562F" w:rsidRDefault="006E20FA" w:rsidP="006E20FA"/>
    <w:p w:rsidR="006E20FA" w:rsidRPr="005A562F" w:rsidRDefault="006E20FA" w:rsidP="006E20FA">
      <w:r w:rsidRPr="005A562F">
        <w:t xml:space="preserve">Undantag bör enligt förfarandet ges om det inte finns tillgänglig och pålitlig teknik för alternativ eller att de alternativa </w:t>
      </w:r>
      <w:r w:rsidR="00AF541E" w:rsidRPr="005A562F">
        <w:t>substanserna</w:t>
      </w:r>
      <w:r w:rsidRPr="005A562F">
        <w:t xml:space="preserve"> är mer miljöfarliga. En </w:t>
      </w:r>
      <w:r w:rsidR="00AF541E" w:rsidRPr="005A562F">
        <w:t>rapport utförd på uppdrag av kommissionen</w:t>
      </w:r>
      <w:r w:rsidRPr="005A562F">
        <w:t xml:space="preserve"> visar på att skäl för undantag föreligger. SE ser inget skäl att ifrågasätta denna bedömning.</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2" w:name="_Toc243975481"/>
      <w:r w:rsidRPr="005A562F">
        <w:t>27. Draft Commission Regulation (EC) No .../.. of [...] amending Annex I to Regulation (EC) No 689/2008 of the European Parliament and of the Council concerning the export and import of dangerous chemicals= Decision not to oppose adoption</w:t>
      </w:r>
      <w:bookmarkEnd w:id="82"/>
    </w:p>
    <w:p w:rsidR="006E20FA" w:rsidRPr="005A562F" w:rsidRDefault="006E20FA">
      <w:pPr>
        <w:pStyle w:val="RKnormal"/>
        <w:tabs>
          <w:tab w:val="clear" w:pos="1843"/>
          <w:tab w:val="left" w:pos="0"/>
        </w:tabs>
        <w:ind w:left="0"/>
      </w:pPr>
    </w:p>
    <w:p w:rsidR="006E20FA" w:rsidRPr="005A562F" w:rsidRDefault="006E20FA" w:rsidP="006E20FA">
      <w:r w:rsidRPr="005A562F">
        <w:t>14497/09, 14113/09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Miljödepartementet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Andreas Carlgren</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Inom gemenskapen genomförs Rotterdamkonventionen, om förfarandet med förhandsgodkännande för vissa kemikalier och bekämpningsmedel i internationell handel, genom rådets förordning (EG) nr 689/2008. Innan notifieringar till konventionen kan göras måste förbjudna eller strängt reglerade kemikalier först tas upp i bilaga I i förordningen. </w:t>
      </w:r>
    </w:p>
    <w:p w:rsidR="006E20FA" w:rsidRPr="005A562F" w:rsidRDefault="006E20FA" w:rsidP="006E20FA"/>
    <w:p w:rsidR="006E20FA" w:rsidRPr="005A562F" w:rsidRDefault="006E20FA" w:rsidP="006E20FA">
      <w:r w:rsidRPr="005A562F">
        <w:t xml:space="preserve">De ändringar av bilaga I som KOM nu har beslutat om sker endast mot bakgrund av den utveckling som skett inom gemenskapens lagstiftning inom växtskyddsdirektivet (91/414/EEC ) samt </w:t>
      </w:r>
      <w:r w:rsidR="00AF541E" w:rsidRPr="005A562F">
        <w:t>biociddirektivet</w:t>
      </w:r>
      <w:r w:rsidRPr="005A562F">
        <w:t xml:space="preserve"> (98/8/EC). Dessutom har ”tributyltennföreningar” tillkommit som en PIC kemikalie enligt Rotterdamkonventionen vilket också kräver en rent redaktionell förändring av Annex I till förordningen. SE stödde KOM:s föreslagna ändringar och beslutet var enhälligt i beslutskommittén. Samtliga ämnen är hälso- och miljöskaliga bekämpningsmedel vilka är förbjudna i SE och EU.</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3" w:name="_Toc243975482"/>
      <w:r w:rsidRPr="005A562F">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bookmarkEnd w:id="83"/>
    </w:p>
    <w:p w:rsidR="006E20FA" w:rsidRPr="005A562F" w:rsidRDefault="006E20FA">
      <w:pPr>
        <w:pStyle w:val="RKnormal"/>
        <w:tabs>
          <w:tab w:val="clear" w:pos="1843"/>
          <w:tab w:val="left" w:pos="0"/>
        </w:tabs>
        <w:ind w:left="0"/>
      </w:pPr>
    </w:p>
    <w:p w:rsidR="006E20FA" w:rsidRPr="005A562F" w:rsidRDefault="006E20FA" w:rsidP="006E20FA">
      <w:r w:rsidRPr="005A562F">
        <w:t>14496/09, 14104/09, 14108/09, 14110/09, 14111/09, 14114/09, 14139/09, 14147/09, 14149/09, 14152/09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Miljödepartementet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Andreas Carlgren</w:t>
      </w:r>
    </w:p>
    <w:p w:rsidR="000510BB" w:rsidRPr="005A562F" w:rsidRDefault="000510BB" w:rsidP="006E20FA"/>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alla förslagen.</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4" w:name="_Toc243975483"/>
      <w:r w:rsidRPr="005A562F">
        <w:t>29. Proposal for a Council Regulation opening and providing for the management of autonomous Community tariff quotas for certain fishery products for the period 2010 to 2012= Adoption</w:t>
      </w:r>
      <w:bookmarkEnd w:id="84"/>
    </w:p>
    <w:p w:rsidR="006E20FA" w:rsidRPr="005A562F" w:rsidRDefault="006E20FA">
      <w:pPr>
        <w:pStyle w:val="RKnormal"/>
        <w:tabs>
          <w:tab w:val="clear" w:pos="1843"/>
          <w:tab w:val="left" w:pos="0"/>
        </w:tabs>
        <w:ind w:left="0"/>
      </w:pPr>
    </w:p>
    <w:p w:rsidR="006E20FA" w:rsidRPr="005A562F" w:rsidRDefault="006E20FA" w:rsidP="006E20FA">
      <w:r w:rsidRPr="005A562F">
        <w:t>14054/1/09, 14004/09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Jordbruksdepartementet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Eskil Erlandsson</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Gemenskapen är beroende av import av fiskprodukter från tredjeland. För att underlätta tillgången på råvaror till beredningsindustrin och öka dess konkurrenskraft gentemot andra länder beslutar EU att införa tullkvoter för vissa fiskeriprodukter där tullen reduceras helt eller delvis. </w:t>
      </w:r>
    </w:p>
    <w:p w:rsidR="006E20FA" w:rsidRPr="005A562F" w:rsidRDefault="006E20FA" w:rsidP="006E20FA"/>
    <w:p w:rsidR="006E20FA" w:rsidRPr="005A562F" w:rsidRDefault="006E20FA" w:rsidP="006E20FA">
      <w:r w:rsidRPr="005A562F">
        <w:t>Det aktuella förslaget till en rådsförordning reducerar tullen på 17 produkter under perioden 2010-2012. Förslaget har i stort sett samma innehåll som den förordning som reglerar förhållandena under perioden 2007-2009 men vissa enskilda kvoter har ändrats.</w:t>
      </w:r>
    </w:p>
    <w:p w:rsidR="006E20FA" w:rsidRPr="005A562F" w:rsidRDefault="006E20FA" w:rsidP="006E20FA"/>
    <w:p w:rsidR="006E20FA" w:rsidRPr="005A562F" w:rsidRDefault="006E20FA" w:rsidP="006E20FA">
      <w:r w:rsidRPr="005A562F">
        <w:t>SE, DK och FI har önskat att kvantiteten för kvoten 09.2792, sill i tunnor, ska avse ”avrunnen nettovikt” vilket numera finns i förslaget. Sverige har inget att invända mot kommissionens förslag men kan även acceptera smärre förändringar i detsamma.</w:t>
      </w:r>
    </w:p>
    <w:p w:rsidR="006E20FA" w:rsidRPr="005A562F" w:rsidRDefault="006E20FA" w:rsidP="006E20FA"/>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5" w:name="_Toc243975484"/>
      <w:r w:rsidRPr="005A562F">
        <w:t>30. Proposal for a Council Decision on the establishment of the Community position to be adopted in the North East Atlantic Fisheries Commission= Adoption</w:t>
      </w:r>
      <w:bookmarkEnd w:id="85"/>
    </w:p>
    <w:p w:rsidR="006E20FA" w:rsidRPr="005A562F" w:rsidRDefault="006E20FA">
      <w:pPr>
        <w:pStyle w:val="RKnormal"/>
        <w:tabs>
          <w:tab w:val="clear" w:pos="1843"/>
          <w:tab w:val="left" w:pos="0"/>
        </w:tabs>
        <w:ind w:left="0"/>
      </w:pPr>
    </w:p>
    <w:p w:rsidR="006E20FA" w:rsidRPr="005A562F" w:rsidRDefault="006E20FA" w:rsidP="006E20FA">
      <w:r w:rsidRPr="005A562F">
        <w:t>13904/09, 13903/09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Jordbruksdepartementet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Eskil Erlandsson</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Frågan gäller beslut om kommissionens mandat inför årsmötet med den regionala fiskeorganisationen för Nordostatlanten (NEAFC) som äger rum i London 3-13 november. Mandatet är som brukligt allmänt hållet och utformat på samma sätt som övriga mandat för regionala fiskeorganisationer. Vid rådsarbetsgruppen den 24 september framförde </w:t>
      </w:r>
      <w:r w:rsidR="00E36AE4" w:rsidRPr="005A562F">
        <w:t xml:space="preserve"> två medlemsstater</w:t>
      </w:r>
      <w:r w:rsidRPr="005A562F">
        <w:t xml:space="preserve"> förslag på ett antal förtydliganden i mandatet rörande bekämpningen av överf</w:t>
      </w:r>
      <w:r w:rsidR="00E36AE4" w:rsidRPr="005A562F">
        <w:t xml:space="preserve">iske. </w:t>
      </w:r>
      <w:r w:rsidRPr="005A562F">
        <w:t>Mandaten har inte varit föremål för behandling i EUN tidigare. Mandatet antogs på samma sätt förra året inför NEAFC:s årsmöte 10-14 november 2008.</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6" w:name="_Toc243975485"/>
      <w:r w:rsidRPr="005A562F">
        <w:t>31. Proposal for a Regulation of the European Parliament and of the Council on the voluntary participation by organisations in a Community eco-management and audit scheme (EMAS) (LA) (First reading)= Adoption of legislative act</w:t>
      </w:r>
      <w:bookmarkEnd w:id="86"/>
    </w:p>
    <w:p w:rsidR="006E20FA" w:rsidRPr="005A562F" w:rsidRDefault="006E20FA">
      <w:pPr>
        <w:pStyle w:val="RKnormal"/>
        <w:tabs>
          <w:tab w:val="clear" w:pos="1843"/>
          <w:tab w:val="left" w:pos="0"/>
        </w:tabs>
        <w:ind w:left="0"/>
      </w:pPr>
    </w:p>
    <w:p w:rsidR="006E20FA" w:rsidRPr="005A562F" w:rsidRDefault="006E20FA" w:rsidP="006E20FA">
      <w:r w:rsidRPr="005A562F">
        <w:t>3628/09, 14046/09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Miljödepartementet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Andreas Carlgren</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Gemenskapens miljölednings- och miljörevisionsordning (Emas) inrättades ursprungligen 1993 och reviderades första gången 2001. Enligt förordningen ska kommissionen (KOM) senast fem år efter förordningens ikraftträdande se över Emas. </w:t>
      </w:r>
    </w:p>
    <w:p w:rsidR="00E36AE4" w:rsidRPr="005A562F" w:rsidRDefault="00E36AE4" w:rsidP="006E20FA"/>
    <w:p w:rsidR="006E20FA" w:rsidRPr="005A562F" w:rsidRDefault="00E36AE4" w:rsidP="006E20FA">
      <w:r w:rsidRPr="005A562F">
        <w:t>Kommissionen</w:t>
      </w:r>
      <w:r w:rsidR="006E20FA" w:rsidRPr="005A562F">
        <w:t xml:space="preserve"> presenterade sitt förslag till reviderad förordning om Emas i juli 2008. En överenskommelse i första läsningen har fattats mellan rådet och E</w:t>
      </w:r>
      <w:r w:rsidRPr="005A562F">
        <w:t>uropaparlamentet (E</w:t>
      </w:r>
      <w:r w:rsidR="006E20FA" w:rsidRPr="005A562F">
        <w:t>P</w:t>
      </w:r>
      <w:r w:rsidRPr="005A562F">
        <w:t>)</w:t>
      </w:r>
      <w:r w:rsidR="006E20FA" w:rsidRPr="005A562F">
        <w:t xml:space="preserve">. EP röstade om förslaget den 2 april 2009. </w:t>
      </w:r>
    </w:p>
    <w:p w:rsidR="006E20FA" w:rsidRPr="005A562F" w:rsidRDefault="006E20FA" w:rsidP="006E20FA"/>
    <w:p w:rsidR="006E20FA" w:rsidRPr="005A562F" w:rsidRDefault="006E20FA" w:rsidP="006E20FA">
      <w:r w:rsidRPr="005A562F">
        <w:t>Emas kommer i stort att fungera på samma sätt som tidigare och de allmänna kraven för deltagande kommer i stort att vara desamma: En organisation kan delta i Emas förutsatt att den tar fram en miljöpolicy, genomför en miljöutredning, inrättar ett miljöledningssystem, genomför en intern miljörevision och utarbetar en miljöredovisning. När miljöredovisningen har kontrollerats och godkänts av en oberoende miljökontrollant kan organisationen ansöka om registrering hos ett behörigt organ. För att behålla sin registrering måste organisationen regelbundet rapportera hur den förbättrat sin miljöprestanda och visa att den efterlever tillämpliga lagstadgade miljökrav.</w:t>
      </w:r>
    </w:p>
    <w:p w:rsidR="006E20FA" w:rsidRPr="005A562F" w:rsidRDefault="006E20FA" w:rsidP="006E20FA"/>
    <w:p w:rsidR="006E20FA" w:rsidRPr="005A562F" w:rsidRDefault="006E20FA" w:rsidP="006E20FA">
      <w:r w:rsidRPr="005A562F">
        <w:t>Ändringar som gjorts är följande:</w:t>
      </w:r>
    </w:p>
    <w:p w:rsidR="006E20FA" w:rsidRPr="005A562F" w:rsidRDefault="006E20FA" w:rsidP="006E20FA">
      <w:r w:rsidRPr="005A562F">
        <w:t>•</w:t>
      </w:r>
      <w:r w:rsidRPr="005A562F">
        <w:tab/>
        <w:t xml:space="preserve">Geografisk räckvidd. Organisationer utanför gemenskapen får delta i ordningen. </w:t>
      </w:r>
    </w:p>
    <w:p w:rsidR="006E20FA" w:rsidRPr="005A562F" w:rsidRDefault="006E20FA" w:rsidP="006E20FA"/>
    <w:p w:rsidR="006E20FA" w:rsidRPr="005A562F" w:rsidRDefault="006E20FA" w:rsidP="006E20FA">
      <w:r w:rsidRPr="005A562F">
        <w:t>- Miljöledningssystem. Emas kommer även i fortsättningen att bygga på det miljöledningssystem som ingår i standarden ISO 14001, och kompletteras med följande element:</w:t>
      </w:r>
    </w:p>
    <w:p w:rsidR="006E20FA" w:rsidRPr="005A562F" w:rsidRDefault="006E20FA" w:rsidP="006E20FA">
      <w:r w:rsidRPr="005A562F">
        <w:t>•</w:t>
      </w:r>
      <w:r w:rsidRPr="005A562F">
        <w:tab/>
        <w:t>Stärkt mekanism för regelefterlevnad. Före den första registreringen måste en Emas-organisation visa att den följer tillämplig miljölagstiftning. Kontrollanterna får en stärkt roll i att garantera att organisationen följer reglerna.</w:t>
      </w:r>
    </w:p>
    <w:p w:rsidR="006E20FA" w:rsidRPr="005A562F" w:rsidRDefault="006E20FA" w:rsidP="006E20FA">
      <w:r w:rsidRPr="005A562F">
        <w:t>•</w:t>
      </w:r>
      <w:r w:rsidRPr="005A562F">
        <w:tab/>
        <w:t xml:space="preserve">Skärpt miljörapportering. Emas-registrerade organisationer ska enligt förslaget presentera en miljöredovisning vart tredje år, och en uppdaterad miljöredovisning varje år. I dessa båda  ska organisationen rapportera om kärnindikatorer i den mån dessa berör organisationens direkta miljöaspekter och andra befintliga indikatorer för miljöprestanda som är av relevans.  </w:t>
      </w:r>
    </w:p>
    <w:p w:rsidR="006E20FA" w:rsidRPr="005A562F" w:rsidRDefault="006E20FA" w:rsidP="006E20FA">
      <w:r w:rsidRPr="005A562F">
        <w:t>•</w:t>
      </w:r>
      <w:r w:rsidRPr="005A562F">
        <w:tab/>
        <w:t xml:space="preserve">Riktlinjer för bästa praxis när det gäller miljöledning. Genom informationsutbyte och samarbete mellan medlemsstaterna bör KOM utarbeta referensdokument som bland annat innehåller bästa miljöledningspraxis och miljöprestandaindikatorer för specifika sektorer.  Miljökontrollanterna måste hänvisa till dokumenten som riktmärke för effektiva ledningssystem. </w:t>
      </w:r>
    </w:p>
    <w:p w:rsidR="006E20FA" w:rsidRPr="005A562F" w:rsidRDefault="006E20FA" w:rsidP="006E20FA">
      <w:r w:rsidRPr="005A562F">
        <w:t>•</w:t>
      </w:r>
      <w:r w:rsidRPr="005A562F">
        <w:tab/>
        <w:t xml:space="preserve">Villkor och förfaranden för ackreditering och kontroll harmoniseras för att man ska komma till rätta med det ojämna genomförandet i olika medlemsstater, utifrån EP:s och rådets förordning (EG) nr 765/2008 av den 9 juli 2008 om krav för ackreditering och marknadskontroll i samband med saluföring av produkter och upphävande av förordning (EEG) nr 339/93.  I tillägg till vad som gäller angående ackreditering av organisationer i förordningen 765 kan även enskilda personer bli licensierade och därmed få fungera som miljökontrollanter.  </w:t>
      </w:r>
    </w:p>
    <w:p w:rsidR="006E20FA" w:rsidRPr="005A562F" w:rsidRDefault="006E20FA" w:rsidP="006E20FA"/>
    <w:p w:rsidR="006E20FA" w:rsidRPr="005A562F" w:rsidRDefault="006E20FA" w:rsidP="006E20FA">
      <w:r w:rsidRPr="005A562F">
        <w:t>- Åtgärder som minskar den administrativa bördan och skapar incitament:</w:t>
      </w:r>
    </w:p>
    <w:p w:rsidR="006E20FA" w:rsidRPr="005A562F" w:rsidRDefault="006E20FA" w:rsidP="006E20FA">
      <w:r w:rsidRPr="005A562F">
        <w:t>•</w:t>
      </w:r>
      <w:r w:rsidRPr="005A562F">
        <w:tab/>
        <w:t>Förenklat förfarande för gruppregistrering.</w:t>
      </w:r>
    </w:p>
    <w:p w:rsidR="006E20FA" w:rsidRPr="005A562F" w:rsidRDefault="006E20FA" w:rsidP="006E20FA">
      <w:r w:rsidRPr="005A562F">
        <w:t>•</w:t>
      </w:r>
      <w:r w:rsidRPr="005A562F">
        <w:tab/>
        <w:t>Rimliga registreringsavgifter för små organisationer (små och medelstora företag och små myndigheter)</w:t>
      </w:r>
    </w:p>
    <w:p w:rsidR="006E20FA" w:rsidRPr="005A562F" w:rsidRDefault="006E20FA" w:rsidP="006E20FA">
      <w:r w:rsidRPr="005A562F">
        <w:t>•</w:t>
      </w:r>
      <w:r w:rsidRPr="005A562F">
        <w:tab/>
        <w:t xml:space="preserve">De nationella myndigheterna i medlemsstaterna måste avgöra på vilka områden de kan minska administrationen för Emas-registrerade organisationer i samband med miljölagstiftning, t.ex. genom att miljötillstånd inte behöver förnyas lika ofta som tidigare. </w:t>
      </w:r>
    </w:p>
    <w:p w:rsidR="006E20FA" w:rsidRPr="005A562F" w:rsidRDefault="006E20FA" w:rsidP="006E20FA">
      <w:r w:rsidRPr="005A562F">
        <w:t>•</w:t>
      </w:r>
      <w:r w:rsidRPr="005A562F">
        <w:tab/>
        <w:t xml:space="preserve">De nationella myndigheterna måste överväga och införa incitament som kan gynna Emas-registrerade organisationer. </w:t>
      </w:r>
    </w:p>
    <w:p w:rsidR="006E20FA" w:rsidRPr="005A562F" w:rsidRDefault="006E20FA" w:rsidP="006E20FA">
      <w:r w:rsidRPr="005A562F">
        <w:t>•</w:t>
      </w:r>
      <w:r w:rsidRPr="005A562F">
        <w:tab/>
        <w:t>Reglerna för användning av Emas logotyp öppnas upp. Endast en logotyp används, och nuvarande restriktioner avskaffas, förutom de som rör produkter och förpackningar. Användningen av logon får liksom tidigare inte leda till sammanblandning med andra produktrelaterade miljömärken.</w:t>
      </w:r>
    </w:p>
    <w:p w:rsidR="006E20FA" w:rsidRPr="005A562F" w:rsidRDefault="006E20FA" w:rsidP="006E20FA">
      <w:r w:rsidRPr="005A562F">
        <w:t>•</w:t>
      </w:r>
      <w:r w:rsidRPr="005A562F">
        <w:tab/>
        <w:t>PR-verksamhet för Emas, medlemsstaterna ska genomföra marknadsföringsåtgärder för Emas.</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7" w:name="_Toc243975486"/>
      <w:r w:rsidRPr="005A562F">
        <w:t>32. Proposal for a Regulation of the European Parliament and of the Council on a Community Ecolabel scheme (LA) (First reading)= Adoption of legislative act</w:t>
      </w:r>
      <w:bookmarkEnd w:id="87"/>
    </w:p>
    <w:p w:rsidR="006E20FA" w:rsidRPr="005A562F" w:rsidRDefault="006E20FA">
      <w:pPr>
        <w:pStyle w:val="RKnormal"/>
        <w:tabs>
          <w:tab w:val="clear" w:pos="1843"/>
          <w:tab w:val="left" w:pos="0"/>
        </w:tabs>
        <w:ind w:left="0"/>
      </w:pPr>
    </w:p>
    <w:p w:rsidR="006E20FA" w:rsidRPr="005A562F" w:rsidRDefault="006E20FA" w:rsidP="006E20FA">
      <w:r w:rsidRPr="005A562F">
        <w:t>3626/09, 14047/09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Integration och jämställdhet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Nyamko Sabuni</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Kommissionen lade i juli 2008 fram ett förslag till reviderad förordning för EU:s miljömärke Blomman. Syftet med förslaget är att genom effektiviseringar intressera fler företag och konsumenter för märkningen och att anpassa systemet för att bättre överensstämma med kommissionens andra åtgärder för en hållbar konsumtion och produktion. </w:t>
      </w:r>
    </w:p>
    <w:p w:rsidR="006E20FA" w:rsidRPr="005A562F" w:rsidRDefault="006E20FA" w:rsidP="006E20FA"/>
    <w:p w:rsidR="006E20FA" w:rsidRPr="005A562F" w:rsidRDefault="006E20FA" w:rsidP="006E20FA">
      <w:r w:rsidRPr="005A562F">
        <w:t>I mars 2008 konstaterade ordföranden att det finns en kvalificerad majoritet för överenskommelsen mellan institutionerna. Europaparlamentet röstade om förslaget 2 april 2009. I anslutning till omröstningen och efter synpunkter från Europaparlamentet gjorde kommissionen tre uttalanden; om förhållandet till fiskerilagstiftningen, om samstämmigheten med kemikalielagstiftningen samt om översyn av avgifterna. Beträffande fiskerilagstiftningen bekräftar kommissionen att den avser att föreslå en förordning om miljömärkning för fiskeriprodukter före slutet av 2009 som huvudsakligen ska vara grundad på kriterierna för ett hållbart fiske. I parlamentets lagstiftningsresolution anges inte den antagna ändringen i den form i vilken den lades fram och antogs av plenarförsamlingen, utan den innehåller istället kommissionens förslag i dess ändrade lydelse.</w:t>
      </w:r>
    </w:p>
    <w:p w:rsidR="006E20FA" w:rsidRPr="005A562F" w:rsidRDefault="006E20FA" w:rsidP="006E20FA"/>
    <w:p w:rsidR="006E20FA" w:rsidRPr="005A562F" w:rsidRDefault="006E20FA" w:rsidP="006E20FA">
      <w:r w:rsidRPr="005A562F">
        <w:t>Den reviderade förordningen innebär i korthet följande:</w:t>
      </w:r>
    </w:p>
    <w:p w:rsidR="006E20FA" w:rsidRPr="005A562F" w:rsidRDefault="006E20FA" w:rsidP="006E20FA"/>
    <w:p w:rsidR="006E20FA" w:rsidRPr="005A562F" w:rsidRDefault="006E20FA" w:rsidP="006E20FA">
      <w:r w:rsidRPr="005A562F">
        <w:t>•</w:t>
      </w:r>
      <w:r w:rsidRPr="005A562F">
        <w:tab/>
        <w:t>Minskade kostnader för företagen genom sänkta avgifter</w:t>
      </w:r>
    </w:p>
    <w:p w:rsidR="006E20FA" w:rsidRPr="005A562F" w:rsidRDefault="006E20FA" w:rsidP="006E20FA">
      <w:r w:rsidRPr="005A562F">
        <w:t>•</w:t>
      </w:r>
      <w:r w:rsidRPr="005A562F">
        <w:tab/>
        <w:t>Fortsatt förhandskontroll utförd av behöriga organ</w:t>
      </w:r>
    </w:p>
    <w:p w:rsidR="006E20FA" w:rsidRPr="005A562F" w:rsidRDefault="006E20FA" w:rsidP="006E20FA">
      <w:r w:rsidRPr="005A562F">
        <w:t>•</w:t>
      </w:r>
      <w:r w:rsidRPr="005A562F">
        <w:tab/>
        <w:t>Kommissionen blir den främste aktören för utveckling av nya kriterier, men även andra intressenter ges möjlighet att utveckla kriterier</w:t>
      </w:r>
    </w:p>
    <w:p w:rsidR="006E20FA" w:rsidRPr="005A562F" w:rsidRDefault="006E20FA" w:rsidP="006E20FA">
      <w:r w:rsidRPr="005A562F">
        <w:t>•</w:t>
      </w:r>
      <w:r w:rsidRPr="005A562F">
        <w:tab/>
        <w:t>Ökad harmonisering med nationella miljömärkningssystem</w:t>
      </w:r>
    </w:p>
    <w:p w:rsidR="006E20FA" w:rsidRPr="005A562F" w:rsidRDefault="006E20FA" w:rsidP="006E20FA">
      <w:r w:rsidRPr="005A562F">
        <w:t>•</w:t>
      </w:r>
      <w:r w:rsidRPr="005A562F">
        <w:tab/>
        <w:t>De olika stegen fram till beslut av nya kriterier stramas upp</w:t>
      </w:r>
    </w:p>
    <w:p w:rsidR="006E20FA" w:rsidRPr="005A562F" w:rsidRDefault="006E20FA" w:rsidP="006E20FA">
      <w:r w:rsidRPr="005A562F">
        <w:t>•</w:t>
      </w:r>
      <w:r w:rsidRPr="005A562F">
        <w:tab/>
        <w:t>Kommissionen ska göra en konsekvensanalys av möjligheterna och mervärdet av att utvidga märkningen till livsmedel</w:t>
      </w:r>
    </w:p>
    <w:p w:rsidR="006E20FA" w:rsidRPr="005A562F" w:rsidRDefault="006E20FA" w:rsidP="006E20FA">
      <w:r w:rsidRPr="005A562F">
        <w:t>•</w:t>
      </w:r>
      <w:r w:rsidRPr="005A562F">
        <w:tab/>
        <w:t>Skärpta skrivningar om kemikalier och sociala/etiska krav</w:t>
      </w:r>
    </w:p>
    <w:p w:rsidR="006E20FA" w:rsidRPr="005A562F" w:rsidRDefault="006E20FA" w:rsidP="006E20FA">
      <w:r w:rsidRPr="005A562F">
        <w:t>•</w:t>
      </w:r>
      <w:r w:rsidRPr="005A562F">
        <w:tab/>
        <w:t>Loggans utseende ändras något</w:t>
      </w:r>
    </w:p>
    <w:p w:rsidR="006E20FA" w:rsidRPr="005A562F" w:rsidRDefault="006E20FA" w:rsidP="006E20FA"/>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8" w:name="_Toc243975487"/>
      <w:r w:rsidRPr="005A562F">
        <w:t>33. Proposal for a Regulation of the European Parliament and of the Council concerning statistics on plant protection products (LA) (Second reading)= Non-approval of the European Parliament's amendments</w:t>
      </w:r>
      <w:bookmarkEnd w:id="88"/>
    </w:p>
    <w:p w:rsidR="006E20FA" w:rsidRPr="005A562F" w:rsidRDefault="006E20FA">
      <w:pPr>
        <w:pStyle w:val="RKnormal"/>
        <w:tabs>
          <w:tab w:val="clear" w:pos="1843"/>
          <w:tab w:val="left" w:pos="0"/>
        </w:tabs>
        <w:ind w:left="0"/>
      </w:pPr>
    </w:p>
    <w:p w:rsidR="006E20FA" w:rsidRPr="005A562F" w:rsidRDefault="006E20FA" w:rsidP="006E20FA">
      <w:r w:rsidRPr="005A562F">
        <w:t>14079/09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Finansdepartementet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Anders Borg</w:t>
      </w:r>
    </w:p>
    <w:p w:rsidR="006E20FA" w:rsidRPr="005A562F" w:rsidRDefault="006E20FA">
      <w:pPr>
        <w:pStyle w:val="RKnormal"/>
        <w:tabs>
          <w:tab w:val="clear" w:pos="1843"/>
          <w:tab w:val="left" w:pos="0"/>
        </w:tabs>
        <w:ind w:left="0"/>
      </w:pPr>
    </w:p>
    <w:p w:rsidR="000510BB" w:rsidRPr="005A562F" w:rsidRDefault="000510BB" w:rsidP="000510BB">
      <w:r w:rsidRPr="005A562F">
        <w:t>Förväntas godkännas av Coreper I den 23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Den 12 december 2006 översände kommissionen förslaget till rådet. Europeiska ekonomiska och sociala kommittén yttrade sig över förslaget den 11 juli 2007. EU-parlamentet genomförde sin första behandling den 12 mars 2008 och antog 26 ändringar till kommissionens förslag. Rådet antog sin gemensamma ståndpunkt den 20 november 2008. </w:t>
      </w:r>
    </w:p>
    <w:p w:rsidR="006E20FA" w:rsidRPr="005A562F" w:rsidRDefault="006E20FA" w:rsidP="006E20FA"/>
    <w:p w:rsidR="006E20FA" w:rsidRPr="005A562F" w:rsidRDefault="006E20FA" w:rsidP="006E20FA">
      <w:r w:rsidRPr="005A562F">
        <w:t xml:space="preserve">EU-parlamentet antog vid sin andra behandling den 24 april 2009 en ändring av den gemensamma ståndpunkten. Kommissionen yttrade sig över EU-parlamentets ändringar den 17 september 2009. </w:t>
      </w:r>
    </w:p>
    <w:p w:rsidR="006E20FA" w:rsidRPr="005A562F" w:rsidRDefault="006E20FA" w:rsidP="006E20FA"/>
    <w:p w:rsidR="006E20FA" w:rsidRPr="005A562F" w:rsidRDefault="006E20FA" w:rsidP="006E20FA">
      <w:r w:rsidRPr="005A562F">
        <w:t>Coreper uppmanas föreslå rådet att som en A-punkt på dagordningen för ett kommande möte inte godkänna alla parlamentets ändringar, vilket innebär att talmannen sammankallar förlikningskommittén enligt artikel 251.3 i EG-fördraget.</w:t>
      </w:r>
    </w:p>
    <w:p w:rsidR="006E20FA" w:rsidRPr="005A562F" w:rsidRDefault="006E20FA" w:rsidP="006E20FA"/>
    <w:p w:rsidR="006E20FA" w:rsidRPr="005A562F" w:rsidRDefault="006E20FA" w:rsidP="006E20FA">
      <w:r w:rsidRPr="005A562F">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AF541E" w:rsidRPr="005A562F">
        <w:t>försäljningsstatistik</w:t>
      </w:r>
      <w:r w:rsidRPr="005A562F">
        <w:t xml:space="preserve"> som idag regelmässigt genomförs i Sverige. Vad gäller </w:t>
      </w:r>
      <w:r w:rsidR="00AF541E" w:rsidRPr="005A562F">
        <w:t>användarstatistik</w:t>
      </w:r>
      <w:r w:rsidRPr="005A562F">
        <w:t xml:space="preserve"> har sådan inte sammanställts på regelbunden basis sedan slutet av 1990-talet.</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89" w:name="_Toc243975488"/>
      <w:r w:rsidRPr="005A562F">
        <w:t>34. Resolutions, decisions and opinions adopted by the European Parliament at its part-sessions in Strasbourg, from 14 to 17 September 2009 and in Brussels, on 7 and 8 October 2009</w:t>
      </w:r>
      <w:bookmarkEnd w:id="89"/>
    </w:p>
    <w:p w:rsidR="006E20FA" w:rsidRPr="005A562F" w:rsidRDefault="006E20FA">
      <w:pPr>
        <w:pStyle w:val="RKnormal"/>
        <w:tabs>
          <w:tab w:val="clear" w:pos="1843"/>
          <w:tab w:val="left" w:pos="0"/>
        </w:tabs>
        <w:ind w:left="0"/>
      </w:pPr>
    </w:p>
    <w:p w:rsidR="006E20FA" w:rsidRPr="005A562F" w:rsidRDefault="006E20FA" w:rsidP="006E20FA">
      <w:r w:rsidRPr="005A562F">
        <w:t>14248/09, 1014403/09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Statsrådsberedningen</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Cecilia Malmström</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Föranleder ingen annotering.</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90" w:name="_Toc243975489"/>
      <w:r w:rsidRPr="005A562F">
        <w:t>35. Report on proceedings in the Council's other configurations</w:t>
      </w:r>
      <w:bookmarkEnd w:id="90"/>
    </w:p>
    <w:p w:rsidR="006E20FA" w:rsidRPr="005A562F" w:rsidRDefault="006E20FA">
      <w:pPr>
        <w:pStyle w:val="RKnormal"/>
        <w:tabs>
          <w:tab w:val="clear" w:pos="1843"/>
          <w:tab w:val="left" w:pos="0"/>
        </w:tabs>
        <w:ind w:left="0"/>
      </w:pPr>
    </w:p>
    <w:p w:rsidR="006E20FA" w:rsidRPr="005A562F" w:rsidRDefault="006E20FA" w:rsidP="006E20FA">
      <w:r w:rsidRPr="005A562F">
        <w:t>14509/09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Statsrådsberedningen</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Cecilia Malmström</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Föranleder ingen annotering.</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91" w:name="_Toc243975490"/>
      <w:r w:rsidRPr="005A562F">
        <w:t>36. Proposal for transfer of appropriations No DEC 34/2009 within Section III - Commission - of he general budget for 2009 (CE/NCE)</w:t>
      </w:r>
      <w:bookmarkEnd w:id="91"/>
    </w:p>
    <w:p w:rsidR="006E20FA" w:rsidRPr="005A562F" w:rsidRDefault="006E20FA">
      <w:pPr>
        <w:pStyle w:val="RKnormal"/>
        <w:tabs>
          <w:tab w:val="clear" w:pos="1843"/>
          <w:tab w:val="left" w:pos="0"/>
        </w:tabs>
        <w:ind w:left="0"/>
      </w:pPr>
    </w:p>
    <w:p w:rsidR="006E20FA" w:rsidRPr="005A562F" w:rsidRDefault="006E20FA" w:rsidP="006E20FA">
      <w:r w:rsidRPr="005A562F">
        <w:t>14312/09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Finansdepartementet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Anders Borg</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Syftet med överföringen är att föra över 14.9 miljoner euro till anslaget för att betala hyresskulder för 2007-2008 och hyran för 2009 för Jean Monnet byggnaden i Luxemburg. Överföringen antogs enhälligt av rådets budgetkommitté den 13 oktober.</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92" w:name="_Toc243975491"/>
      <w:r w:rsidRPr="005A562F">
        <w:t>37. Proposal for transfer of appropriations No DEC 38/2009 within Section III - Commission - of the general budget for 2009 (NCE)</w:t>
      </w:r>
      <w:bookmarkEnd w:id="92"/>
    </w:p>
    <w:p w:rsidR="006E20FA" w:rsidRPr="005A562F" w:rsidRDefault="006E20FA">
      <w:pPr>
        <w:pStyle w:val="RKnormal"/>
        <w:tabs>
          <w:tab w:val="clear" w:pos="1843"/>
          <w:tab w:val="left" w:pos="0"/>
        </w:tabs>
        <w:ind w:left="0"/>
      </w:pPr>
    </w:p>
    <w:p w:rsidR="006E20FA" w:rsidRPr="005A562F" w:rsidRDefault="006E20FA" w:rsidP="006E20FA">
      <w:r w:rsidRPr="005A562F">
        <w:t>14313/09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Finansdepartementet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Anders Borg</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Överföringen innebär att 1 miljard euro i betalningsbemyndiganden förs över till regionalfonden från sammanhållningsfonden. Syftet är att föra över betalningsbemyndiganden från budgetrubrikerna som rör programperioden 2000–2006 till dem som rör programmen och projekten 2007–2013. Detta görs för att återställa balansen i tillgänglig budget och svara mot återbetalningskrav som är högre än väntat. Överföringen antogs enhälligt av rådets budgetkommitté den 13 oktober.</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93" w:name="_Toc243975492"/>
      <w:r w:rsidRPr="005A562F">
        <w:t>38. Outcome of the trilogue of 15 October 2009</w:t>
      </w:r>
      <w:bookmarkEnd w:id="93"/>
    </w:p>
    <w:p w:rsidR="006E20FA" w:rsidRPr="005A562F" w:rsidRDefault="006E20FA">
      <w:pPr>
        <w:pStyle w:val="RKnormal"/>
        <w:tabs>
          <w:tab w:val="clear" w:pos="1843"/>
          <w:tab w:val="left" w:pos="0"/>
        </w:tabs>
        <w:ind w:left="0"/>
      </w:pPr>
    </w:p>
    <w:p w:rsidR="006E20FA" w:rsidRPr="005A562F" w:rsidRDefault="006E20FA" w:rsidP="006E20FA">
      <w:r w:rsidRPr="005A562F">
        <w:t>14586/09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Finansdepartementet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Anders Borg</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 xml:space="preserve">Syftet är att rådet ska bekräfta sitt samtycke till resultatet av </w:t>
      </w:r>
      <w:r w:rsidR="00AF541E" w:rsidRPr="005A562F">
        <w:t>budgettrilogen</w:t>
      </w:r>
      <w:r w:rsidRPr="005A562F">
        <w:t xml:space="preserve"> den 15 oktober 2009. Vid trilogen enades, i enlighet med punkt 47 i det interinstitutionella avtalet (IIA) av den 17 maj 2006, E</w:t>
      </w:r>
      <w:r w:rsidR="00BC43BA" w:rsidRPr="005A562F">
        <w:t>uropaparlamentet</w:t>
      </w:r>
      <w:r w:rsidRPr="005A562F">
        <w:t xml:space="preserve">, rådet och </w:t>
      </w:r>
      <w:r w:rsidR="00BC43BA" w:rsidRPr="005A562F">
        <w:t>kommissionen</w:t>
      </w:r>
      <w:r w:rsidRPr="005A562F">
        <w:t xml:space="preserve"> att finansieringen av den europeiska byrån för samarbete i asylfrågor kan säkerställas inom det överenskomna utgiftstaket för underrubrik 3a och att såväl Europeiska byrån för samarbete mellan energitillsynsmyndigheter som kontoret för sammanslutningen av europeiska regleringsmyndigheter på teleområdet kan säkerställas inom det överenskomna utgiftstaket för underrubrik 1a i den fleråriga budgetramen för perioden 2007&amp;#61485;2013. Det årliga beloppet kommer att fastställas inom ramen för varje årligt budgetförfarande.</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94" w:name="_Toc243975493"/>
      <w:r w:rsidRPr="005A562F">
        <w:t>39. Draft Council conclusions to be adopted in the context of the signing of the agreement on economic co-operation between Portugal and São Tomé and Príncipe</w:t>
      </w:r>
      <w:bookmarkEnd w:id="94"/>
    </w:p>
    <w:p w:rsidR="006E20FA" w:rsidRPr="005A562F" w:rsidRDefault="006E20FA">
      <w:pPr>
        <w:pStyle w:val="RKnormal"/>
        <w:tabs>
          <w:tab w:val="clear" w:pos="1843"/>
          <w:tab w:val="left" w:pos="0"/>
        </w:tabs>
        <w:ind w:left="0"/>
      </w:pPr>
    </w:p>
    <w:p w:rsidR="006E20FA" w:rsidRPr="005A562F" w:rsidRDefault="006E20FA" w:rsidP="006E20FA">
      <w:r w:rsidRPr="005A562F">
        <w:t>14318/09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Finansdepartementet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Anders Borg</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I juli 2009 undertecknade Portugal ett avtal om ekonomiskt samarbete mellan Portugal och São Tomé och Principe. I enlighet med artikel 111 kan medlemsstater ingå avtal i den mån de inte inverkar på gemenskapens behörigheter. Kommissionen drog slutsatsen att avtalet mellan Portugal och São Tomé och Principe inte berör monetära frågor eller valutafrågor, och är därför ingen fråga inom gemenskapens behörighet enligt artikel 111.3.</w:t>
      </w:r>
    </w:p>
    <w:p w:rsidR="006E20FA" w:rsidRPr="005A562F" w:rsidRDefault="006E20FA" w:rsidP="006E20FA"/>
    <w:p w:rsidR="006E20FA" w:rsidRPr="005A562F" w:rsidRDefault="006E20FA" w:rsidP="006E20FA">
      <w:r w:rsidRPr="005A562F">
        <w:t>Kommissionen har föreslagit att rådet antar slutsatserna och erinrar om kommissionens behörighet att granska avtal mellan medlemsstater inom euroområdet och tredjeländer vilka innehåller inslag som kan ha en potentiell betydelse för monetära frågor och valutakursfrågor för att bevara gemenskapens behörigheter. Ekonomiska och finansiella kommittén har utarbetat ett utkast till rådets slutsatser om denna fråga.</w:t>
      </w:r>
    </w:p>
    <w:p w:rsidR="006E20FA" w:rsidRPr="005A562F" w:rsidRDefault="006E20FA" w:rsidP="006E20FA"/>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95" w:name="_Toc243975494"/>
      <w:r w:rsidRPr="005A562F">
        <w:t>40. Transparency - public access to documents- Confirmatory application made by Mr Alain REMY (No 21/c/01/09)- Confirmatory application No 22/c/01/09</w:t>
      </w:r>
      <w:bookmarkEnd w:id="95"/>
    </w:p>
    <w:p w:rsidR="006E20FA" w:rsidRPr="005A562F" w:rsidRDefault="006E20FA">
      <w:pPr>
        <w:pStyle w:val="RKnormal"/>
        <w:tabs>
          <w:tab w:val="clear" w:pos="1843"/>
          <w:tab w:val="left" w:pos="0"/>
        </w:tabs>
        <w:ind w:left="0"/>
      </w:pPr>
    </w:p>
    <w:p w:rsidR="006E20FA" w:rsidRPr="005A562F" w:rsidRDefault="006E20FA" w:rsidP="006E20FA">
      <w:r w:rsidRPr="005A562F">
        <w:t>13533/09, 37313802/09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Justitiedepartementet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Beatrice Ask</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Föranleder inget behov av annotering.</w:t>
      </w:r>
    </w:p>
    <w:p w:rsidR="006E20FA" w:rsidRPr="005A562F" w:rsidRDefault="006E20FA">
      <w:pPr>
        <w:pStyle w:val="RKnormal"/>
        <w:tabs>
          <w:tab w:val="clear" w:pos="1843"/>
          <w:tab w:val="left" w:pos="0"/>
        </w:tabs>
        <w:ind w:left="0"/>
      </w:pPr>
      <w:r w:rsidRPr="005A562F">
        <w:t xml:space="preserve"> </w:t>
      </w:r>
    </w:p>
    <w:p w:rsidR="006E20FA" w:rsidRPr="005A562F" w:rsidRDefault="006E20FA" w:rsidP="006E20FA">
      <w:pPr>
        <w:pStyle w:val="Rubrik2"/>
      </w:pPr>
      <w:bookmarkStart w:id="96" w:name="_Toc243975495"/>
      <w:r w:rsidRPr="005A562F">
        <w:t>41. Committee of the Regions- Appointment of one member (FR)</w:t>
      </w:r>
      <w:bookmarkEnd w:id="96"/>
    </w:p>
    <w:p w:rsidR="006E20FA" w:rsidRPr="005A562F" w:rsidRDefault="006E20FA">
      <w:pPr>
        <w:pStyle w:val="RKnormal"/>
        <w:tabs>
          <w:tab w:val="clear" w:pos="1843"/>
          <w:tab w:val="left" w:pos="0"/>
        </w:tabs>
        <w:ind w:left="0"/>
      </w:pPr>
    </w:p>
    <w:p w:rsidR="006E20FA" w:rsidRPr="005A562F" w:rsidRDefault="006E20FA" w:rsidP="006E20FA">
      <w:r w:rsidRPr="005A562F">
        <w:t>14370/09, 14374/09</w:t>
      </w:r>
    </w:p>
    <w:p w:rsidR="006E20FA" w:rsidRPr="005A562F" w:rsidRDefault="006E20FA">
      <w:pPr>
        <w:pStyle w:val="RKnormal"/>
        <w:tabs>
          <w:tab w:val="clear" w:pos="1843"/>
          <w:tab w:val="left" w:pos="0"/>
        </w:tabs>
        <w:ind w:left="0"/>
      </w:pPr>
    </w:p>
    <w:p w:rsidR="006E20FA" w:rsidRPr="005A562F" w:rsidRDefault="006E20FA" w:rsidP="006E20FA">
      <w:r w:rsidRPr="005A562F">
        <w:t>Ansvarigt departement: Finansdepartementet</w:t>
      </w:r>
    </w:p>
    <w:p w:rsidR="006E20FA" w:rsidRPr="005A562F" w:rsidRDefault="006E20FA">
      <w:pPr>
        <w:pStyle w:val="RKnormal"/>
        <w:tabs>
          <w:tab w:val="clear" w:pos="1843"/>
          <w:tab w:val="left" w:pos="0"/>
        </w:tabs>
        <w:ind w:left="0"/>
      </w:pPr>
    </w:p>
    <w:p w:rsidR="006E20FA" w:rsidRPr="005A562F" w:rsidRDefault="006E20FA" w:rsidP="006E20FA">
      <w:r w:rsidRPr="005A562F">
        <w:t>Ansvarigt statsråd: Mats Odell</w:t>
      </w:r>
    </w:p>
    <w:p w:rsidR="006E20FA" w:rsidRPr="005A562F" w:rsidRDefault="006E20FA">
      <w:pPr>
        <w:pStyle w:val="RKnormal"/>
        <w:tabs>
          <w:tab w:val="clear" w:pos="1843"/>
          <w:tab w:val="left" w:pos="0"/>
        </w:tabs>
        <w:ind w:left="0"/>
      </w:pPr>
    </w:p>
    <w:p w:rsidR="006E20FA" w:rsidRPr="005A562F" w:rsidRDefault="006E20FA" w:rsidP="006E20FA">
      <w:r w:rsidRPr="005A562F">
        <w:t>Godkänd av Coreper II den 21 oktober 2009</w:t>
      </w:r>
    </w:p>
    <w:p w:rsidR="006E20FA" w:rsidRPr="005A562F" w:rsidRDefault="006E20FA">
      <w:pPr>
        <w:pStyle w:val="RKnormal"/>
        <w:tabs>
          <w:tab w:val="clear" w:pos="1843"/>
          <w:tab w:val="left" w:pos="0"/>
        </w:tabs>
        <w:ind w:left="0"/>
      </w:pPr>
    </w:p>
    <w:p w:rsidR="006E20FA" w:rsidRPr="005A562F" w:rsidRDefault="006E20FA" w:rsidP="006E20FA">
      <w:r w:rsidRPr="005A562F">
        <w:t>Föranleder ingen annotering</w:t>
      </w:r>
    </w:p>
    <w:p w:rsidR="006E20FA" w:rsidRPr="005A562F" w:rsidRDefault="006E20FA">
      <w:pPr>
        <w:pStyle w:val="RKnormal"/>
        <w:tabs>
          <w:tab w:val="clear" w:pos="1843"/>
          <w:tab w:val="left" w:pos="0"/>
        </w:tabs>
        <w:ind w:left="0"/>
      </w:pPr>
      <w:r w:rsidRPr="005A562F">
        <w:t xml:space="preserve"> </w:t>
      </w:r>
    </w:p>
    <w:p w:rsidR="00362DCB" w:rsidRPr="005A562F" w:rsidRDefault="006E20FA" w:rsidP="00362DCB">
      <w:pPr>
        <w:pStyle w:val="Rubrik2"/>
      </w:pPr>
      <w:bookmarkStart w:id="97" w:name="_Toc243975496"/>
      <w:r w:rsidRPr="005A562F">
        <w:t xml:space="preserve">42. European </w:t>
      </w:r>
      <w:r w:rsidR="00362DCB" w:rsidRPr="005A562F">
        <w:t>Economic and Social Committee- Appointment of an Italian member</w:t>
      </w:r>
      <w:bookmarkEnd w:id="97"/>
    </w:p>
    <w:p w:rsidR="00362DCB" w:rsidRPr="005A562F" w:rsidRDefault="00362DCB" w:rsidP="00362DCB">
      <w:pPr>
        <w:pStyle w:val="RKnormal"/>
      </w:pPr>
    </w:p>
    <w:p w:rsidR="006E20FA" w:rsidRPr="005A562F" w:rsidRDefault="006E20FA" w:rsidP="006E20FA">
      <w:r w:rsidRPr="005A562F">
        <w:t>13220/09, 14512/09</w:t>
      </w:r>
    </w:p>
    <w:p w:rsidR="00362DCB" w:rsidRPr="005A562F" w:rsidRDefault="00362DCB" w:rsidP="006E20FA"/>
    <w:p w:rsidR="006E20FA" w:rsidRPr="005A562F" w:rsidRDefault="006E20FA" w:rsidP="006E20FA">
      <w:r w:rsidRPr="005A562F">
        <w:t>Ansvarigt departement: Arbetsmarknadsdepartementet</w:t>
      </w:r>
    </w:p>
    <w:p w:rsidR="00362DCB" w:rsidRPr="005A562F" w:rsidRDefault="00362DCB" w:rsidP="006E20FA"/>
    <w:p w:rsidR="006E20FA" w:rsidRPr="005A562F" w:rsidRDefault="006E20FA" w:rsidP="006E20FA">
      <w:r w:rsidRPr="005A562F">
        <w:t>Ansvarigt statsråd: Sven Otto Littorin</w:t>
      </w:r>
    </w:p>
    <w:p w:rsidR="00362DCB" w:rsidRPr="005A562F" w:rsidRDefault="00362DCB" w:rsidP="006E20FA">
      <w:pPr>
        <w:rPr>
          <w:rFonts w:ascii="Arial" w:hAnsi="Arial" w:cs="Arial"/>
          <w:b/>
          <w:i/>
          <w:iCs/>
          <w:kern w:val="28"/>
        </w:rPr>
      </w:pPr>
    </w:p>
    <w:p w:rsidR="006E20FA" w:rsidRPr="005A562F" w:rsidRDefault="006E20FA" w:rsidP="006E20FA">
      <w:r w:rsidRPr="005A562F">
        <w:t>Godkänd av Coreper II den 21 oktober 2009</w:t>
      </w:r>
    </w:p>
    <w:p w:rsidR="000510BB" w:rsidRPr="005A562F" w:rsidRDefault="000510BB" w:rsidP="006E20FA"/>
    <w:p w:rsidR="006E20FA" w:rsidRPr="005A562F" w:rsidRDefault="006E20FA" w:rsidP="006E20FA">
      <w:r w:rsidRPr="005A562F">
        <w:t>Föranleder ingen annotering.</w:t>
      </w:r>
    </w:p>
    <w:p w:rsidR="006E20FA" w:rsidRPr="005A562F" w:rsidRDefault="006E20FA" w:rsidP="006E20FA">
      <w:pPr>
        <w:pStyle w:val="Rubrik2"/>
      </w:pPr>
      <w:r w:rsidRPr="005A562F">
        <w:t xml:space="preserve"> </w:t>
      </w:r>
    </w:p>
    <w:p w:rsidR="006E20FA" w:rsidRPr="005A562F" w:rsidRDefault="006E20FA" w:rsidP="006E20FA">
      <w:pPr>
        <w:pStyle w:val="Rubrik2"/>
      </w:pPr>
      <w:bookmarkStart w:id="98" w:name="_Toc243975497"/>
      <w:r w:rsidRPr="005A562F">
        <w:t>43. European Economic and Social Committee- Appointment of an Dutch member</w:t>
      </w:r>
      <w:bookmarkEnd w:id="98"/>
    </w:p>
    <w:p w:rsidR="006E20FA" w:rsidRPr="005A562F" w:rsidRDefault="006E20FA" w:rsidP="006E20FA">
      <w:pPr>
        <w:pStyle w:val="Rubrik2"/>
      </w:pPr>
    </w:p>
    <w:p w:rsidR="006E20FA" w:rsidRPr="005A562F" w:rsidRDefault="006E20FA" w:rsidP="006E20FA">
      <w:r w:rsidRPr="005A562F">
        <w:t>13689/09, 14538/09</w:t>
      </w:r>
    </w:p>
    <w:p w:rsidR="000510BB" w:rsidRPr="005A562F" w:rsidRDefault="000510BB" w:rsidP="006E20FA"/>
    <w:p w:rsidR="006E20FA" w:rsidRPr="005A562F" w:rsidRDefault="006E20FA" w:rsidP="006E20FA">
      <w:r w:rsidRPr="005A562F">
        <w:t>Ansvarigt departement: Arbetsmarknadsdepartementet</w:t>
      </w:r>
    </w:p>
    <w:p w:rsidR="000510BB" w:rsidRPr="005A562F" w:rsidRDefault="000510BB" w:rsidP="006E20FA"/>
    <w:p w:rsidR="006E20FA" w:rsidRPr="005A562F" w:rsidRDefault="006E20FA" w:rsidP="006E20FA">
      <w:r w:rsidRPr="005A562F">
        <w:t>Ansvarigt statsråd: Sven Otto Littorin</w:t>
      </w:r>
    </w:p>
    <w:p w:rsidR="000510BB" w:rsidRPr="005A562F" w:rsidRDefault="000510BB" w:rsidP="006E20FA"/>
    <w:p w:rsidR="006E20FA" w:rsidRPr="005A562F" w:rsidRDefault="006E20FA" w:rsidP="006E20FA">
      <w:r w:rsidRPr="005A562F">
        <w:t>Godkänd av Coreper II den 21 oktober 2009</w:t>
      </w:r>
    </w:p>
    <w:p w:rsidR="000510BB" w:rsidRPr="005A562F" w:rsidRDefault="000510BB" w:rsidP="006E20FA"/>
    <w:p w:rsidR="006E20FA" w:rsidRPr="005A562F" w:rsidRDefault="006E20FA" w:rsidP="006E20FA">
      <w:r w:rsidRPr="005A562F">
        <w:t>Föranleder ingen annotering.</w:t>
      </w:r>
    </w:p>
    <w:p w:rsidR="006E20FA" w:rsidRPr="005A562F" w:rsidRDefault="006E20FA" w:rsidP="006E20FA">
      <w:pPr>
        <w:pStyle w:val="Rubrik2"/>
      </w:pPr>
      <w:r w:rsidRPr="005A562F">
        <w:t xml:space="preserve"> </w:t>
      </w:r>
      <w:bookmarkStart w:id="99" w:name="_Toc243975498"/>
      <w:r w:rsidRPr="005A562F">
        <w:t>44. Council Framework Decision on prevention and settlement of conflicts of exercise of jurisdiction in criminal proceedings= Adoption</w:t>
      </w:r>
      <w:bookmarkEnd w:id="99"/>
    </w:p>
    <w:p w:rsidR="006E20FA" w:rsidRPr="005A562F" w:rsidRDefault="006E20FA" w:rsidP="006E20FA">
      <w:pPr>
        <w:pStyle w:val="Rubrik2"/>
      </w:pPr>
    </w:p>
    <w:p w:rsidR="006E20FA" w:rsidRPr="005A562F" w:rsidRDefault="006E20FA" w:rsidP="006E20FA">
      <w:r w:rsidRPr="005A562F">
        <w:t>14567/09, 8535/09</w:t>
      </w:r>
    </w:p>
    <w:p w:rsidR="000510BB" w:rsidRPr="005A562F" w:rsidRDefault="000510BB" w:rsidP="006E20FA"/>
    <w:p w:rsidR="006E20FA" w:rsidRPr="005A562F" w:rsidRDefault="006E20FA" w:rsidP="006E20FA">
      <w:r w:rsidRPr="005A562F">
        <w:t>Ansvarigt departement: Justitiedepartementet</w:t>
      </w:r>
    </w:p>
    <w:p w:rsidR="000510BB" w:rsidRPr="005A562F" w:rsidRDefault="000510BB" w:rsidP="006E20FA"/>
    <w:p w:rsidR="006E20FA" w:rsidRPr="005A562F" w:rsidRDefault="006E20FA" w:rsidP="006E20FA">
      <w:r w:rsidRPr="005A562F">
        <w:t>Ansvarigt statsråd: Beatrice Ask</w:t>
      </w:r>
    </w:p>
    <w:p w:rsidR="000510BB" w:rsidRPr="005A562F" w:rsidRDefault="000510BB" w:rsidP="006E20FA"/>
    <w:p w:rsidR="006E20FA" w:rsidRPr="005A562F" w:rsidRDefault="006E20FA" w:rsidP="006E20FA">
      <w:r w:rsidRPr="005A562F">
        <w:t>Tidigare behandling i EU -nämnden: 2009-04-03</w:t>
      </w:r>
    </w:p>
    <w:p w:rsidR="000510BB" w:rsidRPr="005A562F" w:rsidRDefault="000510BB" w:rsidP="006E20FA"/>
    <w:p w:rsidR="006E20FA" w:rsidRPr="005A562F" w:rsidRDefault="006E20FA" w:rsidP="006E20FA">
      <w:r w:rsidRPr="005A562F">
        <w:t>Tidigare behandling vid rådsmöte: Rättsliga och inrikes frågor</w:t>
      </w:r>
    </w:p>
    <w:p w:rsidR="000510BB" w:rsidRPr="005A562F" w:rsidRDefault="000510BB" w:rsidP="006E20FA"/>
    <w:p w:rsidR="00AE47A8" w:rsidRPr="005A562F" w:rsidRDefault="00AE47A8" w:rsidP="00AE47A8">
      <w:r w:rsidRPr="005A562F">
        <w:t>Godkänd av Coreper II den 22 oktober 2009</w:t>
      </w:r>
    </w:p>
    <w:p w:rsidR="000510BB" w:rsidRPr="005A562F" w:rsidRDefault="000510BB" w:rsidP="006E20FA"/>
    <w:p w:rsidR="006E20FA" w:rsidRPr="005A562F" w:rsidRDefault="006E20FA" w:rsidP="006E20FA">
      <w:r w:rsidRPr="005A562F">
        <w:t xml:space="preserve">Tjeckien, Polen, Slovenien, Slovakien och Sverige lade i januari 2009 fram ett förslag till rambeslut om förebyggande och lösning av tvister om utövande av jurisdiktion i straffrättsliga förfaranden. Rambeslutet reglerar hur medlemsstaternas myndigheter ska hantera en situation där två medlemsstater utreder samma brott. Syftet är att undvika att principen om ne bis in idem överträds och att skapa en sund processekonomi inom EU genom att tillse att bara en stat lägger ned utredningsresurser på att utreda det misstänkta brottet (artikel 1). Det föreslagna samarbetet bygger på direktkontakter mellan de </w:t>
      </w:r>
      <w:r w:rsidR="00AF541E" w:rsidRPr="005A562F">
        <w:t>brottsutredande</w:t>
      </w:r>
      <w:r w:rsidRPr="005A562F">
        <w:t xml:space="preserve"> myndigheterna (artikel 2 och 4). Exempelvis en polis eller åklagare som har skälig anledning att anta att ett annat land utreder samma brott har en skyldighet att kontakta det andra landets myndighet och höra efter hur det förhåller sig (artikel 5 och 8). Myndigheten i den andra staten ska tillhandahålla begärd information inom rimlig tid (artikel 6 och 9). Om det pågår parallella utredningar ska de två berörda myndigheterna samråda med varandra i syfte att komma fram till i vilket stat utredning lämpligast bör bedrivas (artikel 10 och 11). – Det finns inga tvingande regler om att någon stat i något fall ska avstå från att utreda och eventuellt döma en person. Inte heller kan en stat mot sin vilja tvingas att ta över en brottsutredning. – Eurojust kan på begäran avge ett rådgivande yttrande om var brottet bör lagföras (artikel 12). Rambeslutet kan genomföras i svensk rätt utan lagstiftning.</w:t>
      </w:r>
    </w:p>
    <w:p w:rsidR="006E20FA" w:rsidRPr="005A562F" w:rsidRDefault="006E20FA" w:rsidP="006E20FA"/>
    <w:p w:rsidR="006E20FA" w:rsidRPr="005A562F" w:rsidRDefault="006E20FA" w:rsidP="006E20FA">
      <w:r w:rsidRPr="005A562F">
        <w:t>Syftet med behandlingen är nu att rådet ska anta rambeslutet.</w:t>
      </w:r>
    </w:p>
    <w:p w:rsidR="006E20FA" w:rsidRPr="005A562F" w:rsidRDefault="006E20FA" w:rsidP="006E20FA"/>
    <w:p w:rsidR="006E20FA" w:rsidRPr="005A562F" w:rsidRDefault="006E20FA" w:rsidP="006E20FA">
      <w:pPr>
        <w:pStyle w:val="Rubrik2"/>
      </w:pPr>
      <w:r w:rsidRPr="005A562F">
        <w:t xml:space="preserve"> </w:t>
      </w:r>
      <w:bookmarkStart w:id="100" w:name="_Toc243975499"/>
      <w:r w:rsidRPr="005A562F">
        <w:t>45. Council Framework Decision on the application, between Member States of the European Union, of the principle of mutual recognition to decisions on supervision measures as an alternative to provisional detention= Adoption</w:t>
      </w:r>
      <w:bookmarkEnd w:id="100"/>
    </w:p>
    <w:p w:rsidR="006E20FA" w:rsidRPr="005A562F" w:rsidRDefault="006E20FA" w:rsidP="006E20FA">
      <w:r w:rsidRPr="005A562F">
        <w:t>14568/09, 17506/08</w:t>
      </w:r>
    </w:p>
    <w:p w:rsidR="000510BB" w:rsidRPr="005A562F" w:rsidRDefault="000510BB" w:rsidP="006E20FA"/>
    <w:p w:rsidR="006E20FA" w:rsidRPr="005A562F" w:rsidRDefault="006E20FA" w:rsidP="006E20FA">
      <w:r w:rsidRPr="005A562F">
        <w:t>Ansvarigt departement: Justitiedepartementet</w:t>
      </w:r>
    </w:p>
    <w:p w:rsidR="000510BB" w:rsidRPr="005A562F" w:rsidRDefault="000510BB" w:rsidP="006E20FA"/>
    <w:p w:rsidR="006E20FA" w:rsidRPr="005A562F" w:rsidRDefault="006E20FA" w:rsidP="006E20FA">
      <w:r w:rsidRPr="005A562F">
        <w:t>Ansvarigt statsråd: Beatrice Ask</w:t>
      </w:r>
    </w:p>
    <w:p w:rsidR="000510BB" w:rsidRPr="005A562F" w:rsidRDefault="000510BB" w:rsidP="006E20FA">
      <w:pPr>
        <w:rPr>
          <w:rFonts w:ascii="Arial" w:hAnsi="Arial" w:cs="Arial"/>
          <w:b/>
          <w:i/>
          <w:iCs/>
          <w:kern w:val="28"/>
        </w:rPr>
      </w:pPr>
    </w:p>
    <w:p w:rsidR="006E20FA" w:rsidRPr="005A562F" w:rsidRDefault="006E20FA" w:rsidP="006E20FA">
      <w:r w:rsidRPr="005A562F">
        <w:t>Tidigare behandling i EU -nämnden: 2208-11-21</w:t>
      </w:r>
    </w:p>
    <w:p w:rsidR="000510BB" w:rsidRPr="005A562F" w:rsidRDefault="000510BB" w:rsidP="006E20FA"/>
    <w:p w:rsidR="006E20FA" w:rsidRPr="005A562F" w:rsidRDefault="006E20FA" w:rsidP="006E20FA">
      <w:r w:rsidRPr="005A562F">
        <w:t>Tidigare behandling vid rådsmöte: Rättsliga och inrikes frågor</w:t>
      </w:r>
    </w:p>
    <w:p w:rsidR="000510BB" w:rsidRPr="005A562F" w:rsidRDefault="000510BB" w:rsidP="006E20FA"/>
    <w:p w:rsidR="00AE47A8" w:rsidRPr="005A562F" w:rsidRDefault="00AE47A8" w:rsidP="00AE47A8">
      <w:r w:rsidRPr="005A562F">
        <w:t>Godkänd av Coreper II den 22 oktober 2009</w:t>
      </w:r>
    </w:p>
    <w:p w:rsidR="000510BB" w:rsidRPr="005A562F" w:rsidRDefault="000510BB" w:rsidP="006E20FA"/>
    <w:p w:rsidR="006E20FA" w:rsidRPr="005A562F" w:rsidRDefault="006E20FA" w:rsidP="006E20FA">
      <w:r w:rsidRPr="005A562F">
        <w:t xml:space="preserve">Vid EU:s ministerråds för rättsliga och inrikes frågor (RIF-rådet) möte den 27-28 november 2008 nåddes en </w:t>
      </w:r>
      <w:r w:rsidR="00AF541E" w:rsidRPr="005A562F">
        <w:t>principöverenskommelse</w:t>
      </w:r>
      <w:r w:rsidRPr="005A562F">
        <w:t xml:space="preserve"> om </w:t>
      </w:r>
      <w:r w:rsidR="00AF541E" w:rsidRPr="005A562F">
        <w:t>innehållet</w:t>
      </w:r>
      <w:r w:rsidRPr="005A562F">
        <w:t xml:space="preserve"> i </w:t>
      </w:r>
      <w:r w:rsidR="00AF541E" w:rsidRPr="005A562F">
        <w:t>rambeslutet</w:t>
      </w:r>
      <w:r w:rsidRPr="005A562F">
        <w:t xml:space="preserve">. Riksdagen godkände den 16 september 2009 förslaget till rambeslut (prop. 2008/09:192, bet. 2008/09:JuU29, rskr. 2009/10:1). </w:t>
      </w:r>
    </w:p>
    <w:p w:rsidR="006E20FA" w:rsidRPr="005A562F" w:rsidRDefault="006E20FA" w:rsidP="006E20FA"/>
    <w:p w:rsidR="006E20FA" w:rsidRPr="005A562F" w:rsidRDefault="006E20FA" w:rsidP="006E20FA">
      <w:r w:rsidRPr="005A562F">
        <w:t xml:space="preserve">Europeiska gemenskapernas kommission lade hösten 2006 fram ett förslag till rambeslut om en europeisk övervakningsorder. Europaparlamentet yttrade sig den 29 november 2007 över det ursprungliga utkastet till rambeslut. I yttrandet godkände parlamentet utkastet med vissa ändringsförslag. Vid ministerrådets för rättsliga och inrikes frågor möte den 27&amp;#8722;28 november 2008 nåddes en principöverenskommelse om innehållet i rambeslutet. </w:t>
      </w:r>
      <w:r w:rsidR="00AF541E" w:rsidRPr="005A562F">
        <w:t>Överenskommelsen</w:t>
      </w:r>
      <w:r w:rsidRPr="005A562F">
        <w:t xml:space="preserve"> avser ett utkast som i flera delar skiljer sig från det ursprungliga förslaget. Eftersom det utkast över vilket principöverenskommelsen nåtts på flera punkter skiljer sig från det tidigare utkastet uppmanades parlamentet att på nytt yttra sig senast den 24 april 2009. I yttrandet har parlamentet godkänt förslaget med vissa ändringsförslag.</w:t>
      </w:r>
    </w:p>
    <w:p w:rsidR="006E20FA" w:rsidRPr="005A562F" w:rsidRDefault="006E20FA" w:rsidP="006E20FA"/>
    <w:p w:rsidR="006E20FA" w:rsidRPr="005A562F" w:rsidRDefault="006E20FA" w:rsidP="006E20FA">
      <w:r w:rsidRPr="005A562F">
        <w:t>Målen med rambeslutet är att säkerställa en effektiv lagföring i brottmål och att förbättra möjligheten att välja icke frihetsberövande åtgärder under de straffrättsliga förfarandena mot personer som saknar hemvist i den medlemsstat där rättegången äger rum samt att förbättra skyddet för brottsoffer och allmänheten. Förslaget innebär i korthet följande.</w:t>
      </w:r>
    </w:p>
    <w:p w:rsidR="006E20FA" w:rsidRPr="005A562F" w:rsidRDefault="006E20FA" w:rsidP="006E20FA">
      <w:r w:rsidRPr="005A562F">
        <w:t>– En person misstänkt för brott kan i avvaktan på rättegång få återvända till sin hemviststat i stället för att frihetsberövas i den lagförande staten,</w:t>
      </w:r>
    </w:p>
    <w:p w:rsidR="006E20FA" w:rsidRPr="005A562F" w:rsidRDefault="006E20FA" w:rsidP="006E20FA">
      <w:r w:rsidRPr="005A562F">
        <w:t>– I avvaktan på rättegången ska den misstänkte vara underkastad vissa övervakningsåtgärder, såsom anmälningsskyldighet, reseförbud eller besöksförbud, som ska verkställas av den verkställande staten,</w:t>
      </w:r>
    </w:p>
    <w:p w:rsidR="006E20FA" w:rsidRPr="005A562F" w:rsidRDefault="006E20FA" w:rsidP="006E20FA">
      <w:r w:rsidRPr="005A562F">
        <w:t>– Om den misstänkte inte efterlever övervakningsåtgärderna kan han eller hon med tvång föras tillbaka till den lagförande staten.</w:t>
      </w:r>
    </w:p>
    <w:p w:rsidR="006E20FA" w:rsidRPr="005A562F" w:rsidRDefault="006E20FA" w:rsidP="006E20FA"/>
    <w:p w:rsidR="006E20FA" w:rsidRPr="005A562F" w:rsidRDefault="006E20FA" w:rsidP="006E20FA">
      <w:r w:rsidRPr="005A562F">
        <w:t>Syftet med behandlingen är nu att rådet ska anta rambeslutet.</w:t>
      </w:r>
    </w:p>
    <w:p w:rsidR="006E20FA" w:rsidRPr="005A562F" w:rsidRDefault="006E20FA" w:rsidP="006E20FA"/>
    <w:p w:rsidR="006E20FA" w:rsidRPr="005A562F" w:rsidRDefault="006E20FA" w:rsidP="006E20FA">
      <w:pPr>
        <w:pStyle w:val="Rubrik2"/>
      </w:pPr>
      <w:r w:rsidRPr="005A562F">
        <w:t xml:space="preserve"> </w:t>
      </w:r>
    </w:p>
    <w:p w:rsidR="006E20FA" w:rsidRPr="005A562F" w:rsidRDefault="006E20FA" w:rsidP="006E20FA">
      <w:pPr>
        <w:pStyle w:val="Rubrik2"/>
      </w:pPr>
    </w:p>
    <w:p w:rsidR="006E20FA" w:rsidRPr="005A562F" w:rsidRDefault="006E20FA" w:rsidP="006E20FA">
      <w:pPr>
        <w:pStyle w:val="Rubrik2"/>
      </w:pPr>
    </w:p>
    <w:p w:rsidR="006E20FA" w:rsidRPr="005A562F" w:rsidRDefault="006E20FA">
      <w:pPr>
        <w:pStyle w:val="RKnormal"/>
        <w:tabs>
          <w:tab w:val="clear" w:pos="1843"/>
          <w:tab w:val="left" w:pos="0"/>
        </w:tabs>
        <w:ind w:left="0"/>
      </w:pPr>
    </w:p>
    <w:p w:rsidR="005F1820" w:rsidRPr="005A562F" w:rsidRDefault="005F1820">
      <w:pPr>
        <w:pStyle w:val="RKnormal"/>
        <w:tabs>
          <w:tab w:val="clear" w:pos="1843"/>
          <w:tab w:val="left" w:pos="0"/>
        </w:tabs>
        <w:ind w:left="0"/>
      </w:pPr>
    </w:p>
    <w:sectPr w:rsidR="005F1820" w:rsidRPr="005A562F">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B56" w:rsidRPr="005A562F" w:rsidRDefault="00D72B56">
      <w:r w:rsidRPr="005A562F">
        <w:separator/>
      </w:r>
    </w:p>
  </w:endnote>
  <w:endnote w:type="continuationSeparator" w:id="0">
    <w:p w:rsidR="00D72B56" w:rsidRPr="005A562F" w:rsidRDefault="00D72B56">
      <w:r w:rsidRPr="005A5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5A562F" w:rsidRDefault="009337B7">
    <w:pPr>
      <w:pStyle w:val="Sidfot"/>
      <w:framePr w:wrap="around" w:vAnchor="text" w:hAnchor="margin" w:xAlign="right" w:y="1"/>
      <w:rPr>
        <w:rStyle w:val="Sidnummer"/>
        <w:sz w:val="16"/>
      </w:rPr>
    </w:pPr>
    <w:r w:rsidRPr="005A562F">
      <w:rPr>
        <w:rStyle w:val="Sidnummer"/>
        <w:sz w:val="16"/>
      </w:rPr>
      <w:fldChar w:fldCharType="begin" w:fldLock="1"/>
    </w:r>
    <w:r w:rsidRPr="005A562F">
      <w:rPr>
        <w:rStyle w:val="Sidnummer"/>
        <w:sz w:val="16"/>
      </w:rPr>
      <w:instrText xml:space="preserve">PAGE  </w:instrText>
    </w:r>
    <w:r w:rsidRPr="005A562F">
      <w:rPr>
        <w:rStyle w:val="Sidnummer"/>
        <w:sz w:val="16"/>
      </w:rPr>
      <w:fldChar w:fldCharType="separate"/>
    </w:r>
    <w:r w:rsidR="00273C5F" w:rsidRPr="005A562F">
      <w:rPr>
        <w:rStyle w:val="Sidnummer"/>
        <w:sz w:val="16"/>
      </w:rPr>
      <w:t>36</w:t>
    </w:r>
    <w:r w:rsidRPr="005A562F">
      <w:rPr>
        <w:rStyle w:val="Sidnummer"/>
        <w:sz w:val="16"/>
      </w:rPr>
      <w:fldChar w:fldCharType="end"/>
    </w:r>
    <w:r w:rsidRPr="005A562F">
      <w:rPr>
        <w:rStyle w:val="Sidnummer"/>
        <w:sz w:val="16"/>
      </w:rPr>
      <w:t>(</w:t>
    </w:r>
    <w:r w:rsidRPr="005A562F">
      <w:rPr>
        <w:rStyle w:val="Sidnummer"/>
        <w:sz w:val="16"/>
      </w:rPr>
      <w:fldChar w:fldCharType="begin" w:fldLock="1"/>
    </w:r>
    <w:r w:rsidRPr="005A562F">
      <w:rPr>
        <w:rStyle w:val="Sidnummer"/>
        <w:sz w:val="16"/>
      </w:rPr>
      <w:instrText xml:space="preserve"> NUMPAGES </w:instrText>
    </w:r>
    <w:r w:rsidRPr="005A562F">
      <w:rPr>
        <w:rStyle w:val="Sidnummer"/>
        <w:sz w:val="16"/>
      </w:rPr>
      <w:fldChar w:fldCharType="separate"/>
    </w:r>
    <w:r w:rsidR="00381CAF" w:rsidRPr="005A562F">
      <w:rPr>
        <w:rStyle w:val="Sidnummer"/>
        <w:sz w:val="16"/>
      </w:rPr>
      <w:t>36</w:t>
    </w:r>
    <w:r w:rsidRPr="005A562F">
      <w:rPr>
        <w:rStyle w:val="Sidnummer"/>
        <w:sz w:val="16"/>
      </w:rPr>
      <w:fldChar w:fldCharType="end"/>
    </w:r>
    <w:r w:rsidRPr="005A562F">
      <w:rPr>
        <w:rStyle w:val="Sidnummer"/>
        <w:sz w:val="16"/>
      </w:rPr>
      <w:t>)</w:t>
    </w:r>
  </w:p>
  <w:p w:rsidR="009337B7" w:rsidRPr="005A562F" w:rsidRDefault="009337B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5A562F" w:rsidRDefault="009337B7">
    <w:pPr>
      <w:pStyle w:val="Sidfot"/>
      <w:framePr w:wrap="around" w:vAnchor="text" w:hAnchor="margin" w:xAlign="right" w:y="1"/>
      <w:rPr>
        <w:rStyle w:val="Sidnummer"/>
        <w:sz w:val="16"/>
      </w:rPr>
    </w:pPr>
    <w:r w:rsidRPr="005A562F">
      <w:rPr>
        <w:rStyle w:val="Sidnummer"/>
        <w:sz w:val="16"/>
      </w:rPr>
      <w:fldChar w:fldCharType="begin" w:fldLock="1"/>
    </w:r>
    <w:r w:rsidRPr="005A562F">
      <w:rPr>
        <w:rStyle w:val="Sidnummer"/>
        <w:sz w:val="16"/>
      </w:rPr>
      <w:instrText xml:space="preserve">PAGE  </w:instrText>
    </w:r>
    <w:r w:rsidRPr="005A562F">
      <w:rPr>
        <w:rStyle w:val="Sidnummer"/>
        <w:sz w:val="16"/>
      </w:rPr>
      <w:fldChar w:fldCharType="separate"/>
    </w:r>
    <w:r w:rsidR="00273C5F" w:rsidRPr="005A562F">
      <w:rPr>
        <w:rStyle w:val="Sidnummer"/>
        <w:sz w:val="16"/>
      </w:rPr>
      <w:t>1</w:t>
    </w:r>
    <w:r w:rsidRPr="005A562F">
      <w:rPr>
        <w:rStyle w:val="Sidnummer"/>
        <w:sz w:val="16"/>
      </w:rPr>
      <w:fldChar w:fldCharType="end"/>
    </w:r>
    <w:r w:rsidRPr="005A562F">
      <w:rPr>
        <w:rStyle w:val="Sidnummer"/>
        <w:sz w:val="16"/>
      </w:rPr>
      <w:t>(</w:t>
    </w:r>
    <w:r w:rsidRPr="005A562F">
      <w:rPr>
        <w:rStyle w:val="Sidnummer"/>
        <w:sz w:val="16"/>
      </w:rPr>
      <w:fldChar w:fldCharType="begin" w:fldLock="1"/>
    </w:r>
    <w:r w:rsidRPr="005A562F">
      <w:rPr>
        <w:rStyle w:val="Sidnummer"/>
        <w:sz w:val="16"/>
      </w:rPr>
      <w:instrText xml:space="preserve"> NUMPAGES </w:instrText>
    </w:r>
    <w:r w:rsidRPr="005A562F">
      <w:rPr>
        <w:rStyle w:val="Sidnummer"/>
        <w:sz w:val="16"/>
      </w:rPr>
      <w:fldChar w:fldCharType="separate"/>
    </w:r>
    <w:r w:rsidR="00381CAF" w:rsidRPr="005A562F">
      <w:rPr>
        <w:rStyle w:val="Sidnummer"/>
        <w:sz w:val="16"/>
      </w:rPr>
      <w:t>36</w:t>
    </w:r>
    <w:r w:rsidRPr="005A562F">
      <w:rPr>
        <w:rStyle w:val="Sidnummer"/>
        <w:sz w:val="16"/>
      </w:rPr>
      <w:fldChar w:fldCharType="end"/>
    </w:r>
    <w:r w:rsidRPr="005A562F">
      <w:rPr>
        <w:rStyle w:val="Sidnummer"/>
        <w:sz w:val="16"/>
      </w:rPr>
      <w:t>)</w:t>
    </w:r>
  </w:p>
  <w:p w:rsidR="009337B7" w:rsidRPr="005A562F" w:rsidRDefault="009337B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B56" w:rsidRPr="005A562F" w:rsidRDefault="00D72B56">
      <w:r w:rsidRPr="005A562F">
        <w:separator/>
      </w:r>
    </w:p>
  </w:footnote>
  <w:footnote w:type="continuationSeparator" w:id="0">
    <w:p w:rsidR="00D72B56" w:rsidRPr="005A562F" w:rsidRDefault="00D72B56">
      <w:r w:rsidRPr="005A5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5A562F" w:rsidRDefault="009337B7">
    <w:pPr>
      <w:pStyle w:val="Sidhuvud"/>
      <w:framePr w:wrap="around" w:vAnchor="text" w:hAnchor="margin" w:xAlign="right" w:y="1"/>
      <w:rPr>
        <w:rStyle w:val="Sidnummer"/>
      </w:rPr>
    </w:pPr>
  </w:p>
  <w:p w:rsidR="009337B7" w:rsidRPr="005A562F" w:rsidRDefault="009337B7">
    <w:pPr>
      <w:pStyle w:val="Sidhuvud"/>
      <w:ind w:right="360"/>
    </w:pPr>
  </w:p>
  <w:p w:rsidR="009337B7" w:rsidRPr="005A562F" w:rsidRDefault="009337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5A562F" w:rsidRDefault="005A562F">
    <w:pPr>
      <w:framePr w:w="2948" w:h="1321" w:hRule="exact" w:wrap="notBeside" w:vAnchor="page" w:hAnchor="page" w:x="1362" w:y="653"/>
    </w:pPr>
    <w:r w:rsidRPr="005A562F">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337B7" w:rsidRPr="005A562F" w:rsidRDefault="009337B7">
    <w:pPr>
      <w:pStyle w:val="Sidhuvud"/>
    </w:pPr>
  </w:p>
  <w:p w:rsidR="009337B7" w:rsidRPr="005A562F" w:rsidRDefault="009337B7">
    <w:pPr>
      <w:pStyle w:val="Sidhuvud"/>
      <w:ind w:right="360"/>
    </w:pPr>
  </w:p>
  <w:p w:rsidR="009337B7" w:rsidRPr="005A562F" w:rsidRDefault="009337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5A562F" w:rsidRDefault="005A562F">
    <w:pPr>
      <w:framePr w:w="2948" w:h="1321" w:hRule="exact" w:wrap="notBeside" w:vAnchor="page" w:hAnchor="page" w:x="1362" w:y="653"/>
    </w:pPr>
    <w:r w:rsidRPr="005A562F">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37B7" w:rsidRPr="005A562F" w:rsidRDefault="00933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43004122">
    <w:abstractNumId w:val="10"/>
  </w:num>
  <w:num w:numId="2" w16cid:durableId="1260988291">
    <w:abstractNumId w:val="8"/>
  </w:num>
  <w:num w:numId="3" w16cid:durableId="2091385431">
    <w:abstractNumId w:val="4"/>
  </w:num>
  <w:num w:numId="4" w16cid:durableId="1782264340">
    <w:abstractNumId w:val="9"/>
  </w:num>
  <w:num w:numId="5" w16cid:durableId="1768770530">
    <w:abstractNumId w:val="0"/>
  </w:num>
  <w:num w:numId="6" w16cid:durableId="1484081463">
    <w:abstractNumId w:val="1"/>
  </w:num>
  <w:num w:numId="7" w16cid:durableId="42946277">
    <w:abstractNumId w:val="6"/>
  </w:num>
  <w:num w:numId="8" w16cid:durableId="2025402268">
    <w:abstractNumId w:val="2"/>
  </w:num>
  <w:num w:numId="9" w16cid:durableId="948970478">
    <w:abstractNumId w:val="3"/>
  </w:num>
  <w:num w:numId="10" w16cid:durableId="386682741">
    <w:abstractNumId w:val="5"/>
  </w:num>
  <w:num w:numId="11" w16cid:durableId="3276391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11473C"/>
    <w:rsid w:val="0021448F"/>
    <w:rsid w:val="00273C5F"/>
    <w:rsid w:val="003150C3"/>
    <w:rsid w:val="00362DCB"/>
    <w:rsid w:val="00381CAF"/>
    <w:rsid w:val="004E0E11"/>
    <w:rsid w:val="005A562F"/>
    <w:rsid w:val="005F1820"/>
    <w:rsid w:val="006A6031"/>
    <w:rsid w:val="006B77E9"/>
    <w:rsid w:val="006E20FA"/>
    <w:rsid w:val="00847B54"/>
    <w:rsid w:val="008D78C7"/>
    <w:rsid w:val="009337B7"/>
    <w:rsid w:val="00936272"/>
    <w:rsid w:val="0098508F"/>
    <w:rsid w:val="00A55F55"/>
    <w:rsid w:val="00AE47A8"/>
    <w:rsid w:val="00AF541E"/>
    <w:rsid w:val="00BC43BA"/>
    <w:rsid w:val="00BD1090"/>
    <w:rsid w:val="00D4343A"/>
    <w:rsid w:val="00D71F6C"/>
    <w:rsid w:val="00D72B56"/>
    <w:rsid w:val="00DC108E"/>
    <w:rsid w:val="00DF2A59"/>
    <w:rsid w:val="00E36AE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6493D8-A1B2-4001-BC87-749BE383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8848</Words>
  <Characters>53796</Characters>
  <Application>Microsoft Office Word</Application>
  <DocSecurity>4</DocSecurity>
  <Lines>1494</Lines>
  <Paragraphs>481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62163</CharactersWithSpaces>
  <SharedDoc>false</SharedDoc>
  <HLinks>
    <vt:vector size="282" baseType="variant">
      <vt:variant>
        <vt:i4>1441842</vt:i4>
      </vt:variant>
      <vt:variant>
        <vt:i4>281</vt:i4>
      </vt:variant>
      <vt:variant>
        <vt:i4>0</vt:i4>
      </vt:variant>
      <vt:variant>
        <vt:i4>5</vt:i4>
      </vt:variant>
      <vt:variant>
        <vt:lpwstr/>
      </vt:variant>
      <vt:variant>
        <vt:lpwstr>_Toc243975499</vt:lpwstr>
      </vt:variant>
      <vt:variant>
        <vt:i4>1441842</vt:i4>
      </vt:variant>
      <vt:variant>
        <vt:i4>275</vt:i4>
      </vt:variant>
      <vt:variant>
        <vt:i4>0</vt:i4>
      </vt:variant>
      <vt:variant>
        <vt:i4>5</vt:i4>
      </vt:variant>
      <vt:variant>
        <vt:lpwstr/>
      </vt:variant>
      <vt:variant>
        <vt:lpwstr>_Toc243975498</vt:lpwstr>
      </vt:variant>
      <vt:variant>
        <vt:i4>1441842</vt:i4>
      </vt:variant>
      <vt:variant>
        <vt:i4>269</vt:i4>
      </vt:variant>
      <vt:variant>
        <vt:i4>0</vt:i4>
      </vt:variant>
      <vt:variant>
        <vt:i4>5</vt:i4>
      </vt:variant>
      <vt:variant>
        <vt:lpwstr/>
      </vt:variant>
      <vt:variant>
        <vt:lpwstr>_Toc243975497</vt:lpwstr>
      </vt:variant>
      <vt:variant>
        <vt:i4>1441842</vt:i4>
      </vt:variant>
      <vt:variant>
        <vt:i4>263</vt:i4>
      </vt:variant>
      <vt:variant>
        <vt:i4>0</vt:i4>
      </vt:variant>
      <vt:variant>
        <vt:i4>5</vt:i4>
      </vt:variant>
      <vt:variant>
        <vt:lpwstr/>
      </vt:variant>
      <vt:variant>
        <vt:lpwstr>_Toc243975496</vt:lpwstr>
      </vt:variant>
      <vt:variant>
        <vt:i4>1441842</vt:i4>
      </vt:variant>
      <vt:variant>
        <vt:i4>257</vt:i4>
      </vt:variant>
      <vt:variant>
        <vt:i4>0</vt:i4>
      </vt:variant>
      <vt:variant>
        <vt:i4>5</vt:i4>
      </vt:variant>
      <vt:variant>
        <vt:lpwstr/>
      </vt:variant>
      <vt:variant>
        <vt:lpwstr>_Toc243975495</vt:lpwstr>
      </vt:variant>
      <vt:variant>
        <vt:i4>1441842</vt:i4>
      </vt:variant>
      <vt:variant>
        <vt:i4>251</vt:i4>
      </vt:variant>
      <vt:variant>
        <vt:i4>0</vt:i4>
      </vt:variant>
      <vt:variant>
        <vt:i4>5</vt:i4>
      </vt:variant>
      <vt:variant>
        <vt:lpwstr/>
      </vt:variant>
      <vt:variant>
        <vt:lpwstr>_Toc243975494</vt:lpwstr>
      </vt:variant>
      <vt:variant>
        <vt:i4>1441842</vt:i4>
      </vt:variant>
      <vt:variant>
        <vt:i4>245</vt:i4>
      </vt:variant>
      <vt:variant>
        <vt:i4>0</vt:i4>
      </vt:variant>
      <vt:variant>
        <vt:i4>5</vt:i4>
      </vt:variant>
      <vt:variant>
        <vt:lpwstr/>
      </vt:variant>
      <vt:variant>
        <vt:lpwstr>_Toc243975493</vt:lpwstr>
      </vt:variant>
      <vt:variant>
        <vt:i4>1441842</vt:i4>
      </vt:variant>
      <vt:variant>
        <vt:i4>239</vt:i4>
      </vt:variant>
      <vt:variant>
        <vt:i4>0</vt:i4>
      </vt:variant>
      <vt:variant>
        <vt:i4>5</vt:i4>
      </vt:variant>
      <vt:variant>
        <vt:lpwstr/>
      </vt:variant>
      <vt:variant>
        <vt:lpwstr>_Toc243975492</vt:lpwstr>
      </vt:variant>
      <vt:variant>
        <vt:i4>1441842</vt:i4>
      </vt:variant>
      <vt:variant>
        <vt:i4>233</vt:i4>
      </vt:variant>
      <vt:variant>
        <vt:i4>0</vt:i4>
      </vt:variant>
      <vt:variant>
        <vt:i4>5</vt:i4>
      </vt:variant>
      <vt:variant>
        <vt:lpwstr/>
      </vt:variant>
      <vt:variant>
        <vt:lpwstr>_Toc243975491</vt:lpwstr>
      </vt:variant>
      <vt:variant>
        <vt:i4>1441842</vt:i4>
      </vt:variant>
      <vt:variant>
        <vt:i4>227</vt:i4>
      </vt:variant>
      <vt:variant>
        <vt:i4>0</vt:i4>
      </vt:variant>
      <vt:variant>
        <vt:i4>5</vt:i4>
      </vt:variant>
      <vt:variant>
        <vt:lpwstr/>
      </vt:variant>
      <vt:variant>
        <vt:lpwstr>_Toc243975490</vt:lpwstr>
      </vt:variant>
      <vt:variant>
        <vt:i4>1507378</vt:i4>
      </vt:variant>
      <vt:variant>
        <vt:i4>221</vt:i4>
      </vt:variant>
      <vt:variant>
        <vt:i4>0</vt:i4>
      </vt:variant>
      <vt:variant>
        <vt:i4>5</vt:i4>
      </vt:variant>
      <vt:variant>
        <vt:lpwstr/>
      </vt:variant>
      <vt:variant>
        <vt:lpwstr>_Toc243975489</vt:lpwstr>
      </vt:variant>
      <vt:variant>
        <vt:i4>1507378</vt:i4>
      </vt:variant>
      <vt:variant>
        <vt:i4>215</vt:i4>
      </vt:variant>
      <vt:variant>
        <vt:i4>0</vt:i4>
      </vt:variant>
      <vt:variant>
        <vt:i4>5</vt:i4>
      </vt:variant>
      <vt:variant>
        <vt:lpwstr/>
      </vt:variant>
      <vt:variant>
        <vt:lpwstr>_Toc243975488</vt:lpwstr>
      </vt:variant>
      <vt:variant>
        <vt:i4>1507378</vt:i4>
      </vt:variant>
      <vt:variant>
        <vt:i4>209</vt:i4>
      </vt:variant>
      <vt:variant>
        <vt:i4>0</vt:i4>
      </vt:variant>
      <vt:variant>
        <vt:i4>5</vt:i4>
      </vt:variant>
      <vt:variant>
        <vt:lpwstr/>
      </vt:variant>
      <vt:variant>
        <vt:lpwstr>_Toc243975487</vt:lpwstr>
      </vt:variant>
      <vt:variant>
        <vt:i4>1507378</vt:i4>
      </vt:variant>
      <vt:variant>
        <vt:i4>203</vt:i4>
      </vt:variant>
      <vt:variant>
        <vt:i4>0</vt:i4>
      </vt:variant>
      <vt:variant>
        <vt:i4>5</vt:i4>
      </vt:variant>
      <vt:variant>
        <vt:lpwstr/>
      </vt:variant>
      <vt:variant>
        <vt:lpwstr>_Toc243975486</vt:lpwstr>
      </vt:variant>
      <vt:variant>
        <vt:i4>1507378</vt:i4>
      </vt:variant>
      <vt:variant>
        <vt:i4>197</vt:i4>
      </vt:variant>
      <vt:variant>
        <vt:i4>0</vt:i4>
      </vt:variant>
      <vt:variant>
        <vt:i4>5</vt:i4>
      </vt:variant>
      <vt:variant>
        <vt:lpwstr/>
      </vt:variant>
      <vt:variant>
        <vt:lpwstr>_Toc243975485</vt:lpwstr>
      </vt:variant>
      <vt:variant>
        <vt:i4>1507378</vt:i4>
      </vt:variant>
      <vt:variant>
        <vt:i4>191</vt:i4>
      </vt:variant>
      <vt:variant>
        <vt:i4>0</vt:i4>
      </vt:variant>
      <vt:variant>
        <vt:i4>5</vt:i4>
      </vt:variant>
      <vt:variant>
        <vt:lpwstr/>
      </vt:variant>
      <vt:variant>
        <vt:lpwstr>_Toc243975484</vt:lpwstr>
      </vt:variant>
      <vt:variant>
        <vt:i4>1507378</vt:i4>
      </vt:variant>
      <vt:variant>
        <vt:i4>185</vt:i4>
      </vt:variant>
      <vt:variant>
        <vt:i4>0</vt:i4>
      </vt:variant>
      <vt:variant>
        <vt:i4>5</vt:i4>
      </vt:variant>
      <vt:variant>
        <vt:lpwstr/>
      </vt:variant>
      <vt:variant>
        <vt:lpwstr>_Toc243975483</vt:lpwstr>
      </vt:variant>
      <vt:variant>
        <vt:i4>1507378</vt:i4>
      </vt:variant>
      <vt:variant>
        <vt:i4>179</vt:i4>
      </vt:variant>
      <vt:variant>
        <vt:i4>0</vt:i4>
      </vt:variant>
      <vt:variant>
        <vt:i4>5</vt:i4>
      </vt:variant>
      <vt:variant>
        <vt:lpwstr/>
      </vt:variant>
      <vt:variant>
        <vt:lpwstr>_Toc243975482</vt:lpwstr>
      </vt:variant>
      <vt:variant>
        <vt:i4>1507378</vt:i4>
      </vt:variant>
      <vt:variant>
        <vt:i4>173</vt:i4>
      </vt:variant>
      <vt:variant>
        <vt:i4>0</vt:i4>
      </vt:variant>
      <vt:variant>
        <vt:i4>5</vt:i4>
      </vt:variant>
      <vt:variant>
        <vt:lpwstr/>
      </vt:variant>
      <vt:variant>
        <vt:lpwstr>_Toc243975481</vt:lpwstr>
      </vt:variant>
      <vt:variant>
        <vt:i4>1507378</vt:i4>
      </vt:variant>
      <vt:variant>
        <vt:i4>167</vt:i4>
      </vt:variant>
      <vt:variant>
        <vt:i4>0</vt:i4>
      </vt:variant>
      <vt:variant>
        <vt:i4>5</vt:i4>
      </vt:variant>
      <vt:variant>
        <vt:lpwstr/>
      </vt:variant>
      <vt:variant>
        <vt:lpwstr>_Toc243975480</vt:lpwstr>
      </vt:variant>
      <vt:variant>
        <vt:i4>1572914</vt:i4>
      </vt:variant>
      <vt:variant>
        <vt:i4>161</vt:i4>
      </vt:variant>
      <vt:variant>
        <vt:i4>0</vt:i4>
      </vt:variant>
      <vt:variant>
        <vt:i4>5</vt:i4>
      </vt:variant>
      <vt:variant>
        <vt:lpwstr/>
      </vt:variant>
      <vt:variant>
        <vt:lpwstr>_Toc243975479</vt:lpwstr>
      </vt:variant>
      <vt:variant>
        <vt:i4>1572914</vt:i4>
      </vt:variant>
      <vt:variant>
        <vt:i4>155</vt:i4>
      </vt:variant>
      <vt:variant>
        <vt:i4>0</vt:i4>
      </vt:variant>
      <vt:variant>
        <vt:i4>5</vt:i4>
      </vt:variant>
      <vt:variant>
        <vt:lpwstr/>
      </vt:variant>
      <vt:variant>
        <vt:lpwstr>_Toc243975478</vt:lpwstr>
      </vt:variant>
      <vt:variant>
        <vt:i4>1572914</vt:i4>
      </vt:variant>
      <vt:variant>
        <vt:i4>149</vt:i4>
      </vt:variant>
      <vt:variant>
        <vt:i4>0</vt:i4>
      </vt:variant>
      <vt:variant>
        <vt:i4>5</vt:i4>
      </vt:variant>
      <vt:variant>
        <vt:lpwstr/>
      </vt:variant>
      <vt:variant>
        <vt:lpwstr>_Toc243975477</vt:lpwstr>
      </vt:variant>
      <vt:variant>
        <vt:i4>1572914</vt:i4>
      </vt:variant>
      <vt:variant>
        <vt:i4>143</vt:i4>
      </vt:variant>
      <vt:variant>
        <vt:i4>0</vt:i4>
      </vt:variant>
      <vt:variant>
        <vt:i4>5</vt:i4>
      </vt:variant>
      <vt:variant>
        <vt:lpwstr/>
      </vt:variant>
      <vt:variant>
        <vt:lpwstr>_Toc243975476</vt:lpwstr>
      </vt:variant>
      <vt:variant>
        <vt:i4>1572914</vt:i4>
      </vt:variant>
      <vt:variant>
        <vt:i4>137</vt:i4>
      </vt:variant>
      <vt:variant>
        <vt:i4>0</vt:i4>
      </vt:variant>
      <vt:variant>
        <vt:i4>5</vt:i4>
      </vt:variant>
      <vt:variant>
        <vt:lpwstr/>
      </vt:variant>
      <vt:variant>
        <vt:lpwstr>_Toc243975475</vt:lpwstr>
      </vt:variant>
      <vt:variant>
        <vt:i4>1572914</vt:i4>
      </vt:variant>
      <vt:variant>
        <vt:i4>131</vt:i4>
      </vt:variant>
      <vt:variant>
        <vt:i4>0</vt:i4>
      </vt:variant>
      <vt:variant>
        <vt:i4>5</vt:i4>
      </vt:variant>
      <vt:variant>
        <vt:lpwstr/>
      </vt:variant>
      <vt:variant>
        <vt:lpwstr>_Toc243975474</vt:lpwstr>
      </vt:variant>
      <vt:variant>
        <vt:i4>1572914</vt:i4>
      </vt:variant>
      <vt:variant>
        <vt:i4>125</vt:i4>
      </vt:variant>
      <vt:variant>
        <vt:i4>0</vt:i4>
      </vt:variant>
      <vt:variant>
        <vt:i4>5</vt:i4>
      </vt:variant>
      <vt:variant>
        <vt:lpwstr/>
      </vt:variant>
      <vt:variant>
        <vt:lpwstr>_Toc243975473</vt:lpwstr>
      </vt:variant>
      <vt:variant>
        <vt:i4>1572914</vt:i4>
      </vt:variant>
      <vt:variant>
        <vt:i4>119</vt:i4>
      </vt:variant>
      <vt:variant>
        <vt:i4>0</vt:i4>
      </vt:variant>
      <vt:variant>
        <vt:i4>5</vt:i4>
      </vt:variant>
      <vt:variant>
        <vt:lpwstr/>
      </vt:variant>
      <vt:variant>
        <vt:lpwstr>_Toc243975472</vt:lpwstr>
      </vt:variant>
      <vt:variant>
        <vt:i4>1572914</vt:i4>
      </vt:variant>
      <vt:variant>
        <vt:i4>113</vt:i4>
      </vt:variant>
      <vt:variant>
        <vt:i4>0</vt:i4>
      </vt:variant>
      <vt:variant>
        <vt:i4>5</vt:i4>
      </vt:variant>
      <vt:variant>
        <vt:lpwstr/>
      </vt:variant>
      <vt:variant>
        <vt:lpwstr>_Toc243975471</vt:lpwstr>
      </vt:variant>
      <vt:variant>
        <vt:i4>1572914</vt:i4>
      </vt:variant>
      <vt:variant>
        <vt:i4>107</vt:i4>
      </vt:variant>
      <vt:variant>
        <vt:i4>0</vt:i4>
      </vt:variant>
      <vt:variant>
        <vt:i4>5</vt:i4>
      </vt:variant>
      <vt:variant>
        <vt:lpwstr/>
      </vt:variant>
      <vt:variant>
        <vt:lpwstr>_Toc243975470</vt:lpwstr>
      </vt:variant>
      <vt:variant>
        <vt:i4>1638450</vt:i4>
      </vt:variant>
      <vt:variant>
        <vt:i4>101</vt:i4>
      </vt:variant>
      <vt:variant>
        <vt:i4>0</vt:i4>
      </vt:variant>
      <vt:variant>
        <vt:i4>5</vt:i4>
      </vt:variant>
      <vt:variant>
        <vt:lpwstr/>
      </vt:variant>
      <vt:variant>
        <vt:lpwstr>_Toc243975469</vt:lpwstr>
      </vt:variant>
      <vt:variant>
        <vt:i4>1638450</vt:i4>
      </vt:variant>
      <vt:variant>
        <vt:i4>95</vt:i4>
      </vt:variant>
      <vt:variant>
        <vt:i4>0</vt:i4>
      </vt:variant>
      <vt:variant>
        <vt:i4>5</vt:i4>
      </vt:variant>
      <vt:variant>
        <vt:lpwstr/>
      </vt:variant>
      <vt:variant>
        <vt:lpwstr>_Toc243975468</vt:lpwstr>
      </vt:variant>
      <vt:variant>
        <vt:i4>1638450</vt:i4>
      </vt:variant>
      <vt:variant>
        <vt:i4>89</vt:i4>
      </vt:variant>
      <vt:variant>
        <vt:i4>0</vt:i4>
      </vt:variant>
      <vt:variant>
        <vt:i4>5</vt:i4>
      </vt:variant>
      <vt:variant>
        <vt:lpwstr/>
      </vt:variant>
      <vt:variant>
        <vt:lpwstr>_Toc243975467</vt:lpwstr>
      </vt:variant>
      <vt:variant>
        <vt:i4>1638450</vt:i4>
      </vt:variant>
      <vt:variant>
        <vt:i4>83</vt:i4>
      </vt:variant>
      <vt:variant>
        <vt:i4>0</vt:i4>
      </vt:variant>
      <vt:variant>
        <vt:i4>5</vt:i4>
      </vt:variant>
      <vt:variant>
        <vt:lpwstr/>
      </vt:variant>
      <vt:variant>
        <vt:lpwstr>_Toc243975466</vt:lpwstr>
      </vt:variant>
      <vt:variant>
        <vt:i4>1638450</vt:i4>
      </vt:variant>
      <vt:variant>
        <vt:i4>77</vt:i4>
      </vt:variant>
      <vt:variant>
        <vt:i4>0</vt:i4>
      </vt:variant>
      <vt:variant>
        <vt:i4>5</vt:i4>
      </vt:variant>
      <vt:variant>
        <vt:lpwstr/>
      </vt:variant>
      <vt:variant>
        <vt:lpwstr>_Toc243975465</vt:lpwstr>
      </vt:variant>
      <vt:variant>
        <vt:i4>1638450</vt:i4>
      </vt:variant>
      <vt:variant>
        <vt:i4>71</vt:i4>
      </vt:variant>
      <vt:variant>
        <vt:i4>0</vt:i4>
      </vt:variant>
      <vt:variant>
        <vt:i4>5</vt:i4>
      </vt:variant>
      <vt:variant>
        <vt:lpwstr/>
      </vt:variant>
      <vt:variant>
        <vt:lpwstr>_Toc243975464</vt:lpwstr>
      </vt:variant>
      <vt:variant>
        <vt:i4>1638450</vt:i4>
      </vt:variant>
      <vt:variant>
        <vt:i4>65</vt:i4>
      </vt:variant>
      <vt:variant>
        <vt:i4>0</vt:i4>
      </vt:variant>
      <vt:variant>
        <vt:i4>5</vt:i4>
      </vt:variant>
      <vt:variant>
        <vt:lpwstr/>
      </vt:variant>
      <vt:variant>
        <vt:lpwstr>_Toc243975463</vt:lpwstr>
      </vt:variant>
      <vt:variant>
        <vt:i4>1638450</vt:i4>
      </vt:variant>
      <vt:variant>
        <vt:i4>59</vt:i4>
      </vt:variant>
      <vt:variant>
        <vt:i4>0</vt:i4>
      </vt:variant>
      <vt:variant>
        <vt:i4>5</vt:i4>
      </vt:variant>
      <vt:variant>
        <vt:lpwstr/>
      </vt:variant>
      <vt:variant>
        <vt:lpwstr>_Toc243975462</vt:lpwstr>
      </vt:variant>
      <vt:variant>
        <vt:i4>1638450</vt:i4>
      </vt:variant>
      <vt:variant>
        <vt:i4>53</vt:i4>
      </vt:variant>
      <vt:variant>
        <vt:i4>0</vt:i4>
      </vt:variant>
      <vt:variant>
        <vt:i4>5</vt:i4>
      </vt:variant>
      <vt:variant>
        <vt:lpwstr/>
      </vt:variant>
      <vt:variant>
        <vt:lpwstr>_Toc243975461</vt:lpwstr>
      </vt:variant>
      <vt:variant>
        <vt:i4>1638450</vt:i4>
      </vt:variant>
      <vt:variant>
        <vt:i4>47</vt:i4>
      </vt:variant>
      <vt:variant>
        <vt:i4>0</vt:i4>
      </vt:variant>
      <vt:variant>
        <vt:i4>5</vt:i4>
      </vt:variant>
      <vt:variant>
        <vt:lpwstr/>
      </vt:variant>
      <vt:variant>
        <vt:lpwstr>_Toc243975460</vt:lpwstr>
      </vt:variant>
      <vt:variant>
        <vt:i4>1703986</vt:i4>
      </vt:variant>
      <vt:variant>
        <vt:i4>41</vt:i4>
      </vt:variant>
      <vt:variant>
        <vt:i4>0</vt:i4>
      </vt:variant>
      <vt:variant>
        <vt:i4>5</vt:i4>
      </vt:variant>
      <vt:variant>
        <vt:lpwstr/>
      </vt:variant>
      <vt:variant>
        <vt:lpwstr>_Toc243975459</vt:lpwstr>
      </vt:variant>
      <vt:variant>
        <vt:i4>1703986</vt:i4>
      </vt:variant>
      <vt:variant>
        <vt:i4>35</vt:i4>
      </vt:variant>
      <vt:variant>
        <vt:i4>0</vt:i4>
      </vt:variant>
      <vt:variant>
        <vt:i4>5</vt:i4>
      </vt:variant>
      <vt:variant>
        <vt:lpwstr/>
      </vt:variant>
      <vt:variant>
        <vt:lpwstr>_Toc243975458</vt:lpwstr>
      </vt:variant>
      <vt:variant>
        <vt:i4>1703986</vt:i4>
      </vt:variant>
      <vt:variant>
        <vt:i4>29</vt:i4>
      </vt:variant>
      <vt:variant>
        <vt:i4>0</vt:i4>
      </vt:variant>
      <vt:variant>
        <vt:i4>5</vt:i4>
      </vt:variant>
      <vt:variant>
        <vt:lpwstr/>
      </vt:variant>
      <vt:variant>
        <vt:lpwstr>_Toc243975457</vt:lpwstr>
      </vt:variant>
      <vt:variant>
        <vt:i4>1703986</vt:i4>
      </vt:variant>
      <vt:variant>
        <vt:i4>23</vt:i4>
      </vt:variant>
      <vt:variant>
        <vt:i4>0</vt:i4>
      </vt:variant>
      <vt:variant>
        <vt:i4>5</vt:i4>
      </vt:variant>
      <vt:variant>
        <vt:lpwstr/>
      </vt:variant>
      <vt:variant>
        <vt:lpwstr>_Toc243975456</vt:lpwstr>
      </vt:variant>
      <vt:variant>
        <vt:i4>1703986</vt:i4>
      </vt:variant>
      <vt:variant>
        <vt:i4>17</vt:i4>
      </vt:variant>
      <vt:variant>
        <vt:i4>0</vt:i4>
      </vt:variant>
      <vt:variant>
        <vt:i4>5</vt:i4>
      </vt:variant>
      <vt:variant>
        <vt:lpwstr/>
      </vt:variant>
      <vt:variant>
        <vt:lpwstr>_Toc243975455</vt:lpwstr>
      </vt:variant>
      <vt:variant>
        <vt:i4>1703986</vt:i4>
      </vt:variant>
      <vt:variant>
        <vt:i4>11</vt:i4>
      </vt:variant>
      <vt:variant>
        <vt:i4>0</vt:i4>
      </vt:variant>
      <vt:variant>
        <vt:i4>5</vt:i4>
      </vt:variant>
      <vt:variant>
        <vt:lpwstr/>
      </vt:variant>
      <vt:variant>
        <vt:lpwstr>_Toc243975454</vt:lpwstr>
      </vt:variant>
      <vt:variant>
        <vt:i4>1703986</vt:i4>
      </vt:variant>
      <vt:variant>
        <vt:i4>5</vt:i4>
      </vt:variant>
      <vt:variant>
        <vt:i4>0</vt:i4>
      </vt:variant>
      <vt:variant>
        <vt:i4>5</vt:i4>
      </vt:variant>
      <vt:variant>
        <vt:lpwstr/>
      </vt:variant>
      <vt:variant>
        <vt:lpwstr>_Toc243975453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