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C34AA">
        <w:tblPrEx>
          <w:tblCellMar>
            <w:top w:w="0" w:type="dxa"/>
            <w:bottom w:w="0" w:type="dxa"/>
          </w:tblCellMar>
        </w:tblPrEx>
        <w:trPr>
          <w:cantSplit/>
          <w:trHeight w:val="1720"/>
        </w:trPr>
        <w:tc>
          <w:tcPr>
            <w:tcW w:w="6024" w:type="dxa"/>
            <w:gridSpan w:val="2"/>
          </w:tcPr>
          <w:p w:rsidR="009C332F" w:rsidRPr="000C34AA" w:rsidRDefault="009C332F">
            <w:pPr>
              <w:pStyle w:val="HuvudRubrik"/>
            </w:pPr>
            <w:r w:rsidRPr="000C34AA">
              <w:t>Förslag till riksdagen</w:t>
            </w:r>
          </w:p>
          <w:p w:rsidR="009C332F" w:rsidRPr="000C34AA" w:rsidRDefault="009C332F">
            <w:pPr>
              <w:pStyle w:val="HuvudRubrikRad2"/>
            </w:pPr>
            <w:bookmarkStart w:id="0" w:name="BetänkandeNr"/>
            <w:bookmarkEnd w:id="0"/>
            <w:r w:rsidRPr="000C34AA">
              <w:t>2001/02:RS3</w:t>
            </w:r>
          </w:p>
        </w:tc>
        <w:tc>
          <w:tcPr>
            <w:tcW w:w="1418" w:type="dxa"/>
            <w:tcBorders>
              <w:bottom w:val="nil"/>
            </w:tcBorders>
          </w:tcPr>
          <w:p w:rsidR="009C332F" w:rsidRPr="000C34AA" w:rsidRDefault="000C34AA">
            <w:pPr>
              <w:spacing w:line="230" w:lineRule="auto"/>
              <w:jc w:val="center"/>
            </w:pPr>
            <w:r w:rsidRPr="000C34A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C332F" w:rsidRPr="000C34AA" w:rsidRDefault="009C332F">
            <w:pPr>
              <w:pStyle w:val="Normaltindrag"/>
              <w:jc w:val="center"/>
            </w:pPr>
          </w:p>
          <w:p w:rsidR="009C332F" w:rsidRPr="000C34AA" w:rsidRDefault="009C332F">
            <w:pPr>
              <w:pStyle w:val="StatusSida1"/>
            </w:pPr>
          </w:p>
          <w:p w:rsidR="009C332F" w:rsidRPr="000C34AA" w:rsidRDefault="009C332F">
            <w:pPr>
              <w:pStyle w:val="UtskriftsdatumSida1"/>
              <w:framePr w:wrap="around"/>
            </w:pPr>
          </w:p>
        </w:tc>
      </w:tr>
      <w:tr w:rsidR="00000000" w:rsidRPr="000C34AA">
        <w:tblPrEx>
          <w:tblCellMar>
            <w:top w:w="0" w:type="dxa"/>
            <w:bottom w:w="0" w:type="dxa"/>
          </w:tblCellMar>
        </w:tblPrEx>
        <w:trPr>
          <w:cantSplit/>
        </w:trPr>
        <w:tc>
          <w:tcPr>
            <w:tcW w:w="6024" w:type="dxa"/>
            <w:gridSpan w:val="2"/>
            <w:tcBorders>
              <w:bottom w:val="single" w:sz="4" w:space="0" w:color="auto"/>
            </w:tcBorders>
          </w:tcPr>
          <w:p w:rsidR="009C332F" w:rsidRPr="000C34AA" w:rsidRDefault="009C332F">
            <w:pPr>
              <w:pStyle w:val="DokumentRubrik"/>
              <w:rPr>
                <w:noProof w:val="0"/>
              </w:rPr>
            </w:pPr>
            <w:bookmarkStart w:id="1" w:name="Huvudrubrik"/>
            <w:bookmarkEnd w:id="1"/>
            <w:r w:rsidRPr="000C34AA">
              <w:rPr>
                <w:noProof w:val="0"/>
              </w:rPr>
              <w:t>Nya administrativa rutiner m.m. för inkomstgarantier</w:t>
            </w:r>
          </w:p>
        </w:tc>
        <w:tc>
          <w:tcPr>
            <w:tcW w:w="1418" w:type="dxa"/>
            <w:tcBorders>
              <w:bottom w:val="nil"/>
            </w:tcBorders>
          </w:tcPr>
          <w:p w:rsidR="009C332F" w:rsidRPr="000C34AA" w:rsidRDefault="009C332F"/>
        </w:tc>
      </w:tr>
      <w:tr w:rsidR="00000000" w:rsidRPr="000C34AA">
        <w:tblPrEx>
          <w:tblCellMar>
            <w:top w:w="0" w:type="dxa"/>
            <w:bottom w:w="0" w:type="dxa"/>
          </w:tblCellMar>
        </w:tblPrEx>
        <w:trPr>
          <w:cantSplit/>
          <w:trHeight w:hRule="exact" w:val="360"/>
        </w:trPr>
        <w:tc>
          <w:tcPr>
            <w:tcW w:w="3012" w:type="dxa"/>
          </w:tcPr>
          <w:p w:rsidR="009C332F" w:rsidRPr="000C34AA" w:rsidRDefault="009C332F"/>
        </w:tc>
        <w:tc>
          <w:tcPr>
            <w:tcW w:w="3012" w:type="dxa"/>
          </w:tcPr>
          <w:p w:rsidR="009C332F" w:rsidRPr="000C34AA" w:rsidRDefault="009C332F"/>
        </w:tc>
        <w:tc>
          <w:tcPr>
            <w:tcW w:w="1418" w:type="dxa"/>
          </w:tcPr>
          <w:p w:rsidR="009C332F" w:rsidRPr="000C34AA" w:rsidRDefault="009C332F"/>
        </w:tc>
      </w:tr>
    </w:tbl>
    <w:p w:rsidR="009C332F" w:rsidRPr="000C34AA" w:rsidRDefault="009C332F"/>
    <w:p w:rsidR="009C332F" w:rsidRPr="000C34AA" w:rsidRDefault="009C332F">
      <w:pPr>
        <w:pStyle w:val="Rubrik1"/>
        <w:spacing w:after="180"/>
        <w:rPr>
          <w:noProof w:val="0"/>
        </w:rPr>
      </w:pPr>
      <w:bookmarkStart w:id="2" w:name="_Toc20645480"/>
      <w:r w:rsidRPr="000C34AA">
        <w:rPr>
          <w:noProof w:val="0"/>
        </w:rPr>
        <w:t>Sammanfattning</w:t>
      </w:r>
      <w:bookmarkEnd w:id="2"/>
    </w:p>
    <w:p w:rsidR="009C332F" w:rsidRPr="000C34AA" w:rsidRDefault="009C332F">
      <w:bookmarkStart w:id="3" w:name="TextStart"/>
      <w:bookmarkEnd w:id="3"/>
      <w:r w:rsidRPr="000C34AA">
        <w:t>I syfte att göra det möjligt för riksdagsförvaltningen att till Statens pension</w:t>
      </w:r>
      <w:r w:rsidRPr="000C34AA">
        <w:t>s</w:t>
      </w:r>
      <w:r w:rsidRPr="000C34AA">
        <w:t>verk (SPV) överlämna handläggningen av ärenden om inkomstgaranti för</w:t>
      </w:r>
      <w:r w:rsidRPr="000C34AA">
        <w:t>e</w:t>
      </w:r>
      <w:r w:rsidRPr="000C34AA">
        <w:t>slås en ändring i lagen (2000:419) med instruktion för riksdagsförvaltningen. En närmare reglering av SPV:s uppgifter kommer att göras i ett avtal mellan verket och riksdag</w:t>
      </w:r>
      <w:r w:rsidRPr="000C34AA">
        <w:t>s</w:t>
      </w:r>
      <w:r w:rsidRPr="000C34AA">
        <w:t xml:space="preserve">förvaltningen. </w:t>
      </w:r>
    </w:p>
    <w:p w:rsidR="009C332F" w:rsidRPr="000C34AA" w:rsidRDefault="009C332F">
      <w:pPr>
        <w:pStyle w:val="Normaltindrag"/>
      </w:pPr>
      <w:r w:rsidRPr="000C34AA">
        <w:t>Vidare föreslås att det i lagen (1994:1065) om ekonomiska villkor för rik</w:t>
      </w:r>
      <w:r w:rsidRPr="000C34AA">
        <w:t>s</w:t>
      </w:r>
      <w:r w:rsidRPr="000C34AA">
        <w:t>dagens ledamöter (ersättningslagen) och i lagen (1996:304) om arvode m.m. till Sveriges företrädare i Europaparlamentet (företrädarlagen) införs nya regler som sammantaget innebär förbättrade möjligheter att kontrollera att rätt belopp betalas ut inom ramen för systemet med inkomstgaranti. Här handlar det bl.a. om att garantitagarnas uppgifter skall kunna verifieras hos dem som betalat ut samordningsinkomster. I syfte att skydda en del av de uppgifter som inhämtats i kontrollsyfte föreslås en regel om sekr</w:t>
      </w:r>
      <w:r w:rsidRPr="000C34AA">
        <w:t xml:space="preserve">etess för uppgifter som hänför sig till ärenden om inkomstgaranti. </w:t>
      </w:r>
    </w:p>
    <w:p w:rsidR="009C332F" w:rsidRPr="000C34AA" w:rsidRDefault="009C332F">
      <w:pPr>
        <w:pStyle w:val="Normaltindrag"/>
      </w:pPr>
      <w:r w:rsidRPr="000C34AA">
        <w:t>Några av lagförslagen innebär att sådant som tidigare reglerats i föreskri</w:t>
      </w:r>
      <w:r w:rsidRPr="000C34AA">
        <w:t>f</w:t>
      </w:r>
      <w:r w:rsidRPr="000C34AA">
        <w:t>ter nu tas in i lag. Detta gäller bl.a. garantitagares skyldighet att lämna up</w:t>
      </w:r>
      <w:r w:rsidRPr="000C34AA">
        <w:t>p</w:t>
      </w:r>
      <w:r w:rsidRPr="000C34AA">
        <w:t>gifter till riksdagsförvaltningen och skyldigheten att betala tillbaka inkoms</w:t>
      </w:r>
      <w:r w:rsidRPr="000C34AA">
        <w:t>t</w:t>
      </w:r>
      <w:r w:rsidRPr="000C34AA">
        <w:t xml:space="preserve">garanti som kommit att betalas ut för mycket. </w:t>
      </w:r>
    </w:p>
    <w:p w:rsidR="009C332F" w:rsidRPr="000C34AA" w:rsidRDefault="009C332F">
      <w:pPr>
        <w:pStyle w:val="Normaltindrag"/>
      </w:pPr>
      <w:r w:rsidRPr="000C34AA">
        <w:t>Vidare föreslås att ränta i vissa fall skall kunna tas ut samt att återbeta</w:t>
      </w:r>
      <w:r w:rsidRPr="000C34AA">
        <w:t>l</w:t>
      </w:r>
      <w:r w:rsidRPr="000C34AA">
        <w:t>ning</w:t>
      </w:r>
      <w:r w:rsidRPr="000C34AA">
        <w:t>s</w:t>
      </w:r>
      <w:r w:rsidRPr="000C34AA">
        <w:t>skyldigheten skall kunna efterges om det finns särskilda skäl för det.</w:t>
      </w:r>
    </w:p>
    <w:p w:rsidR="009C332F" w:rsidRPr="000C34AA" w:rsidRDefault="009C332F">
      <w:pPr>
        <w:pStyle w:val="Normaltindrag"/>
      </w:pPr>
      <w:r w:rsidRPr="000C34AA">
        <w:t xml:space="preserve">Slutligen föreslås att riksdagsförvaltningen utan föregående ansökan skall besluta om rätt till inkomstgaranti, varefter den som vill att den skall betalas ut får ansöka om det. </w:t>
      </w:r>
    </w:p>
    <w:p w:rsidR="009C332F" w:rsidRPr="000C34AA" w:rsidRDefault="009C332F">
      <w:pPr>
        <w:pStyle w:val="Normaltindrag"/>
      </w:pPr>
      <w:r w:rsidRPr="000C34AA">
        <w:t xml:space="preserve">Lagändringarna föreslås träda i kraft den 1 januari 2003. </w:t>
      </w:r>
    </w:p>
    <w:p w:rsidR="009C332F" w:rsidRPr="000C34AA" w:rsidRDefault="009C332F">
      <w:pPr>
        <w:pStyle w:val="Normaltindrag"/>
      </w:pPr>
    </w:p>
    <w:p w:rsidR="009C332F" w:rsidRPr="000C34AA" w:rsidRDefault="009C332F">
      <w:pPr>
        <w:pStyle w:val="Normaltindrag"/>
        <w:sectPr w:rsidR="00000000" w:rsidRPr="000C34A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C332F" w:rsidRPr="000C34AA" w:rsidRDefault="009C332F">
      <w:pPr>
        <w:pStyle w:val="Rubrik1"/>
        <w:rPr>
          <w:noProof w:val="0"/>
        </w:rPr>
      </w:pPr>
      <w:bookmarkStart w:id="4" w:name="_Toc20645481"/>
      <w:r w:rsidRPr="000C34AA">
        <w:rPr>
          <w:noProof w:val="0"/>
        </w:rPr>
        <w:lastRenderedPageBreak/>
        <w:t>Innehållsförteckning</w:t>
      </w:r>
      <w:bookmarkEnd w:id="4"/>
    </w:p>
    <w:p w:rsidR="009C332F" w:rsidRPr="000C34AA" w:rsidRDefault="009C332F">
      <w:pPr>
        <w:pStyle w:val="Innehll1"/>
      </w:pPr>
      <w:r w:rsidRPr="000C34AA">
        <w:t>Sammanfattning</w:t>
      </w:r>
      <w:r w:rsidRPr="000C34AA">
        <w:tab/>
        <w:t>1</w:t>
      </w:r>
    </w:p>
    <w:p w:rsidR="009C332F" w:rsidRPr="000C34AA" w:rsidRDefault="009C332F">
      <w:pPr>
        <w:pStyle w:val="Innehll1"/>
      </w:pPr>
      <w:r w:rsidRPr="000C34AA">
        <w:t>Innehållsförteckning</w:t>
      </w:r>
      <w:r w:rsidRPr="000C34AA">
        <w:tab/>
        <w:t>2</w:t>
      </w:r>
    </w:p>
    <w:p w:rsidR="009C332F" w:rsidRPr="000C34AA" w:rsidRDefault="009C332F">
      <w:pPr>
        <w:pStyle w:val="Innehll1"/>
      </w:pPr>
      <w:r w:rsidRPr="000C34AA">
        <w:t>Riksdagsstyrelsens förslag till riksdagsbeslut</w:t>
      </w:r>
      <w:r w:rsidRPr="000C34AA">
        <w:tab/>
        <w:t>4</w:t>
      </w:r>
    </w:p>
    <w:p w:rsidR="009C332F" w:rsidRPr="000C34AA" w:rsidRDefault="009C332F">
      <w:pPr>
        <w:pStyle w:val="Innehll1"/>
      </w:pPr>
      <w:r w:rsidRPr="000C34AA">
        <w:t>1 Redogörelse för ärendet</w:t>
      </w:r>
      <w:r w:rsidRPr="000C34AA">
        <w:tab/>
        <w:t>5</w:t>
      </w:r>
    </w:p>
    <w:p w:rsidR="009C332F" w:rsidRPr="000C34AA" w:rsidRDefault="009C332F">
      <w:pPr>
        <w:pStyle w:val="Innehll1"/>
      </w:pPr>
      <w:r w:rsidRPr="000C34AA">
        <w:t>2 Det nuvarande systemet</w:t>
      </w:r>
      <w:r w:rsidRPr="000C34AA">
        <w:tab/>
        <w:t>6</w:t>
      </w:r>
    </w:p>
    <w:p w:rsidR="009C332F" w:rsidRPr="000C34AA" w:rsidRDefault="009C332F">
      <w:pPr>
        <w:pStyle w:val="Innehll2"/>
      </w:pPr>
      <w:r w:rsidRPr="000C34AA">
        <w:t>2.1 Inkomstgaranti för riksdagens ledamöter</w:t>
      </w:r>
      <w:r w:rsidRPr="000C34AA">
        <w:tab/>
        <w:t>6</w:t>
      </w:r>
    </w:p>
    <w:p w:rsidR="009C332F" w:rsidRPr="000C34AA" w:rsidRDefault="009C332F">
      <w:pPr>
        <w:pStyle w:val="Innehll2"/>
      </w:pPr>
      <w:r w:rsidRPr="000C34AA">
        <w:t>2.2 Inkomstgaranti för företrädare i Europaparlamentet</w:t>
      </w:r>
      <w:r w:rsidRPr="000C34AA">
        <w:tab/>
        <w:t>6</w:t>
      </w:r>
    </w:p>
    <w:p w:rsidR="009C332F" w:rsidRPr="000C34AA" w:rsidRDefault="009C332F">
      <w:pPr>
        <w:pStyle w:val="Innehll2"/>
      </w:pPr>
      <w:r w:rsidRPr="000C34AA">
        <w:t>2.3 Handläggningsrutiner avseende inkomstgaranti</w:t>
      </w:r>
      <w:r w:rsidRPr="000C34AA">
        <w:tab/>
        <w:t>6</w:t>
      </w:r>
    </w:p>
    <w:p w:rsidR="009C332F" w:rsidRPr="000C34AA" w:rsidRDefault="009C332F">
      <w:pPr>
        <w:pStyle w:val="Innehll4"/>
      </w:pPr>
      <w:r w:rsidRPr="000C34AA">
        <w:t>Information och beslut om inkomstgarantier</w:t>
      </w:r>
      <w:r w:rsidRPr="000C34AA">
        <w:tab/>
        <w:t>7</w:t>
      </w:r>
    </w:p>
    <w:p w:rsidR="009C332F" w:rsidRPr="000C34AA" w:rsidRDefault="009C332F">
      <w:pPr>
        <w:pStyle w:val="Innehll4"/>
      </w:pPr>
      <w:r w:rsidRPr="000C34AA">
        <w:t>Rapportering varje månad</w:t>
      </w:r>
      <w:r w:rsidRPr="000C34AA">
        <w:tab/>
        <w:t>7</w:t>
      </w:r>
    </w:p>
    <w:p w:rsidR="009C332F" w:rsidRPr="000C34AA" w:rsidRDefault="009C332F">
      <w:pPr>
        <w:pStyle w:val="Innehll4"/>
      </w:pPr>
      <w:r w:rsidRPr="000C34AA">
        <w:t>Rutiner för när månadsrapport uteblir</w:t>
      </w:r>
      <w:r w:rsidRPr="000C34AA">
        <w:tab/>
        <w:t>7</w:t>
      </w:r>
    </w:p>
    <w:p w:rsidR="009C332F" w:rsidRPr="000C34AA" w:rsidRDefault="009C332F">
      <w:pPr>
        <w:pStyle w:val="Innehll4"/>
      </w:pPr>
      <w:r w:rsidRPr="000C34AA">
        <w:t>Årsavstämning</w:t>
      </w:r>
      <w:r w:rsidRPr="000C34AA">
        <w:tab/>
        <w:t>7</w:t>
      </w:r>
    </w:p>
    <w:p w:rsidR="009C332F" w:rsidRPr="000C34AA" w:rsidRDefault="009C332F">
      <w:pPr>
        <w:pStyle w:val="Innehll4"/>
      </w:pPr>
      <w:r w:rsidRPr="000C34AA">
        <w:t>Fordringar</w:t>
      </w:r>
      <w:r w:rsidRPr="000C34AA">
        <w:tab/>
        <w:t>7</w:t>
      </w:r>
    </w:p>
    <w:p w:rsidR="009C332F" w:rsidRPr="000C34AA" w:rsidRDefault="009C332F">
      <w:pPr>
        <w:pStyle w:val="Innehll2"/>
      </w:pPr>
      <w:r w:rsidRPr="000C34AA">
        <w:t>2.4 Handläggningsrutiner hos SPV avseende chefspensioner</w:t>
      </w:r>
      <w:r w:rsidRPr="000C34AA">
        <w:tab/>
        <w:t>8</w:t>
      </w:r>
    </w:p>
    <w:p w:rsidR="009C332F" w:rsidRPr="000C34AA" w:rsidRDefault="009C332F">
      <w:pPr>
        <w:pStyle w:val="Innehll1"/>
      </w:pPr>
      <w:r w:rsidRPr="000C34AA">
        <w:t>3 Uppföljning av ettåriga inkomstgarantier efter valet 1998</w:t>
      </w:r>
      <w:r w:rsidRPr="000C34AA">
        <w:tab/>
        <w:t>10</w:t>
      </w:r>
    </w:p>
    <w:p w:rsidR="009C332F" w:rsidRPr="000C34AA" w:rsidRDefault="009C332F">
      <w:pPr>
        <w:pStyle w:val="Innehll1"/>
      </w:pPr>
      <w:r w:rsidRPr="000C34AA">
        <w:t>4 Riksdagsrevisorernas rapport och förslag</w:t>
      </w:r>
      <w:r w:rsidRPr="000C34AA">
        <w:tab/>
        <w:t>11</w:t>
      </w:r>
    </w:p>
    <w:p w:rsidR="009C332F" w:rsidRPr="000C34AA" w:rsidRDefault="009C332F">
      <w:pPr>
        <w:pStyle w:val="Innehll1"/>
      </w:pPr>
      <w:r w:rsidRPr="000C34AA">
        <w:t>5 Riksdagsstyrelsens överväganden</w:t>
      </w:r>
      <w:r w:rsidRPr="000C34AA">
        <w:tab/>
        <w:t>13</w:t>
      </w:r>
    </w:p>
    <w:p w:rsidR="009C332F" w:rsidRPr="000C34AA" w:rsidRDefault="009C332F">
      <w:pPr>
        <w:pStyle w:val="Innehll2"/>
      </w:pPr>
      <w:r w:rsidRPr="000C34AA">
        <w:t>5.1 Utgångspunkter</w:t>
      </w:r>
      <w:r w:rsidRPr="000C34AA">
        <w:tab/>
        <w:t>13</w:t>
      </w:r>
    </w:p>
    <w:p w:rsidR="009C332F" w:rsidRPr="000C34AA" w:rsidRDefault="009C332F">
      <w:pPr>
        <w:pStyle w:val="Innehll2"/>
      </w:pPr>
      <w:r w:rsidRPr="000C34AA">
        <w:t>5.2 Överflyttningen till SPV</w:t>
      </w:r>
      <w:r w:rsidRPr="000C34AA">
        <w:tab/>
        <w:t>13</w:t>
      </w:r>
    </w:p>
    <w:p w:rsidR="009C332F" w:rsidRPr="000C34AA" w:rsidRDefault="009C332F">
      <w:pPr>
        <w:pStyle w:val="Innehll3"/>
      </w:pPr>
      <w:r w:rsidRPr="000C34AA">
        <w:t>5.2.1 Handläggningen av inkomstgarantier förs över till SPV</w:t>
      </w:r>
      <w:r w:rsidRPr="000C34AA">
        <w:tab/>
        <w:t>13</w:t>
      </w:r>
    </w:p>
    <w:p w:rsidR="009C332F" w:rsidRPr="000C34AA" w:rsidRDefault="009C332F">
      <w:pPr>
        <w:pStyle w:val="Innehll3"/>
      </w:pPr>
      <w:r w:rsidRPr="000C34AA">
        <w:t>5.2.2 Hur bör överflyttningen regleras?</w:t>
      </w:r>
      <w:r w:rsidRPr="000C34AA">
        <w:tab/>
        <w:t>14</w:t>
      </w:r>
    </w:p>
    <w:p w:rsidR="009C332F" w:rsidRPr="000C34AA" w:rsidRDefault="009C332F">
      <w:pPr>
        <w:pStyle w:val="Innehll3"/>
      </w:pPr>
      <w:r w:rsidRPr="000C34AA">
        <w:t>5.3 Nya administrativa rutiner</w:t>
      </w:r>
      <w:r w:rsidRPr="000C34AA">
        <w:tab/>
        <w:t>14</w:t>
      </w:r>
    </w:p>
    <w:p w:rsidR="009C332F" w:rsidRPr="000C34AA" w:rsidRDefault="009C332F">
      <w:pPr>
        <w:pStyle w:val="Innehll3"/>
      </w:pPr>
      <w:r w:rsidRPr="000C34AA">
        <w:t>5.3.1 Kontrolluppgifter från skattemyndigheter</w:t>
      </w:r>
      <w:r w:rsidRPr="000C34AA">
        <w:tab/>
        <w:t>15</w:t>
      </w:r>
    </w:p>
    <w:p w:rsidR="009C332F" w:rsidRPr="000C34AA" w:rsidRDefault="009C332F">
      <w:pPr>
        <w:pStyle w:val="Innehll3"/>
      </w:pPr>
      <w:r w:rsidRPr="000C34AA">
        <w:t>5.3.2 Uppgifter från den slutliga taxeringen</w:t>
      </w:r>
      <w:r w:rsidRPr="000C34AA">
        <w:tab/>
        <w:t>16</w:t>
      </w:r>
    </w:p>
    <w:p w:rsidR="009C332F" w:rsidRPr="000C34AA" w:rsidRDefault="009C332F">
      <w:pPr>
        <w:pStyle w:val="Innehll3"/>
      </w:pPr>
      <w:r w:rsidRPr="000C34AA">
        <w:t>5.3.3 Garantitagares skyldighet att lämna uppgifter</w:t>
      </w:r>
      <w:r w:rsidRPr="000C34AA">
        <w:tab/>
        <w:t>16</w:t>
      </w:r>
    </w:p>
    <w:p w:rsidR="009C332F" w:rsidRPr="000C34AA" w:rsidRDefault="009C332F">
      <w:pPr>
        <w:pStyle w:val="Innehll4"/>
      </w:pPr>
      <w:r w:rsidRPr="000C34AA">
        <w:t>Riksdagsförvaltningens rätt att begära uppgifter från garantitagaren</w:t>
      </w:r>
      <w:r w:rsidRPr="000C34AA">
        <w:tab/>
        <w:t>1</w:t>
      </w:r>
      <w:bookmarkStart w:id="5" w:name="_Hlt20645527"/>
      <w:r w:rsidRPr="000C34AA">
        <w:t>6</w:t>
      </w:r>
      <w:bookmarkEnd w:id="5"/>
    </w:p>
    <w:p w:rsidR="009C332F" w:rsidRPr="000C34AA" w:rsidRDefault="009C332F">
      <w:pPr>
        <w:pStyle w:val="Innehll4"/>
      </w:pPr>
      <w:r w:rsidRPr="000C34AA">
        <w:t>Utbetalning av inkomstgaranti bör kunna stoppas i vissa fall</w:t>
      </w:r>
      <w:r w:rsidRPr="000C34AA">
        <w:tab/>
        <w:t>18</w:t>
      </w:r>
    </w:p>
    <w:p w:rsidR="009C332F" w:rsidRPr="000C34AA" w:rsidRDefault="009C332F">
      <w:pPr>
        <w:pStyle w:val="Innehll4"/>
      </w:pPr>
      <w:r w:rsidRPr="000C34AA">
        <w:t>Ändrade förhållanden</w:t>
      </w:r>
      <w:r w:rsidRPr="000C34AA">
        <w:tab/>
        <w:t>18</w:t>
      </w:r>
    </w:p>
    <w:p w:rsidR="009C332F" w:rsidRPr="000C34AA" w:rsidRDefault="009C332F">
      <w:pPr>
        <w:pStyle w:val="Innehll4"/>
      </w:pPr>
      <w:r w:rsidRPr="000C34AA">
        <w:t>Heder och samvete</w:t>
      </w:r>
      <w:r w:rsidRPr="000C34AA">
        <w:tab/>
        <w:t>19</w:t>
      </w:r>
    </w:p>
    <w:p w:rsidR="009C332F" w:rsidRPr="000C34AA" w:rsidRDefault="009C332F">
      <w:pPr>
        <w:pStyle w:val="Innehll3"/>
      </w:pPr>
      <w:r w:rsidRPr="000C34AA">
        <w:t>5.3.4 Skyldighet för utbetalare att lämna uppgifter</w:t>
      </w:r>
      <w:r w:rsidRPr="000C34AA">
        <w:tab/>
        <w:t>19</w:t>
      </w:r>
    </w:p>
    <w:p w:rsidR="009C332F" w:rsidRPr="000C34AA" w:rsidRDefault="009C332F">
      <w:pPr>
        <w:pStyle w:val="Innehll3"/>
      </w:pPr>
      <w:r w:rsidRPr="000C34AA">
        <w:t>5.3.5 Sekretess</w:t>
      </w:r>
      <w:r w:rsidRPr="000C34AA">
        <w:tab/>
        <w:t>20</w:t>
      </w:r>
    </w:p>
    <w:p w:rsidR="009C332F" w:rsidRPr="000C34AA" w:rsidRDefault="009C332F">
      <w:pPr>
        <w:pStyle w:val="Innehll3"/>
      </w:pPr>
      <w:r w:rsidRPr="000C34AA">
        <w:t>5.3.6 Omprövning och återbetalning</w:t>
      </w:r>
      <w:r w:rsidRPr="000C34AA">
        <w:tab/>
        <w:t>23</w:t>
      </w:r>
    </w:p>
    <w:p w:rsidR="009C332F" w:rsidRPr="000C34AA" w:rsidRDefault="009C332F">
      <w:pPr>
        <w:pStyle w:val="Innehll3"/>
      </w:pPr>
      <w:r w:rsidRPr="000C34AA">
        <w:t>5.3.7 Riksdagsförvaltningen bör besluta om rätt till inkomstgaranti utan ansökan</w:t>
      </w:r>
      <w:r w:rsidRPr="000C34AA">
        <w:tab/>
        <w:t>24</w:t>
      </w:r>
    </w:p>
    <w:p w:rsidR="009C332F" w:rsidRPr="000C34AA" w:rsidRDefault="009C332F">
      <w:pPr>
        <w:pStyle w:val="Innehll2"/>
      </w:pPr>
      <w:r w:rsidRPr="000C34AA">
        <w:t>5.4 Överklagande</w:t>
      </w:r>
      <w:r w:rsidRPr="000C34AA">
        <w:tab/>
        <w:t>25</w:t>
      </w:r>
    </w:p>
    <w:p w:rsidR="009C332F" w:rsidRPr="000C34AA" w:rsidRDefault="009C332F">
      <w:pPr>
        <w:pStyle w:val="Innehll2"/>
      </w:pPr>
      <w:r w:rsidRPr="000C34AA">
        <w:t>5.5 Ikraftträdande och behovet av övergångsbestämmelser</w:t>
      </w:r>
      <w:r w:rsidRPr="000C34AA">
        <w:tab/>
        <w:t>26</w:t>
      </w:r>
    </w:p>
    <w:p w:rsidR="009C332F" w:rsidRPr="000C34AA" w:rsidRDefault="009C332F">
      <w:pPr>
        <w:pStyle w:val="Innehll1"/>
      </w:pPr>
      <w:r w:rsidRPr="000C34AA">
        <w:t>6 Författningskommentar</w:t>
      </w:r>
      <w:r w:rsidRPr="000C34AA">
        <w:tab/>
        <w:t>28</w:t>
      </w:r>
    </w:p>
    <w:p w:rsidR="009C332F" w:rsidRPr="000C34AA" w:rsidRDefault="009C332F">
      <w:pPr>
        <w:pStyle w:val="Innehll2"/>
      </w:pPr>
      <w:r w:rsidRPr="000C34AA">
        <w:t>6.1 Förslaget till lag om ändring i sekretesslagen (1980:100)</w:t>
      </w:r>
      <w:r w:rsidRPr="000C34AA">
        <w:tab/>
        <w:t>28</w:t>
      </w:r>
    </w:p>
    <w:p w:rsidR="009C332F" w:rsidRPr="000C34AA" w:rsidRDefault="009C332F">
      <w:pPr>
        <w:pStyle w:val="Innehll2"/>
      </w:pPr>
      <w:r w:rsidRPr="000C34AA">
        <w:t>6.2 Förslaget till lag om ändring i lagen (1989:186) om överklagande av administrativa beslut av riksdagsförvaltningen och riksdagens myndigheter</w:t>
      </w:r>
      <w:r w:rsidRPr="000C34AA">
        <w:tab/>
        <w:t>28</w:t>
      </w:r>
    </w:p>
    <w:p w:rsidR="009C332F" w:rsidRPr="000C34AA" w:rsidRDefault="009C332F">
      <w:pPr>
        <w:pStyle w:val="Innehll2"/>
      </w:pPr>
      <w:r w:rsidRPr="000C34AA">
        <w:t>6.3 Förslaget till lag om ändring i lagen (1994:1065) om ekonomiska villkor för riksdagens ledamöter</w:t>
      </w:r>
      <w:r w:rsidRPr="000C34AA">
        <w:tab/>
        <w:t>29</w:t>
      </w:r>
    </w:p>
    <w:p w:rsidR="009C332F" w:rsidRPr="000C34AA" w:rsidRDefault="009C332F">
      <w:pPr>
        <w:pStyle w:val="Innehll2"/>
      </w:pPr>
      <w:r w:rsidRPr="000C34AA">
        <w:t>6.4 Förslaget till lag om ändring i lagen (1996:304) om arvode m.m. till Sveriges företrädare i Europaparlamentet</w:t>
      </w:r>
      <w:r w:rsidRPr="000C34AA">
        <w:tab/>
        <w:t>31</w:t>
      </w:r>
    </w:p>
    <w:p w:rsidR="009C332F" w:rsidRPr="000C34AA" w:rsidRDefault="009C332F">
      <w:pPr>
        <w:pStyle w:val="Innehll2"/>
      </w:pPr>
      <w:r w:rsidRPr="000C34AA">
        <w:t>6.5 Förslaget till lag om ändring i lagen (2000:419) med instruktion för riksdagsförvaltningen</w:t>
      </w:r>
      <w:r w:rsidRPr="000C34AA">
        <w:tab/>
        <w:t>31</w:t>
      </w:r>
    </w:p>
    <w:p w:rsidR="009C332F" w:rsidRPr="000C34AA" w:rsidRDefault="009C332F">
      <w:pPr>
        <w:pStyle w:val="Innehll1"/>
      </w:pPr>
      <w:r w:rsidRPr="000C34AA">
        <w:t>7 Riksdagsstyrelsens lagförslag</w:t>
      </w:r>
      <w:r w:rsidRPr="000C34AA">
        <w:tab/>
        <w:t>33</w:t>
      </w:r>
    </w:p>
    <w:p w:rsidR="009C332F" w:rsidRPr="000C34AA" w:rsidRDefault="009C332F">
      <w:pPr>
        <w:pStyle w:val="Innehll2"/>
      </w:pPr>
      <w:r w:rsidRPr="000C34AA">
        <w:t>7.1 Förslag till lag om ändring i sekretesslagen (1980:100)</w:t>
      </w:r>
      <w:r w:rsidRPr="000C34AA">
        <w:tab/>
        <w:t>33</w:t>
      </w:r>
    </w:p>
    <w:p w:rsidR="009C332F" w:rsidRPr="000C34AA" w:rsidRDefault="009C332F">
      <w:pPr>
        <w:pStyle w:val="Innehll2"/>
      </w:pPr>
      <w:r w:rsidRPr="000C34AA">
        <w:t>7.2 Förslag till lag om ändring i lagen (1989:186) om överklagande av administrativa beslut av riksdagsförvaltningen och rik</w:t>
      </w:r>
      <w:r w:rsidRPr="000C34AA">
        <w:t>s</w:t>
      </w:r>
      <w:r w:rsidRPr="000C34AA">
        <w:t>dagens myndigheter</w:t>
      </w:r>
      <w:r w:rsidRPr="000C34AA">
        <w:tab/>
        <w:t>34</w:t>
      </w:r>
    </w:p>
    <w:p w:rsidR="009C332F" w:rsidRPr="000C34AA" w:rsidRDefault="009C332F">
      <w:pPr>
        <w:pStyle w:val="Innehll2"/>
      </w:pPr>
      <w:r w:rsidRPr="000C34AA">
        <w:t>7.3 Förslag till lag om ändring i lagen (1994:1065) om ekonomiska villkor för riksdagens ledamöter</w:t>
      </w:r>
      <w:r w:rsidRPr="000C34AA">
        <w:tab/>
        <w:t>35</w:t>
      </w:r>
    </w:p>
    <w:p w:rsidR="009C332F" w:rsidRPr="000C34AA" w:rsidRDefault="009C332F">
      <w:pPr>
        <w:pStyle w:val="Innehll2"/>
      </w:pPr>
      <w:r w:rsidRPr="000C34AA">
        <w:t>7.4 Förslag till lag om ändring i lagen (1996:304) om arvode m.m. till Sveriges företrädare i Europaparlamentet</w:t>
      </w:r>
      <w:r w:rsidRPr="000C34AA">
        <w:tab/>
        <w:t>37</w:t>
      </w:r>
    </w:p>
    <w:p w:rsidR="009C332F" w:rsidRPr="000C34AA" w:rsidRDefault="009C332F">
      <w:pPr>
        <w:pStyle w:val="Innehll2"/>
      </w:pPr>
      <w:r w:rsidRPr="000C34AA">
        <w:t>7.5 Förslag till lag om ändring i lagen (2000:419) med instruktion för riksdagsförvaltningen</w:t>
      </w:r>
      <w:r w:rsidRPr="000C34AA">
        <w:tab/>
        <w:t>39</w:t>
      </w:r>
    </w:p>
    <w:p w:rsidR="009C332F" w:rsidRPr="000C34AA" w:rsidRDefault="009C332F"/>
    <w:p w:rsidR="009C332F" w:rsidRPr="000C34AA" w:rsidRDefault="009C332F">
      <w:pPr>
        <w:pStyle w:val="Normaltindrag"/>
        <w:sectPr w:rsidR="00000000" w:rsidRPr="000C34A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C332F" w:rsidRPr="000C34AA" w:rsidRDefault="009C332F">
      <w:pPr>
        <w:pStyle w:val="Rubrik1"/>
        <w:spacing w:after="240"/>
        <w:rPr>
          <w:noProof w:val="0"/>
        </w:rPr>
      </w:pPr>
      <w:bookmarkStart w:id="6" w:name="_Toc20645482"/>
      <w:r w:rsidRPr="000C34AA">
        <w:rPr>
          <w:noProof w:val="0"/>
        </w:rPr>
        <w:t>Riksdagsstyrelsens förslag till riksdagsbeslut</w:t>
      </w:r>
      <w:bookmarkEnd w:id="6"/>
    </w:p>
    <w:p w:rsidR="009C332F" w:rsidRPr="000C34AA" w:rsidRDefault="009C332F">
      <w:r w:rsidRPr="000C34AA">
        <w:t xml:space="preserve">Med hänvisning till de motiveringar som framförts under riksdagsstyrelsens överväganden föreslår riksdagsstyrelsen att riksdagen antar de framlagda förslagen till </w:t>
      </w:r>
    </w:p>
    <w:p w:rsidR="009C332F" w:rsidRPr="000C34AA" w:rsidRDefault="009C332F">
      <w:r w:rsidRPr="000C34AA">
        <w:t>1. lag om ändring i sekretesslagen (1980:100),</w:t>
      </w:r>
    </w:p>
    <w:p w:rsidR="009C332F" w:rsidRPr="000C34AA" w:rsidRDefault="009C332F">
      <w:r w:rsidRPr="000C34AA">
        <w:t>2. lag om ändring i lagen (1989:186) om överklagande av administrativa beslut av riksdagsförvaltningen och riksdagens myndigheter,</w:t>
      </w:r>
    </w:p>
    <w:p w:rsidR="009C332F" w:rsidRPr="000C34AA" w:rsidRDefault="009C332F">
      <w:r w:rsidRPr="000C34AA">
        <w:t>3. lag om ändring i lagen (1994:1065) om ekonomiska villkor för riksdagens ledamöter,</w:t>
      </w:r>
    </w:p>
    <w:p w:rsidR="009C332F" w:rsidRPr="000C34AA" w:rsidRDefault="009C332F">
      <w:r w:rsidRPr="000C34AA">
        <w:t>4. lag om ändring i lagen (1996:304) om arvode m.m. till Sveriges företrädare i Europaparlamentet,</w:t>
      </w:r>
    </w:p>
    <w:p w:rsidR="009C332F" w:rsidRPr="000C34AA" w:rsidRDefault="009C332F">
      <w:r w:rsidRPr="000C34AA">
        <w:t>5. lag om ändring i lagen (2000:419) med instruktion för riksdagsförvaltnin</w:t>
      </w:r>
      <w:r w:rsidRPr="000C34AA">
        <w:t>g</w:t>
      </w:r>
      <w:r w:rsidRPr="000C34AA">
        <w:t>en.</w:t>
      </w:r>
    </w:p>
    <w:p w:rsidR="009C332F" w:rsidRPr="000C34AA" w:rsidRDefault="009C332F">
      <w:pPr>
        <w:pStyle w:val="Normaltindrag"/>
      </w:pPr>
      <w:bookmarkStart w:id="7" w:name="Nästa_Hpunkt"/>
      <w:bookmarkEnd w:id="7"/>
    </w:p>
    <w:p w:rsidR="009C332F" w:rsidRPr="000C34AA" w:rsidRDefault="009C332F">
      <w:pPr>
        <w:pStyle w:val="Utskriftsdatum"/>
      </w:pPr>
      <w:r w:rsidRPr="000C34AA">
        <w:t xml:space="preserve">Stockholm den 10 september 2002 </w:t>
      </w:r>
    </w:p>
    <w:p w:rsidR="009C332F" w:rsidRPr="000C34AA" w:rsidRDefault="009C332F">
      <w:r w:rsidRPr="000C34AA">
        <w:t>På riksdagsförvaltningens vägnar</w:t>
      </w:r>
    </w:p>
    <w:p w:rsidR="009C332F" w:rsidRPr="000C34AA" w:rsidRDefault="009C332F">
      <w:pPr>
        <w:rPr>
          <w:i/>
        </w:rPr>
      </w:pPr>
      <w:bookmarkStart w:id="8" w:name="Ordförande"/>
      <w:bookmarkEnd w:id="8"/>
    </w:p>
    <w:p w:rsidR="009C332F" w:rsidRPr="000C34AA" w:rsidRDefault="009C332F">
      <w:pPr>
        <w:rPr>
          <w:i/>
        </w:rPr>
      </w:pPr>
      <w:r w:rsidRPr="000C34AA">
        <w:rPr>
          <w:i/>
        </w:rPr>
        <w:t>Birgitta Dahl</w:t>
      </w:r>
    </w:p>
    <w:p w:rsidR="009C332F" w:rsidRPr="000C34AA" w:rsidRDefault="009C332F">
      <w:pPr>
        <w:pStyle w:val="Normaltindrag"/>
      </w:pPr>
    </w:p>
    <w:p w:rsidR="009C332F" w:rsidRPr="000C34AA" w:rsidRDefault="009C332F">
      <w:pPr>
        <w:pStyle w:val="Normaltindrag"/>
      </w:pPr>
    </w:p>
    <w:p w:rsidR="009C332F" w:rsidRPr="000C34AA" w:rsidRDefault="009C332F">
      <w:pPr>
        <w:pStyle w:val="Normaltindrag"/>
      </w:pPr>
    </w:p>
    <w:p w:rsidR="009C332F" w:rsidRPr="000C34AA" w:rsidRDefault="009C332F">
      <w:pPr>
        <w:pStyle w:val="Normaltindrag"/>
        <w:rPr>
          <w:i/>
        </w:rPr>
      </w:pPr>
      <w:r w:rsidRPr="000C34AA">
        <w:tab/>
      </w:r>
      <w:r w:rsidRPr="000C34AA">
        <w:tab/>
      </w:r>
      <w:r w:rsidRPr="000C34AA">
        <w:rPr>
          <w:i/>
        </w:rPr>
        <w:t>/Anders Forsberg</w:t>
      </w:r>
    </w:p>
    <w:p w:rsidR="009C332F" w:rsidRPr="000C34AA" w:rsidRDefault="009C332F">
      <w:pPr>
        <w:pStyle w:val="Normaltindrag"/>
        <w:rPr>
          <w:i/>
        </w:rPr>
      </w:pPr>
    </w:p>
    <w:p w:rsidR="009C332F" w:rsidRPr="000C34AA" w:rsidRDefault="009C332F">
      <w:pPr>
        <w:pStyle w:val="Normaltindrag"/>
      </w:pPr>
    </w:p>
    <w:p w:rsidR="009C332F" w:rsidRPr="000C34AA" w:rsidRDefault="009C332F">
      <w:pPr>
        <w:pStyle w:val="Normaltindrag"/>
      </w:pPr>
      <w:bookmarkStart w:id="9" w:name="Deltagare"/>
      <w:bookmarkEnd w:id="9"/>
    </w:p>
    <w:p w:rsidR="009C332F" w:rsidRPr="000C34AA" w:rsidRDefault="009C332F">
      <w:pPr>
        <w:pStyle w:val="Normaltindrag"/>
        <w:sectPr w:rsidR="00000000" w:rsidRPr="000C34A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C332F" w:rsidRPr="000C34AA" w:rsidRDefault="009C332F">
      <w:pPr>
        <w:pStyle w:val="Rubrik1"/>
        <w:spacing w:after="240"/>
        <w:rPr>
          <w:noProof w:val="0"/>
        </w:rPr>
      </w:pPr>
      <w:bookmarkStart w:id="10" w:name="_Toc20645483"/>
      <w:r w:rsidRPr="000C34AA">
        <w:rPr>
          <w:noProof w:val="0"/>
        </w:rPr>
        <w:t>1 Redogörelse för ärendet</w:t>
      </w:r>
      <w:bookmarkEnd w:id="10"/>
    </w:p>
    <w:p w:rsidR="009C332F" w:rsidRPr="000C34AA" w:rsidRDefault="009C332F">
      <w:pPr>
        <w:spacing w:before="0"/>
      </w:pPr>
      <w:r w:rsidRPr="000C34AA">
        <w:t>Den 29 mars 2000 beslutade riksdagens förvaltningsstyrelse att ge riksdag</w:t>
      </w:r>
      <w:r w:rsidRPr="000C34AA">
        <w:t>s</w:t>
      </w:r>
      <w:r w:rsidRPr="000C34AA">
        <w:t>förvaltningen i uppdrag att genomföra en översyn av inkomstgarantins nuv</w:t>
      </w:r>
      <w:r w:rsidRPr="000C34AA">
        <w:t>a</w:t>
      </w:r>
      <w:r w:rsidRPr="000C34AA">
        <w:t>rande rapporteringssystem och återkomma med förslag till nya administrativa rutiner. Bakgrunden var att en uppföljning av årsavstämningar för inkomstg</w:t>
      </w:r>
      <w:r w:rsidRPr="000C34AA">
        <w:t>a</w:t>
      </w:r>
      <w:r w:rsidRPr="000C34AA">
        <w:t>rantier under år 1999 visat att systemet för rapportering av preliminära i</w:t>
      </w:r>
      <w:r w:rsidRPr="000C34AA">
        <w:t>n</w:t>
      </w:r>
      <w:r w:rsidRPr="000C34AA">
        <w:t xml:space="preserve">komstuppgifter inte hade fungerat tillfredsställande. Uppdraget skulle därför inriktas på att ta fram ett nytt och smidigare system att beräkna och rapportera inkomster under löpande år. </w:t>
      </w:r>
    </w:p>
    <w:p w:rsidR="009C332F" w:rsidRPr="000C34AA" w:rsidRDefault="009C332F">
      <w:pPr>
        <w:pStyle w:val="Normaltindrag"/>
      </w:pPr>
      <w:r w:rsidRPr="000C34AA">
        <w:t>I december 2001 lämnades</w:t>
      </w:r>
      <w:r w:rsidRPr="000C34AA">
        <w:t xml:space="preserve"> ett förslag till riksdagsstyrelsen som innebar nya administrativa rutiner för inkomstgarantier. De nya rutinerna innebar i huvudsak att rapporteringen av preliminära inkomster skulle ske årsvis i stället för som hittills månadsvis. Denna rapportering skulle enligt förslaget vara lika detaljerad som nuvarande månadsrapport.</w:t>
      </w:r>
    </w:p>
    <w:p w:rsidR="009C332F" w:rsidRPr="000C34AA" w:rsidRDefault="009C332F">
      <w:pPr>
        <w:pStyle w:val="Normaltindrag"/>
      </w:pPr>
      <w:r w:rsidRPr="000C34AA">
        <w:t>Förslaget till nya administrativa rutiner m.m. för inkomstgarantier bordl</w:t>
      </w:r>
      <w:r w:rsidRPr="000C34AA">
        <w:t>a</w:t>
      </w:r>
      <w:r w:rsidRPr="000C34AA">
        <w:t>des av riksdagsstyrelsen. Med hänsyn till de aspekter som framfördes i sa</w:t>
      </w:r>
      <w:r w:rsidRPr="000C34AA">
        <w:t>m</w:t>
      </w:r>
      <w:r w:rsidRPr="000C34AA">
        <w:t xml:space="preserve">band med bordläggningen tog förvaltningen fram ett nytt förslag. </w:t>
      </w:r>
    </w:p>
    <w:p w:rsidR="009C332F" w:rsidRPr="000C34AA" w:rsidRDefault="009C332F">
      <w:pPr>
        <w:pStyle w:val="Normaltindrag"/>
      </w:pPr>
      <w:r w:rsidRPr="000C34AA">
        <w:t>Det nya förslaget innebar att den årliga rapporteringen – i likhet med vad som gäller för statliga chefspensioner – skulle vara mindre detaljerad samt att Statens pensionsverk (SPV) skulle överta administrationen av inkomstgara</w:t>
      </w:r>
      <w:r w:rsidRPr="000C34AA">
        <w:t>n</w:t>
      </w:r>
      <w:r w:rsidRPr="000C34AA">
        <w:t xml:space="preserve">tier till f.d. riksdagsledamöter. </w:t>
      </w:r>
    </w:p>
    <w:p w:rsidR="009C332F" w:rsidRPr="000C34AA" w:rsidRDefault="009C332F">
      <w:pPr>
        <w:pStyle w:val="Normaltindrag"/>
      </w:pPr>
      <w:r w:rsidRPr="000C34AA">
        <w:t xml:space="preserve">Styrelsen beslutade i februari 2002 att ge riksdagsförvaltningen i uppdrag att ta fram ett detaljerat förslag som utgår från principen att inkomstgarantier till f.d. ledamöter ansluts till den handläggningsordning som gäller för statliga chefspensioner m.fl. och som innebär att SPV övertar den administrativa hanteringen för utbetalning av garantin. </w:t>
      </w:r>
    </w:p>
    <w:p w:rsidR="009C332F" w:rsidRPr="000C34AA" w:rsidRDefault="009C332F">
      <w:pPr>
        <w:pStyle w:val="Normaltindrag"/>
      </w:pPr>
      <w:r w:rsidRPr="000C34AA">
        <w:t xml:space="preserve">Under våren 2002 har Riksdagens revisorer med hjälp av KPMG Bohlins AB granskat systemet med inkomstgaranti för riksdagledamöter. Revisorerna delar KPMG:s bedömning att kontrollen behöver förbättras, men revisorerna tar inte ställning till hur detta skall göras i detalj. Revisorerna konstaterar att vissa av de förslag KPMG lagt fram kräver ytterligare utredning. </w:t>
      </w:r>
    </w:p>
    <w:p w:rsidR="009C332F" w:rsidRPr="000C34AA" w:rsidRDefault="009C332F">
      <w:pPr>
        <w:pStyle w:val="Normaltindrag"/>
      </w:pPr>
      <w:r w:rsidRPr="000C34AA">
        <w:t xml:space="preserve">I ett par frågor tar Riksdagens revisorer dock ställning. Dels bör det enligt revisorerna övervägas att slopa rutinen med månadsrapportering. Dels finner revisorerna det rimligt att den administrativa hanteringen av utbetalningarna överförs till SPV. </w:t>
      </w:r>
    </w:p>
    <w:p w:rsidR="009C332F" w:rsidRPr="000C34AA" w:rsidRDefault="009C332F">
      <w:pPr>
        <w:pStyle w:val="Normaltindrag"/>
      </w:pPr>
      <w:r w:rsidRPr="000C34AA">
        <w:t xml:space="preserve">I detta ärende övervägs de tidigare förslagen liksom de som KPMG lagt fram. </w:t>
      </w:r>
    </w:p>
    <w:p w:rsidR="009C332F" w:rsidRPr="000C34AA" w:rsidRDefault="009C332F">
      <w:pPr>
        <w:pStyle w:val="Normaltindrag"/>
      </w:pPr>
    </w:p>
    <w:p w:rsidR="009C332F" w:rsidRPr="000C34AA" w:rsidRDefault="009C332F">
      <w:pPr>
        <w:pStyle w:val="Normaltindrag"/>
        <w:sectPr w:rsidR="00000000" w:rsidRPr="000C34A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C332F" w:rsidRPr="000C34AA" w:rsidRDefault="009C332F">
      <w:pPr>
        <w:pStyle w:val="Rubrik1"/>
        <w:spacing w:after="240"/>
        <w:rPr>
          <w:noProof w:val="0"/>
        </w:rPr>
      </w:pPr>
      <w:bookmarkStart w:id="11" w:name="_Toc20645484"/>
      <w:r w:rsidRPr="000C34AA">
        <w:rPr>
          <w:noProof w:val="0"/>
        </w:rPr>
        <w:t>2 Det nuvarande systemet</w:t>
      </w:r>
      <w:bookmarkEnd w:id="11"/>
      <w:r w:rsidRPr="000C34AA">
        <w:rPr>
          <w:noProof w:val="0"/>
        </w:rPr>
        <w:t xml:space="preserve"> </w:t>
      </w:r>
    </w:p>
    <w:p w:rsidR="009C332F" w:rsidRPr="000C34AA" w:rsidRDefault="009C332F">
      <w:pPr>
        <w:pStyle w:val="Rubrik2"/>
        <w:spacing w:before="0"/>
      </w:pPr>
      <w:bookmarkStart w:id="12" w:name="_Toc20645485"/>
      <w:r w:rsidRPr="000C34AA">
        <w:t>2.1 Inkomstgaranti för riksdagens ledamöter</w:t>
      </w:r>
      <w:bookmarkEnd w:id="12"/>
    </w:p>
    <w:p w:rsidR="009C332F" w:rsidRPr="000C34AA" w:rsidRDefault="009C332F">
      <w:pPr>
        <w:tabs>
          <w:tab w:val="left" w:pos="5812"/>
        </w:tabs>
        <w:ind w:right="-1"/>
      </w:pPr>
      <w:r w:rsidRPr="000C34AA">
        <w:t>Bestämmelser om inkomstgaranti finns i 13 kap. lagen (1994:1065) om ek</w:t>
      </w:r>
      <w:r w:rsidRPr="000C34AA">
        <w:t>o</w:t>
      </w:r>
      <w:r w:rsidRPr="000C34AA">
        <w:t>nomiska villkor för riksdagens ledamöter, nedan kallad ersättningslagen. Reglerna innebär i huvudsak följande.</w:t>
      </w:r>
    </w:p>
    <w:p w:rsidR="009C332F" w:rsidRPr="000C34AA" w:rsidRDefault="009C332F">
      <w:pPr>
        <w:pStyle w:val="Normaltindrag"/>
      </w:pPr>
      <w:r w:rsidRPr="000C34AA">
        <w:t>En riksdagsledamot som lämnar sitt uppdrag efter minst tre års samma</w:t>
      </w:r>
      <w:r w:rsidRPr="000C34AA">
        <w:t>n</w:t>
      </w:r>
      <w:r w:rsidRPr="000C34AA">
        <w:t>hängande tid i riksdagen och som inte fyllt 65 år är berättigad till inkomstg</w:t>
      </w:r>
      <w:r w:rsidRPr="000C34AA">
        <w:t>a</w:t>
      </w:r>
      <w:r w:rsidRPr="000C34AA">
        <w:t>ranti. För den som varit riksdagsledamot kortare tid än sex hela sammanhän</w:t>
      </w:r>
      <w:r w:rsidRPr="000C34AA">
        <w:t>g</w:t>
      </w:r>
      <w:r w:rsidRPr="000C34AA">
        <w:t xml:space="preserve">ande år gäller inkomstgarantin under ett år och är 80 %  (f.n. 33 200 kr per månad) av garantiunderlaget. Det underlaget består av ledamotsarvodet vid avgången samt ev. fasta tillägg. Uppgår tiden i riksdagen till mer än sex sammanhängande år gäller inkomstgarantin i två år, om riksdagsledamoten inte uppnått 40 års ålder. Har ledamoten uppnått 40 men inte </w:t>
      </w:r>
      <w:r w:rsidRPr="000C34AA">
        <w:t>50 års ålder gäller inkomstgarantin i fem år. Om ledamoten uppnått 50 års ålder vid a</w:t>
      </w:r>
      <w:r w:rsidRPr="000C34AA">
        <w:t>v</w:t>
      </w:r>
      <w:r w:rsidRPr="000C34AA">
        <w:t xml:space="preserve">gången gäller garantin till ingången av den månad då han eller hon fyller 65 år. </w:t>
      </w:r>
    </w:p>
    <w:p w:rsidR="009C332F" w:rsidRPr="000C34AA" w:rsidRDefault="009C332F">
      <w:pPr>
        <w:pStyle w:val="Normaltindrag"/>
      </w:pPr>
      <w:r w:rsidRPr="000C34AA">
        <w:t>Under det första året är inkomstgarantin alltid 80 % av underlaget. Däre</w:t>
      </w:r>
      <w:r w:rsidRPr="000C34AA">
        <w:t>f</w:t>
      </w:r>
      <w:r w:rsidRPr="000C34AA">
        <w:t xml:space="preserve">ter beror garantins storlek på hur länge ledamoten suttit i riksdagen. För hel inkomstgaranti krävs 12 års tjänstgöring i riksdagen. Garantin är då 66 % av garantiunderlaget (f.n. 27 390 kr). För den som tjänstgjort mellan 6 och 11 år är garantin mellan 33 och 60,5 % av garantiunderlaget. </w:t>
      </w:r>
    </w:p>
    <w:p w:rsidR="009C332F" w:rsidRPr="000C34AA" w:rsidRDefault="009C332F">
      <w:pPr>
        <w:pStyle w:val="Normaltindrag"/>
      </w:pPr>
      <w:r w:rsidRPr="000C34AA">
        <w:t>Inkomstgarantin reduceras om garantitagaren har vissa andra inkomster. Dock skall inkomster motsvarande ett prisbasbelopp per år undantas vid samordningen (f.n. 3 158 kr per månad). Att ersättningsbeloppet skulle min</w:t>
      </w:r>
      <w:r w:rsidRPr="000C34AA">
        <w:t>s</w:t>
      </w:r>
      <w:r w:rsidRPr="000C34AA">
        <w:t>kas om garantitagaren har andra inkomster var en viktig förändring i förhå</w:t>
      </w:r>
      <w:r w:rsidRPr="000C34AA">
        <w:t>l</w:t>
      </w:r>
      <w:r w:rsidRPr="000C34AA">
        <w:t xml:space="preserve">lande till det tidigare systemet med visstidspension och avgångsersättning. </w:t>
      </w:r>
    </w:p>
    <w:p w:rsidR="009C332F" w:rsidRPr="000C34AA" w:rsidRDefault="009C332F">
      <w:pPr>
        <w:pStyle w:val="Rubrik2"/>
      </w:pPr>
      <w:bookmarkStart w:id="13" w:name="_Toc20645486"/>
      <w:r w:rsidRPr="000C34AA">
        <w:t>2.2 Inkomstgaranti för företrädare i Europaparlamentet</w:t>
      </w:r>
      <w:bookmarkEnd w:id="13"/>
    </w:p>
    <w:p w:rsidR="009C332F" w:rsidRPr="000C34AA" w:rsidRDefault="009C332F">
      <w:pPr>
        <w:tabs>
          <w:tab w:val="left" w:pos="5812"/>
        </w:tabs>
        <w:ind w:right="-1"/>
      </w:pPr>
      <w:r w:rsidRPr="000C34AA">
        <w:t>För den som är eller har varit både företrädare i Europaparlamentet och rik</w:t>
      </w:r>
      <w:r w:rsidRPr="000C34AA">
        <w:t>s</w:t>
      </w:r>
      <w:r w:rsidRPr="000C34AA">
        <w:t xml:space="preserve">dagsledamot gäller lagen (1996:304) om arvode m.m. till Sveriges företrädare i Europaparlamentet, nedan kallad företrädarlagen. Bestämmelserna i den lagen anknyter till bestämmelserna om inkomstgaranti i ersättningslagen. Om en f.d. riksdagsledamot tar plats i Europaparlamentet regleras hans rätt till inkomstgaranti uteslutande i företrädarlagen. </w:t>
      </w:r>
    </w:p>
    <w:p w:rsidR="009C332F" w:rsidRPr="000C34AA" w:rsidRDefault="009C332F">
      <w:pPr>
        <w:pStyle w:val="Rubrik2"/>
      </w:pPr>
      <w:bookmarkStart w:id="14" w:name="_Toc20645487"/>
      <w:r w:rsidRPr="000C34AA">
        <w:t>2.3 Handläggningsrutiner avseende inkomstgaranti</w:t>
      </w:r>
      <w:bookmarkEnd w:id="14"/>
    </w:p>
    <w:p w:rsidR="009C332F" w:rsidRPr="000C34AA" w:rsidRDefault="009C332F">
      <w:r w:rsidRPr="000C34AA">
        <w:t>Bestämmelser om administrativa rutiner för beslut och utbetalning av i</w:t>
      </w:r>
      <w:r w:rsidRPr="000C34AA">
        <w:t>n</w:t>
      </w:r>
      <w:r w:rsidRPr="000C34AA">
        <w:t>komstgaranti finns i tillämpningsföreskrifter till ersättningslagen och företr</w:t>
      </w:r>
      <w:r w:rsidRPr="000C34AA">
        <w:t>ä</w:t>
      </w:r>
      <w:r w:rsidRPr="000C34AA">
        <w:t xml:space="preserve">darlagen samt i anvisningar till blanketter för inkomstgarantin. </w:t>
      </w:r>
    </w:p>
    <w:p w:rsidR="009C332F" w:rsidRPr="000C34AA" w:rsidRDefault="009C332F">
      <w:pPr>
        <w:pStyle w:val="Rubrik4"/>
        <w:rPr>
          <w:noProof w:val="0"/>
        </w:rPr>
      </w:pPr>
      <w:bookmarkStart w:id="15" w:name="_Toc20645488"/>
      <w:r w:rsidRPr="000C34AA">
        <w:rPr>
          <w:noProof w:val="0"/>
        </w:rPr>
        <w:t>Information och beslut om inkomstgarantier</w:t>
      </w:r>
      <w:bookmarkEnd w:id="15"/>
    </w:p>
    <w:p w:rsidR="009C332F" w:rsidRPr="000C34AA" w:rsidRDefault="009C332F">
      <w:pPr>
        <w:tabs>
          <w:tab w:val="left" w:pos="5812"/>
        </w:tabs>
        <w:ind w:right="-1"/>
      </w:pPr>
      <w:r w:rsidRPr="000C34AA">
        <w:t>I samband med att en ledamot avgår lämnas såväl allmän som riktad inform</w:t>
      </w:r>
      <w:r w:rsidRPr="000C34AA">
        <w:t>a</w:t>
      </w:r>
      <w:r w:rsidRPr="000C34AA">
        <w:t>tion om reglerna för inkomstgaranti och pensionsförmåner. Varje enskild ledamot får information om vilka ersättningar han eller hon är berättigad till och storleken på dessa. Vidare sänds ansökningshandlingar ut.</w:t>
      </w:r>
    </w:p>
    <w:p w:rsidR="009C332F" w:rsidRPr="000C34AA" w:rsidRDefault="009C332F">
      <w:pPr>
        <w:pStyle w:val="Normaltindrag"/>
      </w:pPr>
      <w:r w:rsidRPr="000C34AA">
        <w:t>När ansökan lämnats in fattar riksdagsförvaltningen beslut om rätt till i</w:t>
      </w:r>
      <w:r w:rsidRPr="000C34AA">
        <w:t>n</w:t>
      </w:r>
      <w:r w:rsidRPr="000C34AA">
        <w:t>komstgaranti. Tillsammans med beslutet får ledamoten ett informationsmat</w:t>
      </w:r>
      <w:r w:rsidRPr="000C34AA">
        <w:t>e</w:t>
      </w:r>
      <w:r w:rsidRPr="000C34AA">
        <w:t>rial där rutinerna för inkomstrapportering och utbetalning av inkomstgaranti beskrivs samt blanketter för en månatlig rapportering av inkomster som p</w:t>
      </w:r>
      <w:r w:rsidRPr="000C34AA">
        <w:t>å</w:t>
      </w:r>
      <w:r w:rsidRPr="000C34AA">
        <w:t xml:space="preserve">verkar inkomstgarantin.  </w:t>
      </w:r>
    </w:p>
    <w:p w:rsidR="009C332F" w:rsidRPr="000C34AA" w:rsidRDefault="009C332F">
      <w:pPr>
        <w:pStyle w:val="Normaltindrag"/>
        <w:rPr>
          <w:b/>
          <w:i/>
        </w:rPr>
      </w:pPr>
      <w:r w:rsidRPr="000C34AA">
        <w:t>Om en ledamot inte lämnar någon ansökan fastställs inte någon rätt till i</w:t>
      </w:r>
      <w:r w:rsidRPr="000C34AA">
        <w:t>n</w:t>
      </w:r>
      <w:r w:rsidRPr="000C34AA">
        <w:t xml:space="preserve">komstgaranti. </w:t>
      </w:r>
    </w:p>
    <w:p w:rsidR="009C332F" w:rsidRPr="000C34AA" w:rsidRDefault="009C332F">
      <w:pPr>
        <w:pStyle w:val="Rubrik4"/>
        <w:rPr>
          <w:noProof w:val="0"/>
        </w:rPr>
      </w:pPr>
      <w:bookmarkStart w:id="16" w:name="_Toc20645489"/>
      <w:r w:rsidRPr="000C34AA">
        <w:rPr>
          <w:noProof w:val="0"/>
        </w:rPr>
        <w:t>Rapportering varje månad</w:t>
      </w:r>
      <w:bookmarkEnd w:id="16"/>
    </w:p>
    <w:p w:rsidR="009C332F" w:rsidRPr="000C34AA" w:rsidRDefault="009C332F">
      <w:pPr>
        <w:tabs>
          <w:tab w:val="left" w:pos="5812"/>
        </w:tabs>
        <w:ind w:right="-1"/>
      </w:pPr>
      <w:r w:rsidRPr="000C34AA">
        <w:t>De uppgifter som lämnats på ansökningsblanketten ligger till grund för om och i så fall hur stort avdrag som skall göras på den utbetalning som sker den första månaden. Därefter skall garantitagaren en gång per månad, före den 5:e, skicka in en redogörelse för faktiska inkomster föregående månad och en preliminär beräkning av inkomster för aktuell månad. Utbetalning av i</w:t>
      </w:r>
      <w:r w:rsidRPr="000C34AA">
        <w:t>n</w:t>
      </w:r>
      <w:r w:rsidRPr="000C34AA">
        <w:t xml:space="preserve">komstgaranti sker den 25:e i varje månad. </w:t>
      </w:r>
    </w:p>
    <w:p w:rsidR="009C332F" w:rsidRPr="000C34AA" w:rsidRDefault="009C332F">
      <w:pPr>
        <w:pStyle w:val="Rubrik4"/>
        <w:rPr>
          <w:noProof w:val="0"/>
        </w:rPr>
      </w:pPr>
      <w:bookmarkStart w:id="17" w:name="_Toc20645490"/>
      <w:r w:rsidRPr="000C34AA">
        <w:rPr>
          <w:noProof w:val="0"/>
        </w:rPr>
        <w:t>Rutiner för när månadsrapport uteblir</w:t>
      </w:r>
      <w:bookmarkEnd w:id="17"/>
    </w:p>
    <w:p w:rsidR="009C332F" w:rsidRPr="000C34AA" w:rsidRDefault="009C332F">
      <w:pPr>
        <w:tabs>
          <w:tab w:val="left" w:pos="5812"/>
        </w:tabs>
        <w:ind w:right="-1"/>
      </w:pPr>
      <w:r w:rsidRPr="000C34AA">
        <w:t>Om garantitagaren inte skickar in någon inkomstuppgift, betalas inkomstg</w:t>
      </w:r>
      <w:r w:rsidRPr="000C34AA">
        <w:t>a</w:t>
      </w:r>
      <w:r w:rsidRPr="000C34AA">
        <w:t>ranti ut med samma belopp som tidigare i ytterligare två månader. Påminne</w:t>
      </w:r>
      <w:r w:rsidRPr="000C34AA">
        <w:t>l</w:t>
      </w:r>
      <w:r w:rsidRPr="000C34AA">
        <w:t>ser sänds från riksdagsförvaltningen till garantitagaren. Om garantitagaren inte hör av sig, upphör utbetalningen tills han eller hon inkommit med begä</w:t>
      </w:r>
      <w:r w:rsidRPr="000C34AA">
        <w:t>r</w:t>
      </w:r>
      <w:r w:rsidRPr="000C34AA">
        <w:t xml:space="preserve">da inkomstrapporter. </w:t>
      </w:r>
    </w:p>
    <w:p w:rsidR="009C332F" w:rsidRPr="000C34AA" w:rsidRDefault="009C332F">
      <w:pPr>
        <w:pStyle w:val="Rubrik4"/>
        <w:rPr>
          <w:noProof w:val="0"/>
        </w:rPr>
      </w:pPr>
      <w:bookmarkStart w:id="18" w:name="_Toc20645491"/>
      <w:r w:rsidRPr="000C34AA">
        <w:rPr>
          <w:noProof w:val="0"/>
        </w:rPr>
        <w:t>Årsavstämning</w:t>
      </w:r>
      <w:bookmarkEnd w:id="18"/>
    </w:p>
    <w:p w:rsidR="009C332F" w:rsidRPr="000C34AA" w:rsidRDefault="009C332F">
      <w:pPr>
        <w:tabs>
          <w:tab w:val="left" w:pos="5812"/>
        </w:tabs>
        <w:ind w:right="-1"/>
      </w:pPr>
      <w:r w:rsidRPr="000C34AA">
        <w:t>I mitten av januari varje år ombeds garantitagaren att lämna en årsuppgift för det gångna året. Årsuppgiften skall innehålla uppgift om de inkomster som påverkar inkomstgarantin. Den skall ha kommit in senast den 15 februari. Därefter görs en årsavstämning. Om årsuppgiften visar att garantitagaren har haft högre inkomster än vad som angetts i månadsrapporterna leder det till ett krav på återbetalning, som i vissa fall verkställs genom avdrag på kommande utbetalning. I andra fall skickas en faktura. Om årsu</w:t>
      </w:r>
      <w:r w:rsidRPr="000C34AA">
        <w:t>ppgiften visar att garant</w:t>
      </w:r>
      <w:r w:rsidRPr="000C34AA">
        <w:t>i</w:t>
      </w:r>
      <w:r w:rsidRPr="000C34AA">
        <w:t xml:space="preserve">tagaren har haft lägre inkomster, görs i regel en utbetalning till garantitagaren. </w:t>
      </w:r>
    </w:p>
    <w:p w:rsidR="009C332F" w:rsidRPr="000C34AA" w:rsidRDefault="009C332F">
      <w:pPr>
        <w:pStyle w:val="Rubrik4"/>
        <w:rPr>
          <w:noProof w:val="0"/>
        </w:rPr>
      </w:pPr>
      <w:bookmarkStart w:id="19" w:name="_Toc20645492"/>
      <w:r w:rsidRPr="000C34AA">
        <w:rPr>
          <w:noProof w:val="0"/>
        </w:rPr>
        <w:t>Fordringar</w:t>
      </w:r>
      <w:bookmarkEnd w:id="19"/>
    </w:p>
    <w:p w:rsidR="009C332F" w:rsidRPr="000C34AA" w:rsidRDefault="009C332F">
      <w:pPr>
        <w:tabs>
          <w:tab w:val="left" w:pos="5529"/>
          <w:tab w:val="left" w:pos="5812"/>
        </w:tabs>
        <w:ind w:right="-1"/>
      </w:pPr>
      <w:r w:rsidRPr="000C34AA">
        <w:t>Om möjligt räknas uppkomna fordringar av vid kommande utbetalningar. Om skulden överstiger 5 000 kr, delas avdraget upp på tre tillfällen om inte annat överenskommits med garantitagaren. Om det inte finns någon kommande utbetalning att göra avdrag på, sänds i stället en faktura. Vid för sen betalning debiteras dröjsmålsränta enligt 6 § räntelagen (1975:635), dvs. referensränta med tillägg av åtta procentenheter. I övrigt tas ingen ränta ut.</w:t>
      </w:r>
    </w:p>
    <w:p w:rsidR="009C332F" w:rsidRPr="000C34AA" w:rsidRDefault="009C332F">
      <w:pPr>
        <w:pStyle w:val="Rubrik2"/>
      </w:pPr>
      <w:bookmarkStart w:id="20" w:name="_Toc20645493"/>
      <w:r w:rsidRPr="000C34AA">
        <w:t>2.4 Handläggningsrutiner hos SPV avseende chefspensioner</w:t>
      </w:r>
      <w:bookmarkEnd w:id="20"/>
    </w:p>
    <w:p w:rsidR="009C332F" w:rsidRPr="000C34AA" w:rsidRDefault="009C332F">
      <w:pPr>
        <w:rPr>
          <w:snapToGrid w:val="0"/>
          <w:color w:val="000000"/>
        </w:rPr>
      </w:pPr>
      <w:r w:rsidRPr="000C34AA">
        <w:t xml:space="preserve">SPV har hand om statliga chefspensioner. Dessa regleras i </w:t>
      </w:r>
      <w:r w:rsidRPr="000C34AA">
        <w:rPr>
          <w:snapToGrid w:val="0"/>
          <w:color w:val="000000"/>
        </w:rPr>
        <w:t xml:space="preserve">förordningen (1995:1038) om statliga chefspensioner m.m. </w:t>
      </w:r>
      <w:r w:rsidRPr="000C34AA">
        <w:t>Verket hanterar också de s.k. förordnandepensionerna som gäller för dem som tillträtt en statlig förordna</w:t>
      </w:r>
      <w:r w:rsidRPr="000C34AA">
        <w:t>n</w:t>
      </w:r>
      <w:r w:rsidRPr="000C34AA">
        <w:t xml:space="preserve">detjänst före den 1 oktober 1995. I fråga om dessa gäller fortfarande den i övrigt upphävda förordningen </w:t>
      </w:r>
      <w:r w:rsidRPr="000C34AA">
        <w:rPr>
          <w:snapToGrid w:val="0"/>
          <w:color w:val="000000"/>
        </w:rPr>
        <w:t xml:space="preserve">(1991:1160) om förordnandepension m.m. </w:t>
      </w:r>
    </w:p>
    <w:p w:rsidR="009C332F" w:rsidRPr="000C34AA" w:rsidRDefault="009C332F">
      <w:pPr>
        <w:pStyle w:val="Normaltindrag"/>
        <w:rPr>
          <w:snapToGrid w:val="0"/>
        </w:rPr>
      </w:pPr>
      <w:r w:rsidRPr="000C34AA">
        <w:rPr>
          <w:snapToGrid w:val="0"/>
        </w:rPr>
        <w:t>Förordnandepension och chefspension skall minskas med inkomst av a</w:t>
      </w:r>
      <w:r w:rsidRPr="000C34AA">
        <w:rPr>
          <w:snapToGrid w:val="0"/>
        </w:rPr>
        <w:t>n</w:t>
      </w:r>
      <w:r w:rsidRPr="000C34AA">
        <w:rPr>
          <w:snapToGrid w:val="0"/>
        </w:rPr>
        <w:t>ställning eller annat förvärvsarbete som pensionstagare har för tiden före den månad som pensionstagaren fyller 65 år. Efter 65 års ålder samordnas i al</w:t>
      </w:r>
      <w:r w:rsidRPr="000C34AA">
        <w:rPr>
          <w:snapToGrid w:val="0"/>
        </w:rPr>
        <w:t>l</w:t>
      </w:r>
      <w:r w:rsidRPr="000C34AA">
        <w:rPr>
          <w:snapToGrid w:val="0"/>
        </w:rPr>
        <w:t>mänhet andra pensioner, såsom t.ex. ITP (Industrins och handelns tillägg</w:t>
      </w:r>
      <w:r w:rsidRPr="000C34AA">
        <w:rPr>
          <w:snapToGrid w:val="0"/>
        </w:rPr>
        <w:t>s</w:t>
      </w:r>
      <w:r w:rsidRPr="000C34AA">
        <w:rPr>
          <w:snapToGrid w:val="0"/>
        </w:rPr>
        <w:t>pension för tjänstemän).</w:t>
      </w:r>
    </w:p>
    <w:p w:rsidR="009C332F" w:rsidRPr="000C34AA" w:rsidRDefault="009C332F">
      <w:pPr>
        <w:pStyle w:val="Normaltindrag"/>
      </w:pPr>
      <w:r w:rsidRPr="000C34AA">
        <w:t>En pensionstagare med förordnandepension får under år 2002 tjäna upp till 109 800 kr per år utan att det påverkar pensionen. Motsvarande belopp för den som har chefspension är 58 308 kr.</w:t>
      </w:r>
    </w:p>
    <w:p w:rsidR="009C332F" w:rsidRPr="000C34AA" w:rsidRDefault="009C332F">
      <w:pPr>
        <w:pStyle w:val="Normaltindrag"/>
        <w:rPr>
          <w:snapToGrid w:val="0"/>
        </w:rPr>
      </w:pPr>
      <w:r w:rsidRPr="000C34AA">
        <w:rPr>
          <w:snapToGrid w:val="0"/>
        </w:rPr>
        <w:t>När en ansökan har kommit in till SPV, fattas ett beslut av SPV – i vissa fall av regeringen – om förordnandepension alternativt chefspension. Ett beslut om förordnandepension/chefspension fattas alltid, även om pensionst</w:t>
      </w:r>
      <w:r w:rsidRPr="000C34AA">
        <w:rPr>
          <w:snapToGrid w:val="0"/>
        </w:rPr>
        <w:t>a</w:t>
      </w:r>
      <w:r w:rsidRPr="000C34AA">
        <w:rPr>
          <w:snapToGrid w:val="0"/>
        </w:rPr>
        <w:t>garen har en annan inkomst som är mycket hög. På den inkomstuppgift som SPV begär in, behöver sökanden inte lämna uppgift om utbetalare, t.ex. a</w:t>
      </w:r>
      <w:r w:rsidRPr="000C34AA">
        <w:rPr>
          <w:snapToGrid w:val="0"/>
        </w:rPr>
        <w:t>r</w:t>
      </w:r>
      <w:r w:rsidRPr="000C34AA">
        <w:rPr>
          <w:snapToGrid w:val="0"/>
        </w:rPr>
        <w:t>betsgivare eller pensionsutbetalare – endast ett belopp skall anges. Kontan</w:t>
      </w:r>
      <w:r w:rsidRPr="000C34AA">
        <w:rPr>
          <w:snapToGrid w:val="0"/>
        </w:rPr>
        <w:t>t</w:t>
      </w:r>
      <w:r w:rsidRPr="000C34AA">
        <w:rPr>
          <w:snapToGrid w:val="0"/>
        </w:rPr>
        <w:t>principen används, vilket innebär att ersättningar skall redovisas för det år som de b</w:t>
      </w:r>
      <w:r w:rsidRPr="000C34AA">
        <w:rPr>
          <w:snapToGrid w:val="0"/>
        </w:rPr>
        <w:t>e</w:t>
      </w:r>
      <w:r w:rsidRPr="000C34AA">
        <w:rPr>
          <w:snapToGrid w:val="0"/>
        </w:rPr>
        <w:t>talas ut, oavsett vilket år ersättningen hänför sig till.</w:t>
      </w:r>
    </w:p>
    <w:p w:rsidR="009C332F" w:rsidRPr="000C34AA" w:rsidRDefault="009C332F">
      <w:pPr>
        <w:pStyle w:val="Normaltindrag"/>
        <w:rPr>
          <w:snapToGrid w:val="0"/>
        </w:rPr>
      </w:pPr>
      <w:r w:rsidRPr="000C34AA">
        <w:rPr>
          <w:snapToGrid w:val="0"/>
        </w:rPr>
        <w:t>Den som har förordnandepension eller statlig chefspension krävs av SPV i november (år 1) på preliminära inkomstuppgifter för kommande kalenderår.</w:t>
      </w:r>
      <w:r w:rsidRPr="000C34AA">
        <w:rPr>
          <w:snapToGrid w:val="0"/>
        </w:rPr>
        <w:t xml:space="preserve"> Med hänsyn till lämnade inkomstuppgifter betalas förordnandepe</w:t>
      </w:r>
      <w:r w:rsidRPr="000C34AA">
        <w:rPr>
          <w:snapToGrid w:val="0"/>
        </w:rPr>
        <w:t>n</w:t>
      </w:r>
      <w:r w:rsidRPr="000C34AA">
        <w:rPr>
          <w:snapToGrid w:val="0"/>
        </w:rPr>
        <w:t>sion/chefspension ut under år 2. Om inkomsten ändras, skall pensionstagaren anmäla detta till SPV. Slutlig reglering görs i februari/mars år 3, efter att SPV har krävt uppgifter om faktiska inkomster.</w:t>
      </w:r>
    </w:p>
    <w:p w:rsidR="009C332F" w:rsidRPr="000C34AA" w:rsidRDefault="009C332F">
      <w:pPr>
        <w:pStyle w:val="Normaltindrag"/>
        <w:rPr>
          <w:snapToGrid w:val="0"/>
        </w:rPr>
      </w:pPr>
      <w:r w:rsidRPr="000C34AA">
        <w:rPr>
          <w:snapToGrid w:val="0"/>
        </w:rPr>
        <w:t>Den som efter årsavstämning har pengar att fordra får ingen ränta. SPV tar inte heller ut någon ränta på återkrav som återbetalas enligt de villkor som anges i faktura, vilket i regel innebär att betalning skall ske inom en månad. För skuld som in</w:t>
      </w:r>
      <w:r w:rsidRPr="000C34AA">
        <w:rPr>
          <w:snapToGrid w:val="0"/>
        </w:rPr>
        <w:t>te betalas inom en månad tillämpas förordningen (1993:1138) om hantering av statliga fordringar. Den innebär att dröjsmål</w:t>
      </w:r>
      <w:r w:rsidRPr="000C34AA">
        <w:rPr>
          <w:snapToGrid w:val="0"/>
        </w:rPr>
        <w:t>s</w:t>
      </w:r>
      <w:r w:rsidRPr="000C34AA">
        <w:rPr>
          <w:snapToGrid w:val="0"/>
        </w:rPr>
        <w:t>ränta enligt räntelagen (1975:635) debiteras, dvs. gällande referensränta u</w:t>
      </w:r>
      <w:r w:rsidRPr="000C34AA">
        <w:rPr>
          <w:snapToGrid w:val="0"/>
        </w:rPr>
        <w:t>t</w:t>
      </w:r>
      <w:r w:rsidRPr="000C34AA">
        <w:rPr>
          <w:snapToGrid w:val="0"/>
        </w:rPr>
        <w:t>ökad med åtta procentenheter. Detsamma gäller om återbetalning inte sker i enlighet med en överenskommen avbetalningsplan. För krav som återbetalas enligt överenskommen avbetalningsplan debiteras ränta motsvarande statens utlåningsränta. Varje år får omkring tio pensionstagare pengar återbetalda, och cirka tio pe</w:t>
      </w:r>
      <w:r w:rsidRPr="000C34AA">
        <w:rPr>
          <w:snapToGrid w:val="0"/>
        </w:rPr>
        <w:t>nsionstagare krävs på åte</w:t>
      </w:r>
      <w:r w:rsidRPr="000C34AA">
        <w:rPr>
          <w:snapToGrid w:val="0"/>
        </w:rPr>
        <w:t>r</w:t>
      </w:r>
      <w:r w:rsidRPr="000C34AA">
        <w:rPr>
          <w:snapToGrid w:val="0"/>
        </w:rPr>
        <w:t xml:space="preserve">betalning, efter årsavstämningen. </w:t>
      </w:r>
    </w:p>
    <w:p w:rsidR="009C332F" w:rsidRPr="000C34AA" w:rsidRDefault="009C332F">
      <w:pPr>
        <w:pStyle w:val="Normaltindrag"/>
        <w:rPr>
          <w:snapToGrid w:val="0"/>
        </w:rPr>
      </w:pPr>
      <w:r w:rsidRPr="000C34AA">
        <w:rPr>
          <w:snapToGrid w:val="0"/>
        </w:rPr>
        <w:t>SPV bevakar ca 100 förordnandepensioner och chefspensioner per år. För närvarande erhåller cirka tio personer inte någon utbetalning av pension på grund av för hög inkomst.</w:t>
      </w:r>
    </w:p>
    <w:p w:rsidR="009C332F" w:rsidRPr="000C34AA" w:rsidRDefault="009C332F">
      <w:pPr>
        <w:pStyle w:val="Normaltindrag"/>
        <w:rPr>
          <w:snapToGrid w:val="0"/>
        </w:rPr>
        <w:sectPr w:rsidR="00000000" w:rsidRPr="000C34A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C332F" w:rsidRPr="000C34AA" w:rsidRDefault="009C332F">
      <w:pPr>
        <w:pStyle w:val="Rubrik1"/>
        <w:spacing w:after="240"/>
        <w:rPr>
          <w:noProof w:val="0"/>
        </w:rPr>
      </w:pPr>
      <w:bookmarkStart w:id="21" w:name="_Toc20645494"/>
      <w:r w:rsidRPr="000C34AA">
        <w:rPr>
          <w:noProof w:val="0"/>
        </w:rPr>
        <w:t>3 Uppföljning av ettåriga inkomstgarantier efter valet 1998</w:t>
      </w:r>
      <w:bookmarkEnd w:id="21"/>
    </w:p>
    <w:p w:rsidR="009C332F" w:rsidRPr="000C34AA" w:rsidRDefault="009C332F">
      <w:pPr>
        <w:spacing w:line="240" w:lineRule="atLeast"/>
      </w:pPr>
      <w:r w:rsidRPr="000C34AA">
        <w:rPr>
          <w:snapToGrid w:val="0"/>
          <w:color w:val="000000"/>
        </w:rPr>
        <w:t xml:space="preserve">Efter valet år 1998 fick 31 ledamöter en ettårig inkomstgaranti. </w:t>
      </w:r>
      <w:r w:rsidRPr="000C34AA">
        <w:t>Garantierna blev efter reguljär årsavstämning föremål för särskild uppföljning inom Rik</w:t>
      </w:r>
      <w:r w:rsidRPr="000C34AA">
        <w:t>s</w:t>
      </w:r>
      <w:r w:rsidRPr="000C34AA">
        <w:t xml:space="preserve">dagsförvaltningen. Uppföljningen redovisades i en promemoria. </w:t>
      </w:r>
    </w:p>
    <w:p w:rsidR="009C332F" w:rsidRPr="000C34AA" w:rsidRDefault="009C332F">
      <w:pPr>
        <w:pStyle w:val="Normaltindrag"/>
      </w:pPr>
      <w:r w:rsidRPr="000C34AA">
        <w:t>Uppföljningen visade att det var relativt vanligt med differenser. I cirka en fjärdedel av fallen konstaterades en differens vid årsavstämningen som var högre än 10 000 kr. För några hade inkomstgaranti betalats ut med för lågt belopp, medan de övriga hade fått för höga belopp utbetalade. Samtliga up</w:t>
      </w:r>
      <w:r w:rsidRPr="000C34AA">
        <w:t>p</w:t>
      </w:r>
      <w:r w:rsidRPr="000C34AA">
        <w:t>komna skulder hade återbetalats. I några få fall konstaterades att årsavstä</w:t>
      </w:r>
      <w:r w:rsidRPr="000C34AA">
        <w:t>m</w:t>
      </w:r>
      <w:r w:rsidRPr="000C34AA">
        <w:t xml:space="preserve">ningen och månadsrapporteringen överensstämde. </w:t>
      </w:r>
    </w:p>
    <w:p w:rsidR="009C332F" w:rsidRPr="000C34AA" w:rsidRDefault="009C332F">
      <w:pPr>
        <w:pStyle w:val="Normaltindrag"/>
      </w:pPr>
      <w:r w:rsidRPr="000C34AA">
        <w:t>Flera av differenserna mellan månadsrapporter och årsuppgifter berodde dels på att den garantiberättigade fått ändrade ekonomiska förhållanden, dels på en inbyggd eftersläpning i det administrativa systemet eftersom tidigare lämnade preliminära uppgifter legat till grund för utbetalningar. I några fall fanns flera olika orsaker till differenserna, bl.a. ojämna inkomster med vissa höga</w:t>
      </w:r>
      <w:r w:rsidRPr="000C34AA">
        <w:t xml:space="preserve"> månadsinkomster under garantitiden. </w:t>
      </w:r>
    </w:p>
    <w:p w:rsidR="009C332F" w:rsidRPr="000C34AA" w:rsidRDefault="009C332F">
      <w:pPr>
        <w:pStyle w:val="Normaltindrag"/>
      </w:pPr>
      <w:r w:rsidRPr="000C34AA">
        <w:t>En annan orsak till differenserna var att många garantitagare hade haft arvodesinkomster för olika typer av uppdrag som betalats ut oregelbundet. Dessa arvodesinkomster var svåra att förutse vid månadsrapporteringen. I några fall hade garantitagarna även misstolkat begreppet pensionsgrundande inkomst och därför först inte redovisat vissa arvodesinkomster.</w:t>
      </w:r>
    </w:p>
    <w:p w:rsidR="009C332F" w:rsidRPr="000C34AA" w:rsidRDefault="009C332F">
      <w:pPr>
        <w:pStyle w:val="Normaltindrag"/>
      </w:pPr>
      <w:r w:rsidRPr="000C34AA">
        <w:t>I promemorian konstaterades att det inte är onormalt att differenser up</w:t>
      </w:r>
      <w:r w:rsidRPr="000C34AA">
        <w:t>p</w:t>
      </w:r>
      <w:r w:rsidRPr="000C34AA">
        <w:t>står. Att så kan ske har också förutsatts bl.a. i tillämpningsföreskrifterna. Vidare gjordes bedömningen att konstruktionen av rapporteringssystemet bidragit till att differenser uppkommit. Det gällde framför allt systemet med rapportering av förväntade inkomster under kommande månad. Någon anle</w:t>
      </w:r>
      <w:r w:rsidRPr="000C34AA">
        <w:t>d</w:t>
      </w:r>
      <w:r w:rsidRPr="000C34AA">
        <w:t>ning att anta att differenserna uppstått av annan anledning än missförstånd beträffande regleringens innebörd eller svårigheter att korrekt uppskatta – ofta oregelbundna – inkomster månadsvis i förväg fanns inte. O</w:t>
      </w:r>
      <w:r w:rsidRPr="000C34AA">
        <w:t>rsaken till diff</w:t>
      </w:r>
      <w:r w:rsidRPr="000C34AA">
        <w:t>e</w:t>
      </w:r>
      <w:r w:rsidRPr="000C34AA">
        <w:t xml:space="preserve">renserna torde i stället stå att finna i det faktum att många garantitagare hade uppfattat systemet som påtagligt krångligt och svårhanterligt. Kritik hade också riktats mot såväl blanketter som informationsmaterial. </w:t>
      </w:r>
    </w:p>
    <w:p w:rsidR="009C332F" w:rsidRPr="000C34AA" w:rsidRDefault="009C332F">
      <w:pPr>
        <w:pStyle w:val="Normaltindrag"/>
      </w:pPr>
      <w:r w:rsidRPr="000C34AA">
        <w:t>Denna uppföljning föranledde sedan det beslut om översyn av rapport</w:t>
      </w:r>
      <w:r w:rsidRPr="000C34AA">
        <w:t>e</w:t>
      </w:r>
      <w:r w:rsidRPr="000C34AA">
        <w:t>ring</w:t>
      </w:r>
      <w:r w:rsidRPr="000C34AA">
        <w:t>s</w:t>
      </w:r>
      <w:r w:rsidRPr="000C34AA">
        <w:t xml:space="preserve">systemet som redovisas i detta ärende. </w:t>
      </w:r>
    </w:p>
    <w:p w:rsidR="009C332F" w:rsidRPr="000C34AA" w:rsidRDefault="009C332F">
      <w:pPr>
        <w:pStyle w:val="Rubrik2"/>
      </w:pPr>
    </w:p>
    <w:p w:rsidR="009C332F" w:rsidRPr="000C34AA" w:rsidRDefault="009C332F">
      <w:pPr>
        <w:pStyle w:val="Rubrik2"/>
        <w:sectPr w:rsidR="00000000" w:rsidRPr="000C34A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C332F" w:rsidRPr="000C34AA" w:rsidRDefault="009C332F">
      <w:pPr>
        <w:pStyle w:val="Rubrik1"/>
        <w:rPr>
          <w:noProof w:val="0"/>
        </w:rPr>
      </w:pPr>
      <w:bookmarkStart w:id="22" w:name="_Toc20645495"/>
      <w:r w:rsidRPr="000C34AA">
        <w:rPr>
          <w:noProof w:val="0"/>
        </w:rPr>
        <w:t>4 Riksdagsrevisorernas rapport och förslag</w:t>
      </w:r>
      <w:bookmarkEnd w:id="22"/>
    </w:p>
    <w:p w:rsidR="009C332F" w:rsidRPr="000C34AA" w:rsidRDefault="009C332F">
      <w:r w:rsidRPr="000C34AA">
        <w:t xml:space="preserve">Som framgår ovan har Riksdagens revisorer med hjälp av KPMG Bohlins AB granskat systemet med inkomstgaranti för f.d. riksdagsledamöter. KPMG:s rapport i den del som omfattar synpunkter på regler, rutiner och förslag rörande inkomstgarantin kan sammanfattas enligt följande. </w:t>
      </w:r>
    </w:p>
    <w:p w:rsidR="009C332F" w:rsidRPr="000C34AA" w:rsidRDefault="009C332F">
      <w:pPr>
        <w:pStyle w:val="Rubrik4"/>
        <w:rPr>
          <w:noProof w:val="0"/>
        </w:rPr>
      </w:pPr>
      <w:r w:rsidRPr="000C34AA">
        <w:rPr>
          <w:noProof w:val="0"/>
        </w:rPr>
        <w:t>Risker och kontrollmöjligheter med nuvarande ordning</w:t>
      </w:r>
    </w:p>
    <w:p w:rsidR="009C332F" w:rsidRPr="000C34AA" w:rsidRDefault="009C332F">
      <w:r w:rsidRPr="000C34AA">
        <w:t>KPMG konstaterar inledningsvis att gällande regelverk innehåller relativt komplicerade regler och föreskrifter. Det bör dock ankomma på varje ledamot att i det enskilda fallet ta reda på de lagregler och föreskrifter som gäller och sedan på ett riktigt sätt ange de inkomster som skall reducera inkomstgara</w:t>
      </w:r>
      <w:r w:rsidRPr="000C34AA">
        <w:t>n</w:t>
      </w:r>
      <w:r w:rsidRPr="000C34AA">
        <w:t xml:space="preserve">tin. </w:t>
      </w:r>
    </w:p>
    <w:p w:rsidR="009C332F" w:rsidRPr="000C34AA" w:rsidRDefault="009C332F">
      <w:pPr>
        <w:pStyle w:val="Normaltindrag"/>
      </w:pPr>
      <w:r w:rsidRPr="000C34AA">
        <w:t>I det läge som nu uppstått, med tveksamheter i några fall i den inkomstr</w:t>
      </w:r>
      <w:r w:rsidRPr="000C34AA">
        <w:t>e</w:t>
      </w:r>
      <w:r w:rsidRPr="000C34AA">
        <w:t xml:space="preserve">dovisning som legat till grund för utbetalningar av inkomstgarantin, menar KPMG att det finns skäl för riksdagsförvaltningen att göra utökade kontroller inom ramen för gällande regler och föreskrifter. </w:t>
      </w:r>
    </w:p>
    <w:p w:rsidR="009C332F" w:rsidRPr="000C34AA" w:rsidRDefault="009C332F">
      <w:pPr>
        <w:pStyle w:val="Normaltindrag"/>
      </w:pPr>
      <w:r w:rsidRPr="000C34AA">
        <w:t>KPMG menar vidare att förvaltningens kontrollmöjligheter med de nuv</w:t>
      </w:r>
      <w:r w:rsidRPr="000C34AA">
        <w:t>a</w:t>
      </w:r>
      <w:r w:rsidRPr="000C34AA">
        <w:t>rande reglerna är starkt begränsade. Framtida regelverk och rutiner bör därför så långt som möjligt försvåra missbruk och misstag som kan rubba tilltron till demokratin, leda till för stora utbetalningar från statskassan eller i förlän</w:t>
      </w:r>
      <w:r w:rsidRPr="000C34AA">
        <w:t>g</w:t>
      </w:r>
      <w:r w:rsidRPr="000C34AA">
        <w:t xml:space="preserve">ningen drabba den enskilde själv. </w:t>
      </w:r>
    </w:p>
    <w:p w:rsidR="009C332F" w:rsidRPr="000C34AA" w:rsidRDefault="009C332F">
      <w:pPr>
        <w:pStyle w:val="Normaltindrag"/>
      </w:pPr>
      <w:r w:rsidRPr="000C34AA">
        <w:t>Revisionsbyrån konstaterar emellertid att det är svårt att ställa upp regler och kontrollmöjligheter som är så heltäckande och rigorösa att de leder till fullständig ”rättvisa”. Ett alltför komplicerat regelverk och system för red</w:t>
      </w:r>
      <w:r w:rsidRPr="000C34AA">
        <w:t>o</w:t>
      </w:r>
      <w:r w:rsidRPr="000C34AA">
        <w:t>visning kan leda till orimliga konsekvenser för både förvaltningen och berö</w:t>
      </w:r>
      <w:r w:rsidRPr="000C34AA">
        <w:t>r</w:t>
      </w:r>
      <w:r w:rsidRPr="000C34AA">
        <w:t xml:space="preserve">da f.d. riksdagsledamöter. Allt går inte att förutse, kontrollera eller rätta till – i vart fall inte till en rimlig kostnad. </w:t>
      </w:r>
    </w:p>
    <w:p w:rsidR="009C332F" w:rsidRPr="000C34AA" w:rsidRDefault="009C332F">
      <w:pPr>
        <w:pStyle w:val="Rubrik4"/>
        <w:rPr>
          <w:noProof w:val="0"/>
        </w:rPr>
      </w:pPr>
      <w:r w:rsidRPr="000C34AA">
        <w:rPr>
          <w:noProof w:val="0"/>
        </w:rPr>
        <w:t>God service befriar inte från ansvar</w:t>
      </w:r>
    </w:p>
    <w:p w:rsidR="009C332F" w:rsidRPr="000C34AA" w:rsidRDefault="009C332F">
      <w:r w:rsidRPr="000C34AA">
        <w:t>Enligt KPMG:s uppfattning har riksdagsförvaltningen tagit fram klara bla</w:t>
      </w:r>
      <w:r w:rsidRPr="000C34AA">
        <w:t>n</w:t>
      </w:r>
      <w:r w:rsidRPr="000C34AA">
        <w:t>ketter och tydliga instruktioner samt lämnat utförlig information till ledam</w:t>
      </w:r>
      <w:r w:rsidRPr="000C34AA">
        <w:t>ö</w:t>
      </w:r>
      <w:r w:rsidRPr="000C34AA">
        <w:t xml:space="preserve">terna, både muntligt och skriftligt. Förvaltningen ger en omfattande service inte bara till ledamöter utan även till f.d. ledamöter. </w:t>
      </w:r>
    </w:p>
    <w:p w:rsidR="009C332F" w:rsidRPr="000C34AA" w:rsidRDefault="009C332F">
      <w:pPr>
        <w:pStyle w:val="Normaltindrag"/>
      </w:pPr>
      <w:r w:rsidRPr="000C34AA">
        <w:t>KPMG menar vidare att trots att reglerna kan sägas vara relativt tydliga finns det utrymme för missförstånd hos enskilda ledamöter. Därtill kan, trots förvaltningens goda ambitioner, också sägas att de anvisningar som framgår av de utsända blanketterna skulle kunna bli ännu tydligare. Det finns bl.a</w:t>
      </w:r>
      <w:r w:rsidRPr="000C34AA">
        <w:t xml:space="preserve">. ett visst behov av att göra språket enklare och ge ännu tydligare exempel på typiska inkomster som måste redovisas, såsom olika slag av styrelsearvoden. </w:t>
      </w:r>
    </w:p>
    <w:p w:rsidR="009C332F" w:rsidRPr="000C34AA" w:rsidRDefault="009C332F"/>
    <w:p w:rsidR="009C332F" w:rsidRPr="000C34AA" w:rsidRDefault="009C332F">
      <w:pPr>
        <w:pStyle w:val="Rubrik4"/>
        <w:rPr>
          <w:noProof w:val="0"/>
        </w:rPr>
      </w:pPr>
      <w:r w:rsidRPr="000C34AA">
        <w:rPr>
          <w:noProof w:val="0"/>
        </w:rPr>
        <w:br w:type="page"/>
        <w:t>Inkomst av näringsverksamhet</w:t>
      </w:r>
    </w:p>
    <w:p w:rsidR="009C332F" w:rsidRPr="000C34AA" w:rsidRDefault="009C332F">
      <w:r w:rsidRPr="000C34AA">
        <w:t xml:space="preserve">Ledamöter som fått beslut om inkomstgaranti kan äga och driva företag i olika associationsformer. Enligt KPMG är reglerna om inkomstgaranti relativt klara såtillvida att inkomst av rörelse bidrar till att reducera garantibeloppet från riksdagen. </w:t>
      </w:r>
    </w:p>
    <w:p w:rsidR="009C332F" w:rsidRPr="000C34AA" w:rsidRDefault="009C332F">
      <w:pPr>
        <w:pStyle w:val="Normaltindrag"/>
      </w:pPr>
      <w:r w:rsidRPr="000C34AA">
        <w:t>Inte sällan kan den enskildes företagsinkomster styras i tiden. Enligt KPMG:s förmenande är det inte rimligt att föreslå några ändringar för att hindra att sådana – i vissa lägen – förmånliga åtgärder vidtas från ledamöte</w:t>
      </w:r>
      <w:r w:rsidRPr="000C34AA">
        <w:t>r</w:t>
      </w:r>
      <w:r w:rsidRPr="000C34AA">
        <w:t xml:space="preserve">nas sida. </w:t>
      </w:r>
    </w:p>
    <w:p w:rsidR="009C332F" w:rsidRPr="000C34AA" w:rsidRDefault="009C332F">
      <w:pPr>
        <w:pStyle w:val="Rubrik4"/>
        <w:rPr>
          <w:noProof w:val="0"/>
        </w:rPr>
      </w:pPr>
      <w:r w:rsidRPr="000C34AA">
        <w:rPr>
          <w:noProof w:val="0"/>
        </w:rPr>
        <w:t>Samordnad handläggning</w:t>
      </w:r>
    </w:p>
    <w:p w:rsidR="009C332F" w:rsidRPr="000C34AA" w:rsidRDefault="009C332F">
      <w:r w:rsidRPr="000C34AA">
        <w:t xml:space="preserve">KPMG gör bedömningen att det finns fördelar med att engagera SPV för att ta över handläggningen av inkomstgarantierna. SPV är ett statligt expertorgan när det gäller pensioner och andra förmåner för i första hand statligt anställd personal. Rent allmänt skulle det innebära en mera rationell hantering att flera liknande system kom att handläggas av en och samma myndighet. </w:t>
      </w:r>
    </w:p>
    <w:p w:rsidR="009C332F" w:rsidRPr="000C34AA" w:rsidRDefault="009C332F">
      <w:pPr>
        <w:pStyle w:val="Rubrik4"/>
        <w:rPr>
          <w:noProof w:val="0"/>
        </w:rPr>
      </w:pPr>
      <w:r w:rsidRPr="000C34AA">
        <w:rPr>
          <w:noProof w:val="0"/>
        </w:rPr>
        <w:t>Några tänkbara förändringar</w:t>
      </w:r>
    </w:p>
    <w:p w:rsidR="009C332F" w:rsidRPr="000C34AA" w:rsidRDefault="009C332F">
      <w:r w:rsidRPr="000C34AA">
        <w:t xml:space="preserve">I denna del påpekar KPMG att slutskattebeskedet är offentligt, att det skulle kunna granskas och att uppgifterna i det skulle kunna utgöra grund för att ta upp en diskussion med garantitagaren om eventuella avvikelser från tidigare lämnade uppgifter. </w:t>
      </w:r>
    </w:p>
    <w:p w:rsidR="009C332F" w:rsidRPr="000C34AA" w:rsidRDefault="009C332F">
      <w:pPr>
        <w:pStyle w:val="Normaltindrag"/>
      </w:pPr>
      <w:r w:rsidRPr="000C34AA">
        <w:t>Kontrolluppgifter från arbetsgivare är skyddade enligt 9 kap. 1 § sekr</w:t>
      </w:r>
      <w:r w:rsidRPr="000C34AA">
        <w:t>e</w:t>
      </w:r>
      <w:r w:rsidRPr="000C34AA">
        <w:t>tesslagen (1980:100). I dag kan endast den enskilde själv få del av sådana uppgifter hos skattemyndigheten. KPMG anför här att det inte ter sig orimligt att riksdagsförvaltningen får tillgång till dessa up</w:t>
      </w:r>
      <w:r w:rsidRPr="000C34AA">
        <w:t>p</w:t>
      </w:r>
      <w:r w:rsidRPr="000C34AA">
        <w:t xml:space="preserve">gifter. </w:t>
      </w:r>
    </w:p>
    <w:p w:rsidR="009C332F" w:rsidRPr="000C34AA" w:rsidRDefault="009C332F">
      <w:pPr>
        <w:pStyle w:val="Normaltindrag"/>
      </w:pPr>
      <w:r w:rsidRPr="000C34AA">
        <w:t>Avslutningsvis förordar KPMG att man inom ramen för systemet med i</w:t>
      </w:r>
      <w:r w:rsidRPr="000C34AA">
        <w:t>n</w:t>
      </w:r>
      <w:r w:rsidRPr="000C34AA">
        <w:t xml:space="preserve">komstgarantier övergår till årsvisa rapporter. Dagens system med månadsvis rapportering förefaller enligt KPMG otympligt för de inblandade parterna och saknar motsvarighet hos SPV när det gäller chefspensioner. </w:t>
      </w:r>
    </w:p>
    <w:p w:rsidR="009C332F" w:rsidRPr="000C34AA" w:rsidRDefault="009C332F">
      <w:pPr>
        <w:pStyle w:val="Normaltindrag"/>
      </w:pPr>
      <w:r w:rsidRPr="000C34AA">
        <w:t>KPMG föreslår också att stickprovskontroller avseende f.d. ledamöters i</w:t>
      </w:r>
      <w:r w:rsidRPr="000C34AA">
        <w:t>n</w:t>
      </w:r>
      <w:r w:rsidRPr="000C34AA">
        <w:t xml:space="preserve">komstförhållanden bör kunna ske i högre grad än hittills. Regelverket bör vid behov förtydligas i detta avseende. </w:t>
      </w:r>
    </w:p>
    <w:p w:rsidR="009C332F" w:rsidRPr="000C34AA" w:rsidRDefault="009C332F">
      <w:pPr>
        <w:pStyle w:val="Normaltindrag"/>
      </w:pPr>
    </w:p>
    <w:p w:rsidR="009C332F" w:rsidRPr="000C34AA" w:rsidRDefault="009C332F">
      <w:pPr>
        <w:pStyle w:val="Normaltindrag"/>
        <w:sectPr w:rsidR="00000000" w:rsidRPr="000C34A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C332F" w:rsidRPr="000C34AA" w:rsidRDefault="009C332F">
      <w:pPr>
        <w:pStyle w:val="Rubrik1"/>
        <w:spacing w:after="240"/>
        <w:rPr>
          <w:noProof w:val="0"/>
        </w:rPr>
      </w:pPr>
      <w:bookmarkStart w:id="23" w:name="_Toc20645496"/>
      <w:r w:rsidRPr="000C34AA">
        <w:rPr>
          <w:noProof w:val="0"/>
        </w:rPr>
        <w:t>5 Riksdagsstyrelsens överväganden</w:t>
      </w:r>
      <w:bookmarkEnd w:id="23"/>
    </w:p>
    <w:p w:rsidR="009C332F" w:rsidRPr="000C34AA" w:rsidRDefault="009C332F">
      <w:pPr>
        <w:pStyle w:val="Rubrik2"/>
        <w:spacing w:before="0"/>
      </w:pPr>
      <w:bookmarkStart w:id="24" w:name="_Toc20645497"/>
      <w:r w:rsidRPr="000C34AA">
        <w:t>5.1 Utgångspunkter</w:t>
      </w:r>
      <w:bookmarkEnd w:id="24"/>
      <w:r w:rsidRPr="000C34AA">
        <w:t xml:space="preserve"> </w:t>
      </w:r>
    </w:p>
    <w:p w:rsidR="009C332F" w:rsidRPr="000C34AA" w:rsidRDefault="009C332F">
      <w:r w:rsidRPr="000C34AA">
        <w:t>Som framgår ovan är en av utgångspunkterna för de förslag som nu läggs fram att hanteringen av inkomstgarantierna skall flyttas över till SPV och att rutinerna för handläggningen skall ändras så att det i stället blir fråga om att lämna uppgifter, såväl preliminära som slutliga, endast på kalenderårsbasis. Uppgifterna om inkomster delas upp – såsom redan sker beträffande årsup</w:t>
      </w:r>
      <w:r w:rsidRPr="000C34AA">
        <w:t>p</w:t>
      </w:r>
      <w:r w:rsidRPr="000C34AA">
        <w:t>gifterna – endast på inkomstslag, inte på utbetalare. Övergången till årsvis rapportering föranleder en del ändringar i tillämpningsföreskrifterna. Dessa tas inte upp i detta sammanhang. Däremot övervägs behovet av lagän</w:t>
      </w:r>
      <w:r w:rsidRPr="000C34AA">
        <w:t>d</w:t>
      </w:r>
      <w:r w:rsidRPr="000C34AA">
        <w:t xml:space="preserve">ringar. </w:t>
      </w:r>
    </w:p>
    <w:p w:rsidR="009C332F" w:rsidRPr="000C34AA" w:rsidRDefault="009C332F">
      <w:pPr>
        <w:pStyle w:val="Normaltindrag"/>
      </w:pPr>
      <w:r w:rsidRPr="000C34AA">
        <w:t>En annan utgångspunkt är att de grundläggande förutsättningarna för rätten till inkomstgaranti inte skall omprövas. Inte heller kategorierna av inkomster som skall samordnas tas upp till förnyade överväganden. Översynen tar alltså inte sikte på de materiella reglerna utan avser en</w:t>
      </w:r>
      <w:r w:rsidRPr="000C34AA">
        <w:t>dast den administrativa ha</w:t>
      </w:r>
      <w:r w:rsidRPr="000C34AA">
        <w:t>n</w:t>
      </w:r>
      <w:r w:rsidRPr="000C34AA">
        <w:t xml:space="preserve">teringen. </w:t>
      </w:r>
    </w:p>
    <w:p w:rsidR="009C332F" w:rsidRPr="000C34AA" w:rsidRDefault="009C332F">
      <w:pPr>
        <w:pStyle w:val="Normaltindrag"/>
      </w:pPr>
      <w:r w:rsidRPr="000C34AA">
        <w:t>Ytterligare en viktig utgångspunkt är att garantitagaren även fortsättning</w:t>
      </w:r>
      <w:r w:rsidRPr="000C34AA">
        <w:t>s</w:t>
      </w:r>
      <w:r w:rsidRPr="000C34AA">
        <w:t xml:space="preserve">vis bör ha ansvaret för att riktiga och fullständiga uppgifter läggs till grund för besluten om inkomstgaranti. De uppgifter som garantitagarna lämnar bör alltså förutsättas vara riktiga. </w:t>
      </w:r>
    </w:p>
    <w:p w:rsidR="009C332F" w:rsidRPr="000C34AA" w:rsidRDefault="009C332F">
      <w:pPr>
        <w:pStyle w:val="Normaltindrag"/>
      </w:pPr>
      <w:r w:rsidRPr="000C34AA">
        <w:t>Slutligen har skrivelsen från Riksdagens revisorer och den bakomliggande rapporten från KPMG legat till grund för förslagen. I den rapporten har påp</w:t>
      </w:r>
      <w:r w:rsidRPr="000C34AA">
        <w:t>e</w:t>
      </w:r>
      <w:r w:rsidRPr="000C34AA">
        <w:t xml:space="preserve">kats att det finns ett behov av förbättrad kontroll. </w:t>
      </w:r>
    </w:p>
    <w:p w:rsidR="009C332F" w:rsidRPr="000C34AA" w:rsidRDefault="009C332F">
      <w:pPr>
        <w:pStyle w:val="Rubrik2"/>
      </w:pPr>
      <w:bookmarkStart w:id="25" w:name="_Toc20645498"/>
      <w:r w:rsidRPr="000C34AA">
        <w:t>5.2 Överflyttningen till SPV</w:t>
      </w:r>
      <w:bookmarkEnd w:id="25"/>
    </w:p>
    <w:p w:rsidR="009C332F" w:rsidRPr="000C34AA" w:rsidRDefault="009C332F">
      <w:pPr>
        <w:pStyle w:val="Rubrik3"/>
        <w:spacing w:before="0"/>
        <w:rPr>
          <w:noProof w:val="0"/>
        </w:rPr>
      </w:pPr>
      <w:bookmarkStart w:id="26" w:name="_Toc20645499"/>
      <w:r w:rsidRPr="000C34AA">
        <w:rPr>
          <w:noProof w:val="0"/>
        </w:rPr>
        <w:t>5.2.1 Handläggningen av inkomstgarantier förs över till SPV</w:t>
      </w:r>
      <w:bookmarkEnd w:id="26"/>
    </w:p>
    <w:p w:rsidR="009C332F" w:rsidRPr="000C34AA" w:rsidRDefault="009C332F">
      <w:r w:rsidRPr="000C34AA">
        <w:t>Inkomstgarantierna administreras i dag helt av riksdagsförvaltningen. Som påpekas i KPMG:s rapport är SPV ett statligt expertorgan när det gäller pe</w:t>
      </w:r>
      <w:r w:rsidRPr="000C34AA">
        <w:t>n</w:t>
      </w:r>
      <w:r w:rsidRPr="000C34AA">
        <w:t>sioner och andra förmåner för i första hand statligt anställd personal. Rent allmänt skulle det innebära en mer rationell hantering att flera liknande s</w:t>
      </w:r>
      <w:r w:rsidRPr="000C34AA">
        <w:t>y</w:t>
      </w:r>
      <w:r w:rsidRPr="000C34AA">
        <w:t>stem kom att handläggas av en och samma myndighet. Riksdagsförvaltnin</w:t>
      </w:r>
      <w:r w:rsidRPr="000C34AA">
        <w:t>g</w:t>
      </w:r>
      <w:r w:rsidRPr="000C34AA">
        <w:t>ens uppgifter skulle kunna renodlas till att avse beslut om inkomstgaranti och service åt nuvarande ledamöter samtidigt som avgångna ledamöters förmåner skulle administreras gemensamt med dem som slutat en statlig chefsbefat</w:t>
      </w:r>
      <w:r w:rsidRPr="000C34AA">
        <w:t>t</w:t>
      </w:r>
      <w:r w:rsidRPr="000C34AA">
        <w:t>ning. Härtill kommer att SPV har en organisation både för utbet</w:t>
      </w:r>
      <w:r w:rsidRPr="000C34AA">
        <w:t xml:space="preserve">alning och för kravhantering. </w:t>
      </w:r>
    </w:p>
    <w:p w:rsidR="009C332F" w:rsidRPr="000C34AA" w:rsidRDefault="009C332F">
      <w:pPr>
        <w:pStyle w:val="Normaltindrag"/>
      </w:pPr>
      <w:r w:rsidRPr="000C34AA">
        <w:t>Redan i dagsläget utbetalar SPV ett antal pensionsförmåner till riksdagsl</w:t>
      </w:r>
      <w:r w:rsidRPr="000C34AA">
        <w:t>e</w:t>
      </w:r>
      <w:r w:rsidRPr="000C34AA">
        <w:t>damöter. Detta sker med stöd av ett avtal från år 1996. Avtalet omfattar alla typer av pensionsförmåner som regleras i ersättningslagen och dess äldre motsvarighet, dock med undantag för just inkomstgarantierna. I avtalet regl</w:t>
      </w:r>
      <w:r w:rsidRPr="000C34AA">
        <w:t>e</w:t>
      </w:r>
      <w:r w:rsidRPr="000C34AA">
        <w:t>ras bl.a. riksdagsförvaltningens och SPV:s åtaganden, avgifter och beta</w:t>
      </w:r>
      <w:r w:rsidRPr="000C34AA">
        <w:t>l</w:t>
      </w:r>
      <w:r w:rsidRPr="000C34AA">
        <w:t>ningsvillkor. Arrangemanget med att låta SPV sköta utbetalningarna av andra förmåner har fungerat bra, låt vara att de förmånerna inte kräver vare sig hantering av blanketter eller att bedömningar görs i samma ut</w:t>
      </w:r>
      <w:r w:rsidRPr="000C34AA">
        <w:t>sträckning som inkoms</w:t>
      </w:r>
      <w:r w:rsidRPr="000C34AA">
        <w:t>t</w:t>
      </w:r>
      <w:r w:rsidRPr="000C34AA">
        <w:t xml:space="preserve">garantierna. </w:t>
      </w:r>
    </w:p>
    <w:p w:rsidR="009C332F" w:rsidRPr="000C34AA" w:rsidRDefault="009C332F">
      <w:pPr>
        <w:pStyle w:val="Normaltindrag"/>
      </w:pPr>
      <w:r w:rsidRPr="000C34AA">
        <w:t>Övervägande skäl talar alltså för en överflyttning av hanteringen till SPV. Också Riksdagens revisorer har tagit ställning för en sådan överflyttning. Det grundläggande beslutet om rätt till inkomstgaranti bör dock som hittills fattas av riksdagsförvaltningen. Att det beslutet skall fattas i riksdagsförvaltningen och inte av SPV bör framgå av tillämpningsföreskrifter. I avsnitt 5.3.7 för</w:t>
      </w:r>
      <w:r w:rsidRPr="000C34AA">
        <w:t>e</w:t>
      </w:r>
      <w:r w:rsidRPr="000C34AA">
        <w:t xml:space="preserve">slås att beslut om rätt till inkomstgaranti skall fattas utan att garantitagaren har ansökt om det. </w:t>
      </w:r>
    </w:p>
    <w:p w:rsidR="009C332F" w:rsidRPr="000C34AA" w:rsidRDefault="009C332F">
      <w:pPr>
        <w:pStyle w:val="Rubrik3"/>
        <w:rPr>
          <w:noProof w:val="0"/>
        </w:rPr>
      </w:pPr>
      <w:bookmarkStart w:id="27" w:name="_Toc20645500"/>
      <w:r w:rsidRPr="000C34AA">
        <w:rPr>
          <w:noProof w:val="0"/>
        </w:rPr>
        <w:t>5.2.2 Hur bör överflyttningen regleras?</w:t>
      </w:r>
      <w:bookmarkEnd w:id="27"/>
    </w:p>
    <w:p w:rsidR="009C332F" w:rsidRPr="000C34AA" w:rsidRDefault="009C332F">
      <w:r w:rsidRPr="000C34AA">
        <w:t>En överflyttning av administrationen av inkomstgarantierna till SPV skulle rent teoretiskt kunna ske så att det i lag anges att verket skall handlägga såd</w:t>
      </w:r>
      <w:r w:rsidRPr="000C34AA">
        <w:t>a</w:t>
      </w:r>
      <w:r w:rsidRPr="000C34AA">
        <w:t xml:space="preserve">na ärenden. Detta är dock en opraktisk lösning. Smidigare är då att, såsom redan sker beträffande andra förmåner som regleras i ersättningslagen, träffa ett avtal med SPV om saken. </w:t>
      </w:r>
    </w:p>
    <w:p w:rsidR="009C332F" w:rsidRPr="000C34AA" w:rsidRDefault="009C332F">
      <w:pPr>
        <w:pStyle w:val="Normaltindrag"/>
      </w:pPr>
      <w:r w:rsidRPr="000C34AA">
        <w:t>Innebörden av ett sådant avtal som skisserats är att riksdagsförvaltningen inte längre skall sköta en administrativ uppgift som förvaltningen har enligt gällande regelverk. Grundläggande regler om förvaltningens uppgifter finns i 9 kap. 4 § riksdagsordningen. Där framgår bl.a. att riksdagsförvaltningen – i den omfattning riksda</w:t>
      </w:r>
      <w:r w:rsidRPr="000C34AA">
        <w:t>gen bestämmer – skall handlägga personalfrågor, göra upp budgetförslag och i övrigt handlägga frågor om förvaltningen inom rik</w:t>
      </w:r>
      <w:r w:rsidRPr="000C34AA">
        <w:t>s</w:t>
      </w:r>
      <w:r w:rsidRPr="000C34AA">
        <w:t>dagen. Riksdagen har meddelat närmare bestämmelser om förvaltningens uppgifter i lagen (2000:419) med instruktion för riksdagsförvaltningen, nedan kallad instruktionen. Där framgår bl.a. att riksdagsförvaltningen – om inte annat är särskilt föreskrivet – skall handlägga frågor dels om arvoden och ersättningar till riksdagens ledamöter och till Sveriges företrädare i Europ</w:t>
      </w:r>
      <w:r w:rsidRPr="000C34AA">
        <w:t>a</w:t>
      </w:r>
      <w:r w:rsidRPr="000C34AA">
        <w:t>parlamente</w:t>
      </w:r>
      <w:r w:rsidRPr="000C34AA">
        <w:t xml:space="preserve">t, dels om pensioner och andra förmåner till ledamöterna och deras efterlevande samt till företrädarna och deras efterlevande (2 § första stycket 3). </w:t>
      </w:r>
    </w:p>
    <w:p w:rsidR="009C332F" w:rsidRPr="000C34AA" w:rsidRDefault="009C332F">
      <w:pPr>
        <w:pStyle w:val="Normaltindrag"/>
      </w:pPr>
      <w:r w:rsidRPr="000C34AA">
        <w:t>De regler som gäller i dag innebär alltså att det krävs en lagändring för att ett avtal med SPV skall kunna slutas i enligt med vad som redovisats ovan. I instruktionen för riksdagsförvaltningen bör det därför anges att förvaltningen har möjlighet att överlämna den administrativa hanteringen av inkomstgara</w:t>
      </w:r>
      <w:r w:rsidRPr="000C34AA">
        <w:t>n</w:t>
      </w:r>
      <w:r w:rsidRPr="000C34AA">
        <w:t>tier och andra förmåner till annan myndighet. Av regleringen bör framgå att den som övertar uppgifter med stöd av denna bestämmelse har samma bef</w:t>
      </w:r>
      <w:r w:rsidRPr="000C34AA">
        <w:t>o</w:t>
      </w:r>
      <w:r w:rsidRPr="000C34AA">
        <w:t xml:space="preserve">genheter som riksdagsförvaltningen. </w:t>
      </w:r>
    </w:p>
    <w:p w:rsidR="009C332F" w:rsidRPr="000C34AA" w:rsidRDefault="009C332F">
      <w:pPr>
        <w:pStyle w:val="Rubrik3"/>
        <w:rPr>
          <w:noProof w:val="0"/>
        </w:rPr>
      </w:pPr>
      <w:bookmarkStart w:id="28" w:name="_Toc20645501"/>
      <w:r w:rsidRPr="000C34AA">
        <w:rPr>
          <w:noProof w:val="0"/>
        </w:rPr>
        <w:t>5.3 Nya administrativa rutiner</w:t>
      </w:r>
      <w:bookmarkEnd w:id="28"/>
    </w:p>
    <w:p w:rsidR="009C332F" w:rsidRPr="000C34AA" w:rsidRDefault="009C332F">
      <w:r w:rsidRPr="000C34AA">
        <w:t>I detta avsnitt lämnas förslag som syftar till att åstadkomma förnyade adm</w:t>
      </w:r>
      <w:r w:rsidRPr="000C34AA">
        <w:t>i</w:t>
      </w:r>
      <w:r w:rsidRPr="000C34AA">
        <w:t xml:space="preserve">nistrativa rutiner för utbetalningen av inkomstgarantier. Förslagen bygger i vissa fall på de förslag som KPMG presenterat i sin rapport till Riksdagens revisorer. I andra fall handlar det om förslag som bygger på erfarenheter hos riksdagsförvaltningen. Tanken med förslagen är inte bara att det i de enskilda fallen skall kunna genomföras kontroller. De nya reglerna torde sannolikt också bidra till att den allmänna kontrollnivån i systemet höjs något, vilket torde kunna ha en preventiv effekt. </w:t>
      </w:r>
    </w:p>
    <w:p w:rsidR="009C332F" w:rsidRPr="000C34AA" w:rsidRDefault="009C332F">
      <w:pPr>
        <w:pStyle w:val="Normaltindrag"/>
      </w:pPr>
      <w:r w:rsidRPr="000C34AA">
        <w:t xml:space="preserve">Som framgår </w:t>
      </w:r>
      <w:r w:rsidRPr="000C34AA">
        <w:t>ovan är avsikten att SPV på riksdagsförvaltningens uppdrag skall sköta den administrativa hanteringen av inkomstgarantier. De förslag som presenteras nedan är avfattade så att de tar sikte på riksdagsförvaltnin</w:t>
      </w:r>
      <w:r w:rsidRPr="000C34AA">
        <w:t>g</w:t>
      </w:r>
      <w:r w:rsidRPr="000C34AA">
        <w:t xml:space="preserve">en. I praktiken kommer bestämmelserna dock att tillämpas av SPV. </w:t>
      </w:r>
    </w:p>
    <w:p w:rsidR="009C332F" w:rsidRPr="000C34AA" w:rsidRDefault="009C332F">
      <w:pPr>
        <w:pStyle w:val="Rubrik3"/>
        <w:rPr>
          <w:noProof w:val="0"/>
        </w:rPr>
      </w:pPr>
      <w:bookmarkStart w:id="29" w:name="_Toc20645502"/>
      <w:r w:rsidRPr="000C34AA">
        <w:rPr>
          <w:noProof w:val="0"/>
        </w:rPr>
        <w:t>5.3.1 Kontrolluppgifter från skattemyndigheter</w:t>
      </w:r>
      <w:bookmarkEnd w:id="29"/>
      <w:r w:rsidRPr="000C34AA">
        <w:rPr>
          <w:noProof w:val="0"/>
        </w:rPr>
        <w:t xml:space="preserve"> </w:t>
      </w:r>
    </w:p>
    <w:p w:rsidR="009C332F" w:rsidRPr="000C34AA" w:rsidRDefault="009C332F">
      <w:r w:rsidRPr="000C34AA">
        <w:t xml:space="preserve">För närvarande finns inga regler om uppgiftsskyldighet för andra myndigheter gentemot riksdagsförvaltningen rörande ledamöters ekonomiska förhållanden. </w:t>
      </w:r>
    </w:p>
    <w:p w:rsidR="009C332F" w:rsidRPr="000C34AA" w:rsidRDefault="009C332F">
      <w:pPr>
        <w:pStyle w:val="Normaltindrag"/>
      </w:pPr>
      <w:r w:rsidRPr="000C34AA">
        <w:t>KPMG har i sin rapport föreslagit att riksdagsförvaltningen bör få möjli</w:t>
      </w:r>
      <w:r w:rsidRPr="000C34AA">
        <w:t>g</w:t>
      </w:r>
      <w:r w:rsidRPr="000C34AA">
        <w:t>het att från skattemyndigheten ta in kopior på kontrolluppgifter som gäller lön, arvoden m.m. till enskild garantitagare. I rapporten påpekas att de up</w:t>
      </w:r>
      <w:r w:rsidRPr="000C34AA">
        <w:t>p</w:t>
      </w:r>
      <w:r w:rsidRPr="000C34AA">
        <w:t>gifter som förslaget tar sikte på skyddas av sekretess enligt 9 kap. 1 § sekr</w:t>
      </w:r>
      <w:r w:rsidRPr="000C34AA">
        <w:t>e</w:t>
      </w:r>
      <w:r w:rsidRPr="000C34AA">
        <w:t xml:space="preserve">tesslagen (1980:100). </w:t>
      </w:r>
    </w:p>
    <w:p w:rsidR="009C332F" w:rsidRPr="000C34AA" w:rsidRDefault="009C332F">
      <w:pPr>
        <w:pStyle w:val="Normaltindrag"/>
      </w:pPr>
      <w:r w:rsidRPr="000C34AA">
        <w:t>Bestämmelser om kontrolluppgifter finns i lagen (2001:1227) om självd</w:t>
      </w:r>
      <w:r w:rsidRPr="000C34AA">
        <w:t>e</w:t>
      </w:r>
      <w:r w:rsidRPr="000C34AA">
        <w:t>klaration och kontrolluppgifter. Kontrolluppgifter skall bl.a. lämnas om utg</w:t>
      </w:r>
      <w:r w:rsidRPr="000C34AA">
        <w:t>i</w:t>
      </w:r>
      <w:r w:rsidRPr="000C34AA">
        <w:t xml:space="preserve">ven förmån och ersättning som utgör intäkt i inkomstslaget tjänst (6 kap. 1 §). Syftet med inlämnandet av kontrolluppgifter är att de skall ligga till grund för taxering och vissa andra beslut och förfaranden som har att göra med skatter, avgifter och pensionsgrundande inkomst (1 kap. 4 §). </w:t>
      </w:r>
    </w:p>
    <w:p w:rsidR="009C332F" w:rsidRPr="000C34AA" w:rsidRDefault="009C332F">
      <w:pPr>
        <w:pStyle w:val="Normaltindrag"/>
      </w:pPr>
      <w:r w:rsidRPr="000C34AA">
        <w:t>En fördel med en möjlighet att begära in kontrolluppgifter är naturligtvis att detta ger förbättrade förutsättningar att kontrollera att rege</w:t>
      </w:r>
      <w:r w:rsidRPr="000C34AA">
        <w:t xml:space="preserve">lverket efterlevs. Som exempel kan nämnas att det kan ge anledning till att begära in ytterligare uppgifter från garantitagaren eller från utbetalaren, om kontrolluppgifterna tyder på att garantitagaren haft samordningsbara inkomster som inte uppgetts. </w:t>
      </w:r>
    </w:p>
    <w:p w:rsidR="009C332F" w:rsidRPr="000C34AA" w:rsidRDefault="009C332F">
      <w:pPr>
        <w:pStyle w:val="Normaltindrag"/>
      </w:pPr>
      <w:r w:rsidRPr="000C34AA">
        <w:t>Mot detta får ställas att syftet med inhämtandet av kontrolluppgifter i grunden är att de skall utgöra underlag för taxeringen och vissa därtill a</w:t>
      </w:r>
      <w:r w:rsidRPr="000C34AA">
        <w:t>n</w:t>
      </w:r>
      <w:r w:rsidRPr="000C34AA">
        <w:t>knutna frågor. Detta syfte är också angivet i lagtexten. Det är svårt att öve</w:t>
      </w:r>
      <w:r w:rsidRPr="000C34AA">
        <w:t>r</w:t>
      </w:r>
      <w:r w:rsidRPr="000C34AA">
        <w:t xml:space="preserve">blicka konsekvenserna av att låta kontrolluppgifterna användas till något annat än taxering m.m. Något initiativ för att utvidga användningsområdet för kontrolluppgifter bör inte tas inom ramen för detta ärende. </w:t>
      </w:r>
    </w:p>
    <w:p w:rsidR="009C332F" w:rsidRPr="000C34AA" w:rsidRDefault="009C332F">
      <w:pPr>
        <w:pStyle w:val="Normaltindrag"/>
      </w:pPr>
      <w:r w:rsidRPr="000C34AA">
        <w:t>Vidare anses intresset av skydd för den personliga integriteten väga myc</w:t>
      </w:r>
      <w:r w:rsidRPr="000C34AA">
        <w:t>k</w:t>
      </w:r>
      <w:r w:rsidRPr="000C34AA">
        <w:t>et tungt i skattesammanhang. Sekretessen hos skatteförvaltningen är absolut för den typ av uppgifter som nu är aktuella. Ett av de grundläggande skälen för detta är att skattskyldiga har en långtgående plikt att lämna uppgifter om egna förhållanden (prop. 1979/80:2 Del A, s. 256 f.). Det finns inte heller något exempel på att skatteförvaltningen ålagts uppgiftsskyldighet gentemot annan avseende innehållet i kontrolluppgifter. Förslaget framstår därför som ett principiellt g</w:t>
      </w:r>
      <w:r w:rsidRPr="000C34AA">
        <w:t>e</w:t>
      </w:r>
      <w:r w:rsidRPr="000C34AA">
        <w:t>nombrott. Tillräckligt starka sk</w:t>
      </w:r>
      <w:r w:rsidRPr="000C34AA">
        <w:t xml:space="preserve">äl för det finns inte. </w:t>
      </w:r>
    </w:p>
    <w:p w:rsidR="009C332F" w:rsidRPr="000C34AA" w:rsidRDefault="009C332F">
      <w:pPr>
        <w:pStyle w:val="Normaltindrag"/>
      </w:pPr>
      <w:r w:rsidRPr="000C34AA">
        <w:t>Övervägande skäl talar således emot införandet av en uppgiftsskyldighet för skattemyndigheten avseende innehållet i kontrolluppgifter. KPMG:s fö</w:t>
      </w:r>
      <w:r w:rsidRPr="000C34AA">
        <w:t>r</w:t>
      </w:r>
      <w:r w:rsidRPr="000C34AA">
        <w:t xml:space="preserve">slag i denna del bör alltså inte genomföras. </w:t>
      </w:r>
    </w:p>
    <w:p w:rsidR="009C332F" w:rsidRPr="000C34AA" w:rsidRDefault="009C332F">
      <w:pPr>
        <w:pStyle w:val="Rubrik3"/>
        <w:rPr>
          <w:noProof w:val="0"/>
        </w:rPr>
      </w:pPr>
      <w:bookmarkStart w:id="30" w:name="_Toc20645503"/>
      <w:r w:rsidRPr="000C34AA">
        <w:rPr>
          <w:noProof w:val="0"/>
        </w:rPr>
        <w:t>5.3.2 Uppgifter från den slutliga taxeringen</w:t>
      </w:r>
      <w:bookmarkEnd w:id="30"/>
    </w:p>
    <w:p w:rsidR="009C332F" w:rsidRPr="000C34AA" w:rsidRDefault="009C332F">
      <w:r w:rsidRPr="000C34AA">
        <w:t>KPMG har pekat på möjligheten att använda slutskattebeskedet i taxering</w:t>
      </w:r>
      <w:r w:rsidRPr="000C34AA">
        <w:t>s</w:t>
      </w:r>
      <w:r w:rsidRPr="000C34AA">
        <w:t xml:space="preserve">förfarandet i syfte att förbättra kontrollen av utbetalningar av inkomstgaranti. I viss begränsad utsträckning har sådana kontroller redan förekommit. </w:t>
      </w:r>
    </w:p>
    <w:p w:rsidR="009C332F" w:rsidRPr="000C34AA" w:rsidRDefault="009C332F">
      <w:pPr>
        <w:pStyle w:val="Normaltindrag"/>
      </w:pPr>
      <w:r w:rsidRPr="000C34AA">
        <w:t>Bestämmelser om slutskattebeskedet finns i skattebetalningslagen (1997:483) och i skattebetalningsförordningen (1997:750). De innebär att slutskattebeskedet i regel kommer i augusti månad och senast i december månad. Slutskattebeskedet visar bl.a. den skattskyldiges taxerade inkomst, den beskattningsbara inkomsten och debiterad skatt. Uppgifterna i slutskat</w:t>
      </w:r>
      <w:r w:rsidRPr="000C34AA">
        <w:t>t</w:t>
      </w:r>
      <w:r w:rsidRPr="000C34AA">
        <w:t>e</w:t>
      </w:r>
      <w:r w:rsidRPr="000C34AA">
        <w:t>beskedet är alltså inte direkt jämförbara med de typer av inkomster som skall samordnas. Däremot skulle uppgifterna i förekommande fall kunna utgöra grund för en mer rege</w:t>
      </w:r>
      <w:r w:rsidRPr="000C34AA">
        <w:t>l</w:t>
      </w:r>
      <w:r w:rsidRPr="000C34AA">
        <w:t xml:space="preserve">bunden uppföljning. </w:t>
      </w:r>
    </w:p>
    <w:p w:rsidR="009C332F" w:rsidRPr="000C34AA" w:rsidRDefault="009C332F">
      <w:pPr>
        <w:pStyle w:val="Normaltindrag"/>
      </w:pPr>
      <w:r w:rsidRPr="000C34AA">
        <w:t xml:space="preserve">En fördel med att använda slutskattebeskedet framför det ovan beskrivna förslaget att begära in kontrolluppgifter är att uppgifterna i slutskattebeskedet är offentliga och sålunda inte kräver någon särbehandling på det sätt som gäller för uppgifter som skyddas av sekretess. </w:t>
      </w:r>
    </w:p>
    <w:p w:rsidR="009C332F" w:rsidRPr="000C34AA" w:rsidRDefault="009C332F">
      <w:pPr>
        <w:pStyle w:val="Normaltindrag"/>
      </w:pPr>
      <w:r w:rsidRPr="000C34AA">
        <w:t xml:space="preserve">En annan fördel med att använda slutskattebeskedet är att uppgifterna i det är säkrare än de som anges i kontrolluppgifterna. </w:t>
      </w:r>
    </w:p>
    <w:p w:rsidR="009C332F" w:rsidRPr="000C34AA" w:rsidRDefault="009C332F">
      <w:pPr>
        <w:pStyle w:val="Normaltindrag"/>
      </w:pPr>
      <w:r w:rsidRPr="000C34AA">
        <w:t>Metoden har också vissa nackdelar. De inkomster som redovisas på slu</w:t>
      </w:r>
      <w:r w:rsidRPr="000C34AA">
        <w:t>t</w:t>
      </w:r>
      <w:r w:rsidRPr="000C34AA">
        <w:t>skattebeskedet är inte direkt jämförbara med de inkomster som skall samor</w:t>
      </w:r>
      <w:r w:rsidRPr="000C34AA">
        <w:t>d</w:t>
      </w:r>
      <w:r w:rsidRPr="000C34AA">
        <w:t>nas. Svårigheterna att jämföra berörda uppgifter accentueras dessutom i de fall där garantin bara avsett en del av året. Detta får till följd att slutskatteb</w:t>
      </w:r>
      <w:r w:rsidRPr="000C34AA">
        <w:t>e</w:t>
      </w:r>
      <w:r w:rsidRPr="000C34AA">
        <w:t>skedet bara kan användas som en indikation på att det kan finnas anledning att gå vidare och kontrollera uppgifterna med garantitagaren och, i föreko</w:t>
      </w:r>
      <w:r w:rsidRPr="000C34AA">
        <w:t>m</w:t>
      </w:r>
      <w:r w:rsidRPr="000C34AA">
        <w:t>mande fall, med den som betalat ut beloppet.</w:t>
      </w:r>
    </w:p>
    <w:p w:rsidR="009C332F" w:rsidRPr="000C34AA" w:rsidRDefault="009C332F">
      <w:pPr>
        <w:pStyle w:val="Normaltindrag"/>
      </w:pPr>
      <w:r w:rsidRPr="000C34AA">
        <w:t>En annan nackdel är att slutskattebeskedet kommer först i augusti. Detta får dock be</w:t>
      </w:r>
      <w:r w:rsidRPr="000C34AA">
        <w:t xml:space="preserve">traktas som en marginell försämring. Årsavstämning bör i de flesta fall kunna göras under våren ändå. </w:t>
      </w:r>
    </w:p>
    <w:p w:rsidR="009C332F" w:rsidRPr="000C34AA" w:rsidRDefault="009C332F">
      <w:pPr>
        <w:pStyle w:val="Normaltindrag"/>
      </w:pPr>
      <w:r w:rsidRPr="000C34AA">
        <w:t>Slutsatsen blir att uppgifterna i slutskattebeskedet bör kunna användas för att kontrollera uppgifterna från garantitagaren. Detta bör ske bl.a. om uppgi</w:t>
      </w:r>
      <w:r w:rsidRPr="000C34AA">
        <w:t>f</w:t>
      </w:r>
      <w:r w:rsidRPr="000C34AA">
        <w:t>terna i årsuppgiften avviker kraftigt från dem som lämnats i de preliminära inkomstuppgifterna. Vidare bör stickprov kunna göras. Också i andra fall kan det tänkas finnas behov av att kontrollera garantitagarnas uppgifter mot slu</w:t>
      </w:r>
      <w:r w:rsidRPr="000C34AA">
        <w:t>t</w:t>
      </w:r>
      <w:r w:rsidRPr="000C34AA">
        <w:t xml:space="preserve">skattebeskedet. Det synes emellertid inte finnas behov av att rutinmässigt begära in slutskattebeskeden. Beskeden bör alltså bara kontrolleras om det finns särskild anledning till det. </w:t>
      </w:r>
    </w:p>
    <w:p w:rsidR="009C332F" w:rsidRPr="000C34AA" w:rsidRDefault="009C332F">
      <w:pPr>
        <w:pStyle w:val="Rubrik3"/>
        <w:rPr>
          <w:noProof w:val="0"/>
        </w:rPr>
      </w:pPr>
      <w:bookmarkStart w:id="31" w:name="_Toc20645504"/>
      <w:r w:rsidRPr="000C34AA">
        <w:rPr>
          <w:noProof w:val="0"/>
        </w:rPr>
        <w:t>5.3.3 Garantitagares skyldighet att lämna uppgifter</w:t>
      </w:r>
      <w:bookmarkEnd w:id="31"/>
    </w:p>
    <w:p w:rsidR="009C332F" w:rsidRPr="000C34AA" w:rsidRDefault="009C332F">
      <w:pPr>
        <w:pStyle w:val="Rubrik4"/>
        <w:rPr>
          <w:noProof w:val="0"/>
        </w:rPr>
      </w:pPr>
      <w:bookmarkStart w:id="32" w:name="_Toc20645505"/>
      <w:r w:rsidRPr="000C34AA">
        <w:rPr>
          <w:noProof w:val="0"/>
        </w:rPr>
        <w:t>Riksdagsförvaltningens rätt att begära uppgifter från garantitagaren</w:t>
      </w:r>
      <w:bookmarkEnd w:id="32"/>
    </w:p>
    <w:p w:rsidR="009C332F" w:rsidRPr="000C34AA" w:rsidRDefault="009C332F">
      <w:r w:rsidRPr="000C34AA">
        <w:t>För att riksdagsförvaltningen skall kunna bedöma hur stor inkomstgaranti som skall betalas ut måste garantitagaren lämna uppgifter om sina inkoms</w:t>
      </w:r>
      <w:r w:rsidRPr="000C34AA">
        <w:t>t</w:t>
      </w:r>
      <w:r w:rsidRPr="000C34AA">
        <w:t>förhå</w:t>
      </w:r>
      <w:r w:rsidRPr="000C34AA">
        <w:t>l</w:t>
      </w:r>
      <w:r w:rsidRPr="000C34AA">
        <w:t xml:space="preserve">landen. </w:t>
      </w:r>
    </w:p>
    <w:p w:rsidR="009C332F" w:rsidRPr="000C34AA" w:rsidRDefault="009C332F">
      <w:pPr>
        <w:pStyle w:val="Normaltindrag"/>
      </w:pPr>
      <w:r w:rsidRPr="000C34AA">
        <w:t>I de nu gällande tillämpningsföreskrifterna anges att riksdagsförvaltningen kan begära att inkomstförhållandena styrks genom självdeklaration eller på annat sätt. Tanken med det synes ha varit att garantitagaren fullständigt skall redovisa de inkomster som kan ha betydelse för prövningen. Med självdekl</w:t>
      </w:r>
      <w:r w:rsidRPr="000C34AA">
        <w:t>a</w:t>
      </w:r>
      <w:r w:rsidRPr="000C34AA">
        <w:t xml:space="preserve">ration avses inte den skattemässiga deklarationen utan en förteckning som garantitagaren själv upprättat. </w:t>
      </w:r>
    </w:p>
    <w:p w:rsidR="009C332F" w:rsidRPr="000C34AA" w:rsidRDefault="009C332F">
      <w:pPr>
        <w:pStyle w:val="Normaltindrag"/>
      </w:pPr>
      <w:r w:rsidRPr="000C34AA">
        <w:t>Det kan ifrågasättas om den valda formuleringen i tillämpningsföreskri</w:t>
      </w:r>
      <w:r w:rsidRPr="000C34AA">
        <w:t>f</w:t>
      </w:r>
      <w:r w:rsidRPr="000C34AA">
        <w:t xml:space="preserve">terna fullt ut träffar de situationer där det kan finnas behov av att inhämta uppgifter från garantitagaren. Vad som kan behöva kontrolleras är ju om garantitagaren i exempelvis årsuppgiften verkligen redovisat </w:t>
      </w:r>
      <w:r w:rsidRPr="000C34AA">
        <w:rPr>
          <w:i/>
        </w:rPr>
        <w:t>alla</w:t>
      </w:r>
      <w:r w:rsidRPr="000C34AA">
        <w:t xml:space="preserve"> inkomster som är av betydelse för bedömningen av inkomstgarantin. Det kan nämnas att det kan finnas flera orsaker till att uppgifter utelämnats. Som påpekats i den i avsnitt 3 beskrivna uppföljningen saknas det anledning att anta annat än att de felaktigheter som upptäckts berott på missförstån</w:t>
      </w:r>
      <w:r w:rsidRPr="000C34AA">
        <w:t xml:space="preserve">d beträffande regleringens innebörd. </w:t>
      </w:r>
    </w:p>
    <w:p w:rsidR="009C332F" w:rsidRPr="000C34AA" w:rsidRDefault="009C332F">
      <w:pPr>
        <w:pStyle w:val="Normaltindrag"/>
      </w:pPr>
      <w:r w:rsidRPr="000C34AA">
        <w:t>Ett fall där det kan finnas behov av att begära in uppgifter är när det i år</w:t>
      </w:r>
      <w:r w:rsidRPr="000C34AA">
        <w:t>s</w:t>
      </w:r>
      <w:r w:rsidRPr="000C34AA">
        <w:t>uppgiften lämnas en uppgift som i betydande omfattning avviker från dem som lämnats tidigare. Ett annat exempel är när ett stickprov som riksdagsfö</w:t>
      </w:r>
      <w:r w:rsidRPr="000C34AA">
        <w:t>r</w:t>
      </w:r>
      <w:r w:rsidRPr="000C34AA">
        <w:t>valtningen gjort hos skattemyndigheten tyder på att alla inkomster inte red</w:t>
      </w:r>
      <w:r w:rsidRPr="000C34AA">
        <w:t>o</w:t>
      </w:r>
      <w:r w:rsidRPr="000C34AA">
        <w:t>visats. Som ytterligare exempel kan nämnas att det blivit allmänt känt att en garant</w:t>
      </w:r>
      <w:r w:rsidRPr="000C34AA">
        <w:t>i</w:t>
      </w:r>
      <w:r w:rsidRPr="000C34AA">
        <w:t>tagare haft större inkomster än vad som uppgivits tidigare.</w:t>
      </w:r>
    </w:p>
    <w:p w:rsidR="009C332F" w:rsidRPr="000C34AA" w:rsidRDefault="009C332F">
      <w:pPr>
        <w:pStyle w:val="Normaltindrag"/>
      </w:pPr>
      <w:r w:rsidRPr="000C34AA">
        <w:t>I de exempel som har beskrivits kan det finnas anledning att klargöra sk</w:t>
      </w:r>
      <w:r w:rsidRPr="000C34AA">
        <w:t>ä</w:t>
      </w:r>
      <w:r w:rsidRPr="000C34AA">
        <w:t>len till de nyss nämnda skillnaderna. Detta bör kunna ske så att riksdagsfö</w:t>
      </w:r>
      <w:r w:rsidRPr="000C34AA">
        <w:t>r</w:t>
      </w:r>
      <w:r w:rsidRPr="000C34AA">
        <w:t>valtningen ges rätt att från garantitagaren begära uppgifter som har betydelse för prövningen av inkomstgarantin. Det föreslås således att en sådan möjli</w:t>
      </w:r>
      <w:r w:rsidRPr="000C34AA">
        <w:t>g</w:t>
      </w:r>
      <w:r w:rsidRPr="000C34AA">
        <w:t xml:space="preserve">het införs. </w:t>
      </w:r>
    </w:p>
    <w:p w:rsidR="009C332F" w:rsidRPr="000C34AA" w:rsidRDefault="009C332F">
      <w:pPr>
        <w:pStyle w:val="Normaltindrag"/>
      </w:pPr>
      <w:r w:rsidRPr="000C34AA">
        <w:t>En begäran om uppgifter bör i möjligaste mån utformas så att den inte i onödan efterfrågar uppgifter som saknar betydelse. Det går dock inte att helt låta bli att begära uppgifter om sådana inkomster som inte skall samordnas. Om exempelvis garantitagaren väljer att be</w:t>
      </w:r>
      <w:r w:rsidRPr="000C34AA">
        <w:t>svara en begäran om uppgifter så att han endast förklarar att skillnaden mellan hans taxerade inkomst och de inkomster han redovisat i inkomstuppgifterna beror på en privat pensionsfö</w:t>
      </w:r>
      <w:r w:rsidRPr="000C34AA">
        <w:t>r</w:t>
      </w:r>
      <w:r w:rsidRPr="000C34AA">
        <w:t>säkring bör han vara skyldig att ange vilken försäkringsinrättning som står för utbetalningen. I annat fall saknas ju i praktiken möjlighet att kontrollera att uppgifterna är riktiga. Att känsliga uppgifter kan komma in i ett ärende om inkomstgaranti är alltså oundvikligt. Som en följd av detta föreslås i avsnitt 5.3.5 en best</w:t>
      </w:r>
      <w:r w:rsidRPr="000C34AA">
        <w:t xml:space="preserve">ämmelse om sekretess som tar sikte på uppgifter i ett ärende om inkomstgaranti. </w:t>
      </w:r>
    </w:p>
    <w:p w:rsidR="009C332F" w:rsidRPr="000C34AA" w:rsidRDefault="009C332F">
      <w:pPr>
        <w:pStyle w:val="Normaltindrag"/>
      </w:pPr>
      <w:r w:rsidRPr="000C34AA">
        <w:t>Det får förutsättas att möjligheten att begära upplysningar utnyttjas i u</w:t>
      </w:r>
      <w:r w:rsidRPr="000C34AA">
        <w:t>n</w:t>
      </w:r>
      <w:r w:rsidRPr="000C34AA">
        <w:t xml:space="preserve">dantagsfall. Främst handlar det, som i de ovan angivna exemplen, om fall där det framkommit något som talar för att uppgifterna behöver stämmas av. </w:t>
      </w:r>
    </w:p>
    <w:p w:rsidR="009C332F" w:rsidRPr="000C34AA" w:rsidRDefault="009C332F">
      <w:pPr>
        <w:pStyle w:val="Normaltindrag"/>
      </w:pPr>
      <w:r w:rsidRPr="000C34AA">
        <w:t>Sammantaget innebär detta att det i stället för den nuvarande tillämpning</w:t>
      </w:r>
      <w:r w:rsidRPr="000C34AA">
        <w:t>s</w:t>
      </w:r>
      <w:r w:rsidRPr="000C34AA">
        <w:t xml:space="preserve">föreskriften bör införas en bestämmelse där det slås fast att en garantitagare är skyldig att lämna de upplysningar till riksdagsförvaltningen som behövs för prövningen av hans eller hennes inkomstgaranti. Bestämmelser om detta bör tas in i ersättningslagen och företrädarlagen. </w:t>
      </w:r>
    </w:p>
    <w:p w:rsidR="009C332F" w:rsidRPr="000C34AA" w:rsidRDefault="009C332F">
      <w:pPr>
        <w:pStyle w:val="Rubrik4"/>
        <w:rPr>
          <w:noProof w:val="0"/>
        </w:rPr>
      </w:pPr>
      <w:bookmarkStart w:id="33" w:name="_Toc20645506"/>
      <w:r w:rsidRPr="000C34AA">
        <w:rPr>
          <w:noProof w:val="0"/>
        </w:rPr>
        <w:t>Utbetalning av inkomstgaranti bör kunna stoppas i vissa fall</w:t>
      </w:r>
      <w:bookmarkEnd w:id="33"/>
    </w:p>
    <w:p w:rsidR="009C332F" w:rsidRPr="000C34AA" w:rsidRDefault="009C332F">
      <w:r w:rsidRPr="000C34AA">
        <w:t xml:space="preserve">Dagens regler innebär att riksdagsförvaltningen kan innehålla en utbetalning om den garantiberättigade försummar att lämna månads- eller årsuppgift. Andra påtryckningsmedel för att få in begärda uppgifter saknas. Frågan blir då om det finns något behov av ytterligare sanktioner. </w:t>
      </w:r>
    </w:p>
    <w:p w:rsidR="009C332F" w:rsidRPr="000C34AA" w:rsidRDefault="009C332F">
      <w:pPr>
        <w:pStyle w:val="Normaltindrag"/>
      </w:pPr>
      <w:r w:rsidRPr="000C34AA">
        <w:t xml:space="preserve">I dagsläget lämnas årsuppgifter in i enlighet med gällande föreskrifter, även om det ibland förekommer att påminnelse måste ges. Något större behov av ytterligare sanktioner för att få in årsuppgifterna tycks alltså inte finnas. </w:t>
      </w:r>
    </w:p>
    <w:p w:rsidR="009C332F" w:rsidRPr="000C34AA" w:rsidRDefault="009C332F">
      <w:pPr>
        <w:pStyle w:val="Normaltindrag"/>
      </w:pPr>
      <w:r w:rsidRPr="000C34AA">
        <w:t>När det sedan gäller de uppgifter som efterfrågas med stöd av den regel som föreslagits i föregående avsnitt måste å ena sidan utgångspunkten vara att en sådan begäran följs. Å andra sidan framstår det som otillfredsställande att det inte finns någon som helst sanktion att ta till i fall garantitagaren inte skulle svara. En tanke skulle här kunna vara att den som låter bli att lämna begärda uppgifter skulle bli återbetalningsskyldig för hela det utbetalda b</w:t>
      </w:r>
      <w:r w:rsidRPr="000C34AA">
        <w:t>e</w:t>
      </w:r>
      <w:r w:rsidRPr="000C34AA">
        <w:t>loppet. Ett alternativ skulle kunna vara att införa en möjlighet att stoppa for</w:t>
      </w:r>
      <w:r w:rsidRPr="000C34AA">
        <w:t>t</w:t>
      </w:r>
      <w:r w:rsidRPr="000C34AA">
        <w:t xml:space="preserve">satta utbetalningar i likhet med vad som redan gäller i fråga om den som inte lämnar in årsuppgiften. </w:t>
      </w:r>
    </w:p>
    <w:p w:rsidR="009C332F" w:rsidRPr="000C34AA" w:rsidRDefault="009C332F">
      <w:pPr>
        <w:pStyle w:val="Normaltindrag"/>
      </w:pPr>
      <w:r w:rsidRPr="000C34AA">
        <w:t>Ett beslut om total återbetalning skulle kunna leda till praktiska nackdelar. Om ett beslut skulle fattas om total återbetalning och uppgifterna sedan lä</w:t>
      </w:r>
      <w:r w:rsidRPr="000C34AA">
        <w:t>m</w:t>
      </w:r>
      <w:r w:rsidRPr="000C34AA">
        <w:t xml:space="preserve">nades in, skulle beslutet få omprövas. Detta skulle eventuellt få ske i ett läge där avräkning skett mot löpande utbetalningar, indrivningsåtgärder hunnit vidtas etc. Härtill kommer att ett sådant beslut får vissa återverkningar för den berördes taxering. Några motsvarande nackdelar finns inte med att stoppa utbetalningarna. </w:t>
      </w:r>
    </w:p>
    <w:p w:rsidR="009C332F" w:rsidRPr="000C34AA" w:rsidRDefault="009C332F">
      <w:pPr>
        <w:pStyle w:val="Normaltindrag"/>
      </w:pPr>
      <w:r w:rsidRPr="000C34AA">
        <w:t>Det kan dessutom ifrågasättas om inte en möjlighet att kräva tillbaka allt som utbetalats är en oproportionerligt hård sanktion. I regel torde det vara så att den som inte lämnar in u</w:t>
      </w:r>
      <w:r w:rsidRPr="000C34AA">
        <w:t>ppgifter ändå har rätt till en viss inkomstgaranti. Denna nackdel kan svårligen anses föreligga såvitt gäller alternativet att sto</w:t>
      </w:r>
      <w:r w:rsidRPr="000C34AA">
        <w:t>p</w:t>
      </w:r>
      <w:r w:rsidRPr="000C34AA">
        <w:t xml:space="preserve">pa utbetalningarna. </w:t>
      </w:r>
    </w:p>
    <w:p w:rsidR="009C332F" w:rsidRPr="000C34AA" w:rsidRDefault="009C332F">
      <w:pPr>
        <w:pStyle w:val="Normaltindrag"/>
      </w:pPr>
      <w:r w:rsidRPr="000C34AA">
        <w:t>Slutsatsen blir att det inte bör införas någon särskild regel om total återb</w:t>
      </w:r>
      <w:r w:rsidRPr="000C34AA">
        <w:t>e</w:t>
      </w:r>
      <w:r w:rsidRPr="000C34AA">
        <w:t>talning i de fall uppgifter inte skulle lämnas. Däremot bör en möjlighet inf</w:t>
      </w:r>
      <w:r w:rsidRPr="000C34AA">
        <w:t>ö</w:t>
      </w:r>
      <w:r w:rsidRPr="000C34AA">
        <w:t xml:space="preserve">ras att stoppa pågående utbetalningar. Bestämmelser om detta bör införas i ersättningslagen och i företrädarlagen. </w:t>
      </w:r>
    </w:p>
    <w:p w:rsidR="009C332F" w:rsidRPr="000C34AA" w:rsidRDefault="009C332F">
      <w:pPr>
        <w:pStyle w:val="Rubrik4"/>
        <w:rPr>
          <w:noProof w:val="0"/>
        </w:rPr>
      </w:pPr>
      <w:bookmarkStart w:id="34" w:name="_Toc20645507"/>
      <w:r w:rsidRPr="000C34AA">
        <w:rPr>
          <w:noProof w:val="0"/>
        </w:rPr>
        <w:t>Ändrade förhållanden</w:t>
      </w:r>
      <w:bookmarkEnd w:id="34"/>
    </w:p>
    <w:p w:rsidR="009C332F" w:rsidRPr="000C34AA" w:rsidRDefault="009C332F">
      <w:r w:rsidRPr="000C34AA">
        <w:t>Av den ovan redovisade uppföljningen framgår att ett av skälen till att diff</w:t>
      </w:r>
      <w:r w:rsidRPr="000C34AA">
        <w:t>e</w:t>
      </w:r>
      <w:r w:rsidRPr="000C34AA">
        <w:t xml:space="preserve">renser uppkommit har varit att garantitagarens inkomstförhållanden ändrats under perioden. Garantitagaren kan t.ex. ha fått ett nytt arbete under den senare delen av året. Vidare kan ett arvode som avser en längre period ha betalats ut. Regelverket på detta område bör bidra till att differenserna vid den årliga avstämningen blir så små som möjligt. I viss utsträckning kommer en övergång till årsvis rapportering att verka i denna riktning eftersom det inte uppkommer någon eftersläpning i rutinerna. Å andra </w:t>
      </w:r>
      <w:r w:rsidRPr="000C34AA">
        <w:t>sidan ger det nuvarande systemet med månadsrapportering ett visst utrymme för att under året rätta till sådana förändringar som annars skulle visa sig först när årsuppgiften lämn</w:t>
      </w:r>
      <w:r w:rsidRPr="000C34AA">
        <w:t>a</w:t>
      </w:r>
      <w:r w:rsidRPr="000C34AA">
        <w:t>des in. Det kommer alltså fortfarande att finnas ett visst behov av att under pågående utbetalningsår få in uppgifter om ändrade förhållanden från den som uppbär ersättning. Garantitagaren bör därför vara skyldig att på eget initiativ lämna uppgift om hans eller hennes inkomstförhållanden förändrats väsentligt. Bestämmelser om dett</w:t>
      </w:r>
      <w:r w:rsidRPr="000C34AA">
        <w:t>a bör tas in i ersättningslagen och i företr</w:t>
      </w:r>
      <w:r w:rsidRPr="000C34AA">
        <w:t>ä</w:t>
      </w:r>
      <w:r w:rsidRPr="000C34AA">
        <w:t xml:space="preserve">darlagen. </w:t>
      </w:r>
    </w:p>
    <w:p w:rsidR="009C332F" w:rsidRPr="000C34AA" w:rsidRDefault="009C332F">
      <w:pPr>
        <w:pStyle w:val="Normaltindrag"/>
      </w:pPr>
      <w:r w:rsidRPr="000C34AA">
        <w:t>Vad som skall anses vara väsentligt ändrade förhållanden får bedömas från fall till fall. En inkomstförändring kan betyda mycket för några men mindre för andra. Härtill kommer att en ändrad inkomst förändrar inkomstgarantin med varierande belopp beroende på tjänstgöringstid i riksdagen. Några gen</w:t>
      </w:r>
      <w:r w:rsidRPr="000C34AA">
        <w:t>e</w:t>
      </w:r>
      <w:r w:rsidRPr="000C34AA">
        <w:t>rella anvisningar för bedömningen låter sig alltså inte göras. Däremot bör en inkomstförändring som på årsbasis överstiger 30 000 kr kunna ses som ett riktmärke för när det är fråga om väsentligt ändrade förhållanden. För ett sådant relativt högt riktmärke talar att mindre förändringar inte i någon större grad bidrar till att staten gör ränteförluster på för högt utbetalda belopp. Des</w:t>
      </w:r>
      <w:r w:rsidRPr="000C34AA">
        <w:t>s</w:t>
      </w:r>
      <w:r w:rsidRPr="000C34AA">
        <w:t>utom skulle en alltför låg gräns inbjuda till en omfattande rapportering av ändrade inkomstförhållanden, något som i prakti</w:t>
      </w:r>
      <w:r w:rsidRPr="000C34AA">
        <w:t xml:space="preserve">ken skulle motverka syftet med övergången från månadsvis till årsvis rapportering av inkomster. </w:t>
      </w:r>
    </w:p>
    <w:p w:rsidR="009C332F" w:rsidRPr="000C34AA" w:rsidRDefault="009C332F">
      <w:pPr>
        <w:pStyle w:val="Rubrik4"/>
        <w:rPr>
          <w:noProof w:val="0"/>
        </w:rPr>
      </w:pPr>
      <w:bookmarkStart w:id="35" w:name="_Toc20645508"/>
      <w:r w:rsidRPr="000C34AA">
        <w:rPr>
          <w:noProof w:val="0"/>
        </w:rPr>
        <w:t>Heder och samvete</w:t>
      </w:r>
      <w:bookmarkEnd w:id="35"/>
    </w:p>
    <w:p w:rsidR="009C332F" w:rsidRPr="000C34AA" w:rsidRDefault="009C332F">
      <w:r w:rsidRPr="000C34AA">
        <w:t>Avslutningsvis bör här nämnas att garantitagaren på de nuvarande årsbla</w:t>
      </w:r>
      <w:r w:rsidRPr="000C34AA">
        <w:t>n</w:t>
      </w:r>
      <w:r w:rsidRPr="000C34AA">
        <w:t>ketterna intygar på heder och samvete att uppgifterna är riktiga. I likhet med vad som gäller på en rad andra områden bör kravet på heder och samvete författningsregleras. Som exempel kan nämnas 19 § lagen (1993:737) om bostadsbidrag. En bestämmelse om detta bör tas in i ersättningslagen och i företrädarlagen. Den som lämnar felaktiga uppgifter kan, med en sådan r</w:t>
      </w:r>
      <w:r w:rsidRPr="000C34AA">
        <w:t>e</w:t>
      </w:r>
      <w:r w:rsidRPr="000C34AA">
        <w:t>glering, komma att göra sig skyldig till osann försäkran (15 kap. 10 § brott</w:t>
      </w:r>
      <w:r w:rsidRPr="000C34AA">
        <w:t>s</w:t>
      </w:r>
      <w:r w:rsidRPr="000C34AA">
        <w:t xml:space="preserve">balken). </w:t>
      </w:r>
    </w:p>
    <w:p w:rsidR="009C332F" w:rsidRPr="000C34AA" w:rsidRDefault="009C332F">
      <w:pPr>
        <w:pStyle w:val="Rubrik3"/>
        <w:rPr>
          <w:noProof w:val="0"/>
        </w:rPr>
      </w:pPr>
      <w:bookmarkStart w:id="36" w:name="_Toc20645509"/>
      <w:r w:rsidRPr="000C34AA">
        <w:rPr>
          <w:noProof w:val="0"/>
        </w:rPr>
        <w:t>5.3.4 Skyldighet för utbetalare att lämna uppgifter</w:t>
      </w:r>
      <w:bookmarkEnd w:id="36"/>
    </w:p>
    <w:p w:rsidR="009C332F" w:rsidRPr="000C34AA" w:rsidRDefault="009C332F">
      <w:r w:rsidRPr="000C34AA">
        <w:t>De förslag som nu har presenterats innebär att riksdagsförvaltningen kan kräva att en garantitagare lämnar uppgift om vilka inkomster han eller hon har som skall samordnas. Om det efter en sådan begäran skulle visa sig att gara</w:t>
      </w:r>
      <w:r w:rsidRPr="000C34AA">
        <w:t>n</w:t>
      </w:r>
      <w:r w:rsidRPr="000C34AA">
        <w:t>titagaren har haft inkomster som inte har tagits upp tidigare inställer sig n</w:t>
      </w:r>
      <w:r w:rsidRPr="000C34AA">
        <w:t>a</w:t>
      </w:r>
      <w:r w:rsidRPr="000C34AA">
        <w:t xml:space="preserve">turligtvis frågan om de nya uppgifterna är fullständiga. I vissa fall kan det tänkas att garantitagaren lämnar sådana kompletterande upplysningar att det framstår som klart att uppgifterna är fullständiga. I andra fall kan det vara svårare att bilda sig en uppfattning om detta. I dessa – förmodligen ytterst sällsynta – fall finns ett behov av att kunna kontrollera uppgifterna med den som sägs ha betalat ut beloppet. </w:t>
      </w:r>
    </w:p>
    <w:p w:rsidR="009C332F" w:rsidRPr="000C34AA" w:rsidRDefault="009C332F">
      <w:pPr>
        <w:pStyle w:val="Normaltindrag"/>
      </w:pPr>
      <w:r w:rsidRPr="000C34AA">
        <w:t>I dagens reg</w:t>
      </w:r>
      <w:r w:rsidRPr="000C34AA">
        <w:t>elverk saknas regler som gör det möjligt för riksdagsförval</w:t>
      </w:r>
      <w:r w:rsidRPr="000C34AA">
        <w:t>t</w:t>
      </w:r>
      <w:r w:rsidRPr="000C34AA">
        <w:t>ningen att hos utbetalare av ersättningar begära att uppgifter om betalningen lä</w:t>
      </w:r>
      <w:r w:rsidRPr="000C34AA">
        <w:t>m</w:t>
      </w:r>
      <w:r w:rsidRPr="000C34AA">
        <w:t xml:space="preserve">nas ut. </w:t>
      </w:r>
    </w:p>
    <w:p w:rsidR="009C332F" w:rsidRPr="000C34AA" w:rsidRDefault="009C332F">
      <w:pPr>
        <w:pStyle w:val="Normaltindrag"/>
      </w:pPr>
      <w:r w:rsidRPr="000C34AA">
        <w:t>Bestämmelser om uppgiftsskyldighet finns på en del andra håll i lagstif</w:t>
      </w:r>
      <w:r w:rsidRPr="000C34AA">
        <w:t>t</w:t>
      </w:r>
      <w:r w:rsidRPr="000C34AA">
        <w:t>ningen. Som exempel kan nämnas att det i 29 § lagen (2001:761) om b</w:t>
      </w:r>
      <w:r w:rsidRPr="000C34AA">
        <w:t>o</w:t>
      </w:r>
      <w:r w:rsidRPr="000C34AA">
        <w:t>stadstillägg till pensionärer m.fl., som träder i kraft den 1 januari 2003, för</w:t>
      </w:r>
      <w:r w:rsidRPr="000C34AA">
        <w:t>e</w:t>
      </w:r>
      <w:r w:rsidRPr="000C34AA">
        <w:t>skrivs att banker och andra penninginrättningar på begäran av domstol, Rik</w:t>
      </w:r>
      <w:r w:rsidRPr="000C34AA">
        <w:t>s</w:t>
      </w:r>
      <w:r w:rsidRPr="000C34AA">
        <w:t>försäkringsverket eller den allmänna försäkringskassan skall lämna uppgifter om en namngiven person. Det kriterium som uppställs rörande själva uppgi</w:t>
      </w:r>
      <w:r w:rsidRPr="000C34AA">
        <w:t>f</w:t>
      </w:r>
      <w:r w:rsidRPr="000C34AA">
        <w:t>terna är att de skall gälla förhållanden som är av betydelse för tillämpningen av lagen. En liknande bestämmelse finns i 20 kap. 9 § lagen</w:t>
      </w:r>
      <w:r w:rsidRPr="000C34AA">
        <w:t xml:space="preserve"> (1962:381) om allmän försäkring. I det fallet riktar sig dock uppgiftsskyldigheten till en vidare krets, nämligen statliga och kommunala myndigheter samt arbetsgivare och försä</w:t>
      </w:r>
      <w:r w:rsidRPr="000C34AA">
        <w:t>k</w:t>
      </w:r>
      <w:r w:rsidRPr="000C34AA">
        <w:t xml:space="preserve">ringsinrättningar. </w:t>
      </w:r>
    </w:p>
    <w:p w:rsidR="009C332F" w:rsidRPr="000C34AA" w:rsidRDefault="009C332F">
      <w:pPr>
        <w:pStyle w:val="Normaltindrag"/>
      </w:pPr>
      <w:r w:rsidRPr="000C34AA">
        <w:t>Riksdagsförvaltningen bör mot bakgrund av det anförda ges möjlighet att begära uppgifter rörande utbetalningar till garantitagaren. En sådan regel bör göra det möjligt att begära uppgifter om inkomster som är pensionsgrunda</w:t>
      </w:r>
      <w:r w:rsidRPr="000C34AA">
        <w:t>n</w:t>
      </w:r>
      <w:r w:rsidRPr="000C34AA">
        <w:t>de, om vissa socialförsäkringar och om olika typer av försäkringar och pe</w:t>
      </w:r>
      <w:r w:rsidRPr="000C34AA">
        <w:t>n</w:t>
      </w:r>
      <w:r w:rsidRPr="000C34AA">
        <w:t>sioner. Följaktligen bör en sådan bestämmelse rikta sig mot sådana organ som betalar ut sådana ersättningar. I den mån uppgifterna finns hos en myndighet bryter en sådan uppgiftsskyldighet den sekretess som annars kan gälla hos myndigheten för den aktuella uppgiften. Detta följer av 14 kap. 1 § sekr</w:t>
      </w:r>
      <w:r w:rsidRPr="000C34AA">
        <w:t>e</w:t>
      </w:r>
      <w:r w:rsidRPr="000C34AA">
        <w:t>tesslagen. Skyldigheten att efterkomma en sådan begäran bör framgå av e</w:t>
      </w:r>
      <w:r w:rsidRPr="000C34AA">
        <w:t>r</w:t>
      </w:r>
      <w:r w:rsidRPr="000C34AA">
        <w:t xml:space="preserve">sättningslagen och företrädarlagen. </w:t>
      </w:r>
    </w:p>
    <w:p w:rsidR="009C332F" w:rsidRPr="000C34AA" w:rsidRDefault="009C332F">
      <w:pPr>
        <w:pStyle w:val="Rubrik3"/>
        <w:rPr>
          <w:noProof w:val="0"/>
        </w:rPr>
      </w:pPr>
      <w:bookmarkStart w:id="37" w:name="_Toc20645510"/>
      <w:r w:rsidRPr="000C34AA">
        <w:rPr>
          <w:noProof w:val="0"/>
        </w:rPr>
        <w:t>5.3.5 Sekretess</w:t>
      </w:r>
      <w:bookmarkEnd w:id="37"/>
    </w:p>
    <w:p w:rsidR="009C332F" w:rsidRPr="000C34AA" w:rsidRDefault="009C332F">
      <w:r w:rsidRPr="000C34AA">
        <w:t>Förslagen om skyldighet för garantitagare och utbetalare av ersättningar att lämna uppgifter medför att det hos den myndighet som handlägger ärenden om inkomstgaranti kommer att finnas uppgifter som rör enskildas personliga och ekonomiska förhållanden. Som framgår ovan kommer detta – med det avtal som man planerar att sluta om saken – i praktiken att vara SPV. Det kan emellertid tänkas att riksdagsförvaltningen i vissa undantagsfall ändå måste handlägga ett sådant ärende. Så kan t.ex. bli fallet under en ö</w:t>
      </w:r>
      <w:r w:rsidRPr="000C34AA">
        <w:t xml:space="preserve">vergångsperiod innan överföringen slutförts samt om avtalet upphör att gälla. Vidare kan uppgifter finnas hos Riksdagens besvärsnämnd, om ett beslut som gäller inkomstgaranti skulle överklagas. </w:t>
      </w:r>
    </w:p>
    <w:p w:rsidR="009C332F" w:rsidRPr="000C34AA" w:rsidRDefault="009C332F">
      <w:pPr>
        <w:pStyle w:val="Normaltindrag"/>
      </w:pPr>
      <w:r w:rsidRPr="000C34AA">
        <w:t>Som det nya systemet för inkomstrapportering är konstruerat kommer det i normalfallet aldrig att finnas några detaljerade uppgifter om inkomsterna. Det torde i praktiken bara vara när kontrollåtgärder vidtagits i enlighet med vad som beskrivits i det föregående som känsliga uppgifter kommer att finnas hos riksdagsfö</w:t>
      </w:r>
      <w:r w:rsidRPr="000C34AA">
        <w:t xml:space="preserve">rvaltningen, SPV eller besvärsnämnden. </w:t>
      </w:r>
    </w:p>
    <w:p w:rsidR="009C332F" w:rsidRPr="000C34AA" w:rsidRDefault="009C332F">
      <w:pPr>
        <w:pStyle w:val="Normaltindrag"/>
      </w:pPr>
      <w:r w:rsidRPr="000C34AA">
        <w:t>De uppgifter som kan förekomma i ärenden om inkomstgaranti är i första hand uppgifter om sådana inkomster som skall samordnas. Dessa inkomster är dels sjukbidrag och förtidspension, dels pensionsgrundande inkomst, dels inkomster av anställning eller uppdrag utomlands som inte beskattas i Sver</w:t>
      </w:r>
      <w:r w:rsidRPr="000C34AA">
        <w:t>i</w:t>
      </w:r>
      <w:r w:rsidRPr="000C34AA">
        <w:t xml:space="preserve">ge, dels kompletterande delpension och dels pension och livränta i andra fall. I det följande lämnas en närmare beskrivning av vilken slags uppgifter som detta är fråga om. </w:t>
      </w:r>
    </w:p>
    <w:p w:rsidR="009C332F" w:rsidRPr="000C34AA" w:rsidRDefault="009C332F">
      <w:pPr>
        <w:pStyle w:val="Normaltindrag"/>
      </w:pPr>
      <w:r w:rsidRPr="000C34AA">
        <w:t xml:space="preserve">Inkomster som är </w:t>
      </w:r>
      <w:r w:rsidRPr="000C34AA">
        <w:rPr>
          <w:i/>
        </w:rPr>
        <w:t>pensionsgrundande</w:t>
      </w:r>
      <w:r w:rsidRPr="000C34AA">
        <w:t xml:space="preserve"> är i huvudsak alla inkomster som en anställd har, liksom arvoden av olika slag. Hos en offentlig arbetsgivare eller uppdragsgivare är sådana uppgifter i regel offentliga. Hos en privat arbetsg</w:t>
      </w:r>
      <w:r w:rsidRPr="000C34AA">
        <w:t>i</w:t>
      </w:r>
      <w:r w:rsidRPr="000C34AA">
        <w:t xml:space="preserve">vare finns ingen lagreglerad offentlighet. </w:t>
      </w:r>
    </w:p>
    <w:p w:rsidR="009C332F" w:rsidRPr="000C34AA" w:rsidRDefault="009C332F">
      <w:pPr>
        <w:pStyle w:val="Normaltindrag"/>
      </w:pPr>
      <w:r w:rsidRPr="000C34AA">
        <w:t xml:space="preserve">Uppgifter om </w:t>
      </w:r>
      <w:r w:rsidRPr="000C34AA">
        <w:rPr>
          <w:i/>
        </w:rPr>
        <w:t>förtidspension</w:t>
      </w:r>
      <w:r w:rsidRPr="000C34AA">
        <w:t xml:space="preserve"> och </w:t>
      </w:r>
      <w:r w:rsidRPr="000C34AA">
        <w:rPr>
          <w:i/>
        </w:rPr>
        <w:t>sjukbidrag</w:t>
      </w:r>
      <w:r w:rsidRPr="000C34AA">
        <w:t xml:space="preserve"> enligt lagen om allmän försä</w:t>
      </w:r>
      <w:r w:rsidRPr="000C34AA">
        <w:t>k</w:t>
      </w:r>
      <w:r w:rsidRPr="000C34AA">
        <w:t>ring skyddas av sekretess. Av 7 kap. 7 § sekretesslagen följer att sekretess gäller hos bl.a. allmän försäkringskassa i ärende enligt lagstiftningen om allmän försäkring. Sekretessen gäller för uppgift om någons hälsotillstånd eller andra personliga förhållanden, om det kan antas att den som uppgiften rör eller någon honom närstående lider men om uppgiften röjs. Eftersom begreppet personliga förhållanden i regel avser även uppgifter om en persons ek</w:t>
      </w:r>
      <w:r w:rsidRPr="000C34AA">
        <w:t xml:space="preserve">onomi, omfattar bestämmelsen såväl uppgifter om sjukperioder o.d. som uppgifter om en persons ekonomi, exempelvis om sjukpenninggrundande inkomst och sjukpenningens storlek (prop. 1979/80:2 Del A s. 190). </w:t>
      </w:r>
    </w:p>
    <w:p w:rsidR="009C332F" w:rsidRPr="000C34AA" w:rsidRDefault="009C332F">
      <w:pPr>
        <w:pStyle w:val="Normaltindrag"/>
      </w:pPr>
      <w:r w:rsidRPr="000C34AA">
        <w:t xml:space="preserve">Uppgifter om </w:t>
      </w:r>
      <w:r w:rsidRPr="000C34AA">
        <w:rPr>
          <w:i/>
        </w:rPr>
        <w:t>inkomster som inte beskattas i Sverige</w:t>
      </w:r>
      <w:r w:rsidRPr="000C34AA">
        <w:t xml:space="preserve"> torde i regel finnas hos utbetalaren, som i de här aktuella fallen finns i utlandet. Svenska regler om offentlighet och sekretess gäller inte för dessa uppgifter. </w:t>
      </w:r>
    </w:p>
    <w:p w:rsidR="009C332F" w:rsidRPr="000C34AA" w:rsidRDefault="009C332F">
      <w:pPr>
        <w:pStyle w:val="Normaltindrag"/>
      </w:pPr>
      <w:r w:rsidRPr="000C34AA">
        <w:t xml:space="preserve">I övrigt skall enligt ersättningslagen samordning ske beträffande </w:t>
      </w:r>
      <w:r w:rsidRPr="000C34AA">
        <w:rPr>
          <w:i/>
        </w:rPr>
        <w:t>komple</w:t>
      </w:r>
      <w:r w:rsidRPr="000C34AA">
        <w:rPr>
          <w:i/>
        </w:rPr>
        <w:t>t</w:t>
      </w:r>
      <w:r w:rsidRPr="000C34AA">
        <w:rPr>
          <w:i/>
        </w:rPr>
        <w:t>terande delpension</w:t>
      </w:r>
      <w:r w:rsidRPr="000C34AA">
        <w:t xml:space="preserve">. Vidare skall </w:t>
      </w:r>
      <w:r w:rsidRPr="000C34AA">
        <w:rPr>
          <w:i/>
        </w:rPr>
        <w:t>pension och livränta</w:t>
      </w:r>
      <w:r w:rsidRPr="000C34AA">
        <w:t xml:space="preserve"> samordnas i den mån detta inte skett inom ramen för den samordning som skall ske av förtidspe</w:t>
      </w:r>
      <w:r w:rsidRPr="000C34AA">
        <w:t>n</w:t>
      </w:r>
      <w:r w:rsidRPr="000C34AA">
        <w:t>sion och sjukbidrag. Här handlar det främst om pensionsförmåner som utgår på grund av statlig eller kommunal tjänst eller från pensionsförsäkringar m.m. som betalats av en arbets- eller uppdragsgivare (förs. 1987/88:13 s. 7). I sammanhanget bör också nämnas att livränta kan utbetalas som ersättning för arbetsskada enligt lagen (1976:380) om arbetsskadeför</w:t>
      </w:r>
      <w:r w:rsidRPr="000C34AA">
        <w:t xml:space="preserve">säkring. </w:t>
      </w:r>
    </w:p>
    <w:p w:rsidR="009C332F" w:rsidRPr="000C34AA" w:rsidRDefault="009C332F">
      <w:pPr>
        <w:pStyle w:val="Normaltindrag"/>
      </w:pPr>
      <w:r w:rsidRPr="000C34AA">
        <w:t>Förutom uppgifter om de inkomster som skall samordnas kommer också viss överskottsinformation att finnas hos berörda myndigheter efter det att särskilda kontrollinsatser gjorts. Sådana uppgifter kan avse exempelvis pr</w:t>
      </w:r>
      <w:r w:rsidRPr="000C34AA">
        <w:t>i</w:t>
      </w:r>
      <w:r w:rsidRPr="000C34AA">
        <w:t>vata pe</w:t>
      </w:r>
      <w:r w:rsidRPr="000C34AA">
        <w:t>n</w:t>
      </w:r>
      <w:r w:rsidRPr="000C34AA">
        <w:t xml:space="preserve">sionsförsäkringar. I regel får sådana uppgifter betraktas som känsliga. </w:t>
      </w:r>
    </w:p>
    <w:p w:rsidR="009C332F" w:rsidRPr="000C34AA" w:rsidRDefault="009C332F">
      <w:pPr>
        <w:pStyle w:val="Normaltindrag"/>
      </w:pPr>
      <w:r w:rsidRPr="000C34AA">
        <w:t>Uppgifter om de inkomster som nu är aktuella kan finnas hos allmän fö</w:t>
      </w:r>
      <w:r w:rsidRPr="000C34AA">
        <w:t>r</w:t>
      </w:r>
      <w:r w:rsidRPr="000C34AA">
        <w:t xml:space="preserve">säkringskassa, hos Riksförsäkringsverket, hos SPV, hos försäkringsbolag samt hos dem som administrerar olika pensionsavtal. Såvitt gäller uppgifter hos försäkringskassan och hos Riksförsäkringsverket gäller sekretess enligt den ovan nämnda bestämmelsen i 7 kap. 7 § sekretesslagen – bestämmelsen tar nämligen sikte även på uppgifter i ärende om arbetsskadeförsäkring och på uppgifter i ärenden om annan jämförbar ekonomisk förmån för enskild. För uppgifter hos SPV finns ingen sekretessregel. För uppgifter hos </w:t>
      </w:r>
      <w:r w:rsidRPr="000C34AA">
        <w:t>de organ som administrerar pensionsförmåner, t.ex. KPA, Alecta och Pressens pensionska</w:t>
      </w:r>
      <w:r w:rsidRPr="000C34AA">
        <w:t>s</w:t>
      </w:r>
      <w:r w:rsidRPr="000C34AA">
        <w:t>sa, gäller ingen handlingsoffentlighet. Detsamma gäller försäkringsbolagen.</w:t>
      </w:r>
    </w:p>
    <w:p w:rsidR="009C332F" w:rsidRPr="000C34AA" w:rsidRDefault="009C332F">
      <w:pPr>
        <w:pStyle w:val="Normaltindrag"/>
      </w:pPr>
      <w:r w:rsidRPr="000C34AA">
        <w:t>Den nu gjorda genomgången visar att de uppgifter som kan komma att lämnas i ärenden om inkomstgaranti finns hos såväl offentliga som privata rättssubjekt och att uppgifter som finns hos det allmänna i vissa fall, men inte i alla, skyddas av sekretess. I de fall sekretess gäller har ett s.k. rakt skadere</w:t>
      </w:r>
      <w:r w:rsidRPr="000C34AA">
        <w:t>k</w:t>
      </w:r>
      <w:r w:rsidRPr="000C34AA">
        <w:t>visit använts, dvs. sekretess gäller om det kan antas att den enskilde lider men. Frågan blir då om och i så fall i vilken utsträckning det kan anses mot</w:t>
      </w:r>
      <w:r w:rsidRPr="000C34AA">
        <w:t>i</w:t>
      </w:r>
      <w:r w:rsidRPr="000C34AA">
        <w:t>verat att uppgifter som tillförs ett ärende om inkomstgaranti skyddas av se</w:t>
      </w:r>
      <w:r w:rsidRPr="000C34AA">
        <w:t>k</w:t>
      </w:r>
      <w:r w:rsidRPr="000C34AA">
        <w:t xml:space="preserve">retess. </w:t>
      </w:r>
    </w:p>
    <w:p w:rsidR="009C332F" w:rsidRPr="000C34AA" w:rsidRDefault="009C332F">
      <w:pPr>
        <w:pStyle w:val="Normaltindrag"/>
      </w:pPr>
      <w:r w:rsidRPr="000C34AA">
        <w:t>Det finns goda skäl för en hög grad av öppenhet rörande uppgifter i äre</w:t>
      </w:r>
      <w:r w:rsidRPr="000C34AA">
        <w:t>n</w:t>
      </w:r>
      <w:r w:rsidRPr="000C34AA">
        <w:t>den om inkomstgaranti. En del uppgifter framstår som harmlösa, särskilt om det rör sig om en sedvanlig löneutbetalning för ett traditionellt arbete. Up</w:t>
      </w:r>
      <w:r w:rsidRPr="000C34AA">
        <w:t>p</w:t>
      </w:r>
      <w:r w:rsidRPr="000C34AA">
        <w:t xml:space="preserve">giften att en person har en pension som grundas på kollektivavtal framstår inte heller som särskilt känslig. Även det förhållandet att inkomstuppgifterna rör personer som har eller har haft förtroendeuppdrag bidrar till att ge behovet av insyn särskild tyngd. </w:t>
      </w:r>
    </w:p>
    <w:p w:rsidR="009C332F" w:rsidRPr="000C34AA" w:rsidRDefault="009C332F">
      <w:pPr>
        <w:pStyle w:val="Normaltindrag"/>
      </w:pPr>
      <w:r w:rsidRPr="000C34AA">
        <w:t>Mot dessa intressen står behovet av skydd för den personliga integriteten. Om vissa ersättningar f</w:t>
      </w:r>
      <w:r w:rsidRPr="000C34AA">
        <w:t>ramstår som harmlösa är detta inte fallet generellt. Särskilt i fråga om vissa uppdragsersättningar framstår saken som annorlunda. Som exempel kan nämnas arvoden för uppdrag som hänför sig till politiskt arbete, exempelvis arvoden för att skriva i en tidning. Andra uppgifter ko</w:t>
      </w:r>
      <w:r w:rsidRPr="000C34AA">
        <w:t>m</w:t>
      </w:r>
      <w:r w:rsidRPr="000C34AA">
        <w:t>mer från organ där det inte råder någon handlingsoffentlighet. Som exempel kan här nämnas uppgifter hos en pensionskassa eller ett försäkringsbolag. Härtill kommer att det i den aktuella typen av ärende kommer att finnas up</w:t>
      </w:r>
      <w:r w:rsidRPr="000C34AA">
        <w:t>p</w:t>
      </w:r>
      <w:r w:rsidRPr="000C34AA">
        <w:t>gifter so</w:t>
      </w:r>
      <w:r w:rsidRPr="000C34AA">
        <w:t>m lämnats som svar på ett föreläggande från en myndighet, jfr försl</w:t>
      </w:r>
      <w:r w:rsidRPr="000C34AA">
        <w:t>a</w:t>
      </w:r>
      <w:r w:rsidRPr="000C34AA">
        <w:t>get i avsnitt 5.3.4 ovan. Detta ger naturligtvis skyddsaspekten särskild tyngd. Här finns vissa likheter med de uppgifter som skyddas i taxeringsförfarandet. Där har bl.a. just tvånget att lämna uppgifter motiverat det starka sekrete</w:t>
      </w:r>
      <w:r w:rsidRPr="000C34AA">
        <w:t>s</w:t>
      </w:r>
      <w:r w:rsidRPr="000C34AA">
        <w:t>skyddet. Vidare kommer det i ärenden om inkomstgaranti att finnas en mängd uppgifter om en persons ekonomiska förhållanden. Slutligen kan framhållas att det finns en risk för att det i ärenden om inkomstgaranti</w:t>
      </w:r>
      <w:r w:rsidRPr="000C34AA">
        <w:t xml:space="preserve"> kan förekomma uppgifter som saknar betydelse för bedömningen av rätten till ersättning. Det vore olyckligt om sådana uppgifter skulle behöva komma till allmän känn</w:t>
      </w:r>
      <w:r w:rsidRPr="000C34AA">
        <w:t>e</w:t>
      </w:r>
      <w:r w:rsidRPr="000C34AA">
        <w:t>dom enbart därför att den som har lämnat dem inte insåg att de var överflöd</w:t>
      </w:r>
      <w:r w:rsidRPr="000C34AA">
        <w:t>i</w:t>
      </w:r>
      <w:r w:rsidRPr="000C34AA">
        <w:t xml:space="preserve">ga. </w:t>
      </w:r>
    </w:p>
    <w:p w:rsidR="009C332F" w:rsidRPr="000C34AA" w:rsidRDefault="009C332F">
      <w:pPr>
        <w:pStyle w:val="Normaltindrag"/>
      </w:pPr>
      <w:r w:rsidRPr="000C34AA">
        <w:t xml:space="preserve">Vid en samlad bedömning av de intressen som står mot varandra väger skyddsaspekten så tungt att uppgifterna i ett ärende om inkomstgaranti i vissa fall bör kunna skyddas av sekretess. </w:t>
      </w:r>
    </w:p>
    <w:p w:rsidR="009C332F" w:rsidRPr="000C34AA" w:rsidRDefault="009C332F">
      <w:pPr>
        <w:pStyle w:val="Normaltindrag"/>
      </w:pPr>
      <w:r w:rsidRPr="000C34AA">
        <w:t>Frågan blir då hur stark den sekretessen bör vara. Som framgår ovan gäller sekretess på jämförbara områden, om det kan antas att den enskilde lider men om uppgiften röjs. En sådan regel innebär att uppgifter som huvudregel kan lämnas ut samtidigt som känsliga uppgifter inte behöver lämnas ut. En sådan regel passar väl för att skydda det som kan behöva skyddas i den aktuella typen av ärenden, eftersom en betydande del av de uppgifter som kommer att finnas hos riksdagsförvaltningen eller den myndighet som ha</w:t>
      </w:r>
      <w:r w:rsidRPr="000C34AA">
        <w:t xml:space="preserve">ndlägger ärenden om inkomstgaranti i regel kan lämnas ut. I vissa fall är uppgifterna inte heller sekretesskyddade i den verksamhet varifrån de inhämtats. </w:t>
      </w:r>
    </w:p>
    <w:p w:rsidR="009C332F" w:rsidRPr="000C34AA" w:rsidRDefault="009C332F">
      <w:pPr>
        <w:pStyle w:val="Normaltindrag"/>
      </w:pPr>
      <w:r w:rsidRPr="000C34AA">
        <w:t>Mot bakgrund av det anförda bör sekretess gälla, om det kan antas att den enskilde lider men eller skada om uppgifterna röjs. Som exempel på uppgifter som normalt sett kan lämnas ut utan begränsning kan nämnas bl.a. de uppgi</w:t>
      </w:r>
      <w:r w:rsidRPr="000C34AA">
        <w:t>f</w:t>
      </w:r>
      <w:r w:rsidRPr="000C34AA">
        <w:t>ter som lämnas på årsuppgiften och de uppgifter som finns i den årliga prel</w:t>
      </w:r>
      <w:r w:rsidRPr="000C34AA">
        <w:t>i</w:t>
      </w:r>
      <w:r w:rsidRPr="000C34AA">
        <w:t xml:space="preserve">minära inkomstuppgiften. Även uppgifter som normalt sett är offentliga i den verksamhet varifrån de inhämtats bör kunna lämnas ut. </w:t>
      </w:r>
    </w:p>
    <w:p w:rsidR="009C332F" w:rsidRPr="000C34AA" w:rsidRDefault="009C332F">
      <w:pPr>
        <w:pStyle w:val="Normaltindrag"/>
      </w:pPr>
      <w:r w:rsidRPr="000C34AA">
        <w:t>Som exempel på uppgifter som normalt sett bör betraktas som känsliga och inte lämnas ut kan – i enlighet med vad som anförts i det föregående – nä</w:t>
      </w:r>
      <w:r w:rsidRPr="000C34AA">
        <w:t>m</w:t>
      </w:r>
      <w:r w:rsidRPr="000C34AA">
        <w:t>nas uppgifter som inhämtats i kontrollsyfte. Här handlar det bl.a. om uppgifter rörande pensionsförsäkringar och arvodesinkomster som är hänförliga till opinionsbildande arbete. Också annan överskottsinformation kan vara kän</w:t>
      </w:r>
      <w:r w:rsidRPr="000C34AA">
        <w:t>s</w:t>
      </w:r>
      <w:r w:rsidRPr="000C34AA">
        <w:t xml:space="preserve">lig. </w:t>
      </w:r>
    </w:p>
    <w:p w:rsidR="009C332F" w:rsidRPr="000C34AA" w:rsidRDefault="009C332F">
      <w:pPr>
        <w:pStyle w:val="Normaltindrag"/>
      </w:pPr>
      <w:r w:rsidRPr="000C34AA">
        <w:t>Det särskilda intresse av insyn som finns i denna typ av ärenden bör tillg</w:t>
      </w:r>
      <w:r w:rsidRPr="000C34AA">
        <w:t>o</w:t>
      </w:r>
      <w:r w:rsidRPr="000C34AA">
        <w:t>d</w:t>
      </w:r>
      <w:r w:rsidRPr="000C34AA">
        <w:t>o</w:t>
      </w:r>
      <w:r w:rsidRPr="000C34AA">
        <w:t xml:space="preserve">ses genom att de beslut som fattas undantas från sekretessen. </w:t>
      </w:r>
    </w:p>
    <w:p w:rsidR="009C332F" w:rsidRPr="000C34AA" w:rsidRDefault="009C332F">
      <w:pPr>
        <w:pStyle w:val="Normaltindrag"/>
      </w:pPr>
      <w:r w:rsidRPr="000C34AA">
        <w:t xml:space="preserve">En ny bestämmelse bör införas i sekretesslagen i enlighet med det anförda. </w:t>
      </w:r>
    </w:p>
    <w:p w:rsidR="009C332F" w:rsidRPr="000C34AA" w:rsidRDefault="009C332F">
      <w:pPr>
        <w:pStyle w:val="Rubrik3"/>
        <w:rPr>
          <w:noProof w:val="0"/>
        </w:rPr>
      </w:pPr>
      <w:bookmarkStart w:id="38" w:name="_Toc20645511"/>
      <w:r w:rsidRPr="000C34AA">
        <w:rPr>
          <w:noProof w:val="0"/>
        </w:rPr>
        <w:t>5.3.6 Omprövning och återbetalning</w:t>
      </w:r>
      <w:bookmarkEnd w:id="38"/>
    </w:p>
    <w:p w:rsidR="009C332F" w:rsidRPr="000C34AA" w:rsidRDefault="009C332F">
      <w:r w:rsidRPr="000C34AA">
        <w:t>Av de nu gällande tillämpningsföreskrifterna framgår att återkrav kan ske när för mycket inkomstgaranti utbetalats. Det har inte framkommit något som talar för att återkravsregeln behöver modifieras. Även fortsättningsvis bör alltså inkomstgaranti som betalats ut med för högt belopp kunna krävas til</w:t>
      </w:r>
      <w:r w:rsidRPr="000C34AA">
        <w:t>l</w:t>
      </w:r>
      <w:r w:rsidRPr="000C34AA">
        <w:t>baka (för en redovisning av olika typer av återkravsregler se Lavin, Återb</w:t>
      </w:r>
      <w:r w:rsidRPr="000C34AA">
        <w:t>e</w:t>
      </w:r>
      <w:r w:rsidRPr="000C34AA">
        <w:t xml:space="preserve">talning av social ersättning, 1986). Mot bakgrund av att förutsättningarna för att få inkomstgaranti och reglerna om kontroll av utbetalningarna lagreglerats bör också frågan om återkrav tas in i lag (jfr rättsfallet NJA 1984 s. 648). </w:t>
      </w:r>
    </w:p>
    <w:p w:rsidR="009C332F" w:rsidRPr="000C34AA" w:rsidRDefault="009C332F">
      <w:pPr>
        <w:pStyle w:val="Normaltindrag"/>
      </w:pPr>
      <w:r w:rsidRPr="000C34AA">
        <w:t>För tydlighetens skull bör den nya bestämmelsen om återkrav avfattas så att det framgår att återkrav kan komma att ske såväl i samband med årsa</w:t>
      </w:r>
      <w:r w:rsidRPr="000C34AA">
        <w:t>v</w:t>
      </w:r>
      <w:r w:rsidRPr="000C34AA">
        <w:t xml:space="preserve">stämningen som efter det att de kontrollåtgärder som föreslagits i föregående avsnitt vidtagits. </w:t>
      </w:r>
    </w:p>
    <w:p w:rsidR="009C332F" w:rsidRPr="000C34AA" w:rsidRDefault="009C332F">
      <w:pPr>
        <w:pStyle w:val="Normaltindrag"/>
      </w:pPr>
      <w:r w:rsidRPr="000C34AA">
        <w:t>För att undvika orimliga konsekvenser, om exempelvis garantitagaren drabbats av en svår sjukdom eller av annan anledning har en nedsatt beta</w:t>
      </w:r>
      <w:r w:rsidRPr="000C34AA">
        <w:t>l</w:t>
      </w:r>
      <w:r w:rsidRPr="000C34AA">
        <w:t>ningsförmåga, bör det finnas en möjlighet till eftergift av hela eller av delar av återbetalning</w:t>
      </w:r>
      <w:r w:rsidRPr="000C34AA">
        <w:t>s</w:t>
      </w:r>
      <w:r w:rsidRPr="000C34AA">
        <w:t xml:space="preserve">skyldigheten. </w:t>
      </w:r>
    </w:p>
    <w:p w:rsidR="009C332F" w:rsidRPr="000C34AA" w:rsidRDefault="009C332F">
      <w:pPr>
        <w:pStyle w:val="Normaltindrag"/>
      </w:pPr>
      <w:r w:rsidRPr="000C34AA">
        <w:t>En fråga som hänger samman med möjligheterna att kräva tillbaka för mycket utbetalad inkomstgaranti är möjligheten att debitera ränta. Den som fått ut för mycket pengar har i praktiken fått en kredit med det beloppet. I regel rör det sig om mindre belopp, men det har också förekommit att stora summor har krävts tillbaka. I sådana fall framstår det som rimligt att vederb</w:t>
      </w:r>
      <w:r w:rsidRPr="000C34AA">
        <w:t>ö</w:t>
      </w:r>
      <w:r w:rsidRPr="000C34AA">
        <w:t xml:space="preserve">rande får betala ränta på beloppet. </w:t>
      </w:r>
    </w:p>
    <w:p w:rsidR="009C332F" w:rsidRPr="000C34AA" w:rsidRDefault="009C332F">
      <w:pPr>
        <w:pStyle w:val="Normaltindrag"/>
      </w:pPr>
      <w:r w:rsidRPr="000C34AA">
        <w:t>Systemet med inkomstgarantier är uppbyggt så att fråga är om preliminära uppgifter som föranleder preliminära utbetalningar varefter en slutlig avrä</w:t>
      </w:r>
      <w:r w:rsidRPr="000C34AA">
        <w:t>k</w:t>
      </w:r>
      <w:r w:rsidRPr="000C34AA">
        <w:t>ning sker vid årsavstämningen. I syfte att motverka alltför stora differenser vid årsavstämningen har i avsnitt 5.3.3 ovan föreslagits att garantitagaren skall vara skyldig att anmäla väsentligt ändrade inkomstförhållanden. Det saknas därför anledning att kräva ränta på för högt utbetalade belopp innan årsa</w:t>
      </w:r>
      <w:r w:rsidRPr="000C34AA">
        <w:t>v</w:t>
      </w:r>
      <w:r w:rsidRPr="000C34AA">
        <w:t xml:space="preserve">stämning skett. </w:t>
      </w:r>
    </w:p>
    <w:p w:rsidR="009C332F" w:rsidRPr="000C34AA" w:rsidRDefault="009C332F">
      <w:pPr>
        <w:pStyle w:val="Normaltindrag"/>
      </w:pPr>
      <w:r w:rsidRPr="000C34AA">
        <w:t>På det belopp som krävs tillbaka i samband med årsavstämning eller sen</w:t>
      </w:r>
      <w:r w:rsidRPr="000C34AA">
        <w:t>a</w:t>
      </w:r>
      <w:r w:rsidRPr="000C34AA">
        <w:t>re bör dock ränta kunna debiteras. Skyldigheten att betala ränta bör anges i lag. En närmare beskrivning av i vilka fall som ränta skall tas ut bör göras i ti</w:t>
      </w:r>
      <w:r w:rsidRPr="000C34AA">
        <w:t>l</w:t>
      </w:r>
      <w:r w:rsidRPr="000C34AA">
        <w:t xml:space="preserve">lämpningsföreskrifterna. </w:t>
      </w:r>
    </w:p>
    <w:p w:rsidR="009C332F" w:rsidRPr="000C34AA" w:rsidRDefault="009C332F">
      <w:pPr>
        <w:pStyle w:val="Normaltindrag"/>
      </w:pPr>
      <w:r w:rsidRPr="000C34AA">
        <w:t>Sammantaget innebär det anförda att reglerna om återkrav i tillämpning</w:t>
      </w:r>
      <w:r w:rsidRPr="000C34AA">
        <w:t>s</w:t>
      </w:r>
      <w:r w:rsidRPr="000C34AA">
        <w:t xml:space="preserve">föreskrifterna bör föras över till ersättningslagen och företrädarlagen samt att det av de nya bestämmelserna bör framgå när i tiden återkrav kan ske, att återkrav får efterges i vissa fall och att ränta kan debiteras. </w:t>
      </w:r>
    </w:p>
    <w:p w:rsidR="009C332F" w:rsidRPr="000C34AA" w:rsidRDefault="009C332F">
      <w:pPr>
        <w:pStyle w:val="Rubrik3"/>
        <w:rPr>
          <w:noProof w:val="0"/>
        </w:rPr>
      </w:pPr>
      <w:bookmarkStart w:id="39" w:name="_Toc20645512"/>
      <w:r w:rsidRPr="000C34AA">
        <w:rPr>
          <w:noProof w:val="0"/>
        </w:rPr>
        <w:t>5.3.7 Riksdagsförvaltningen bör besluta om rätt till inkomstgaranti utan ansökan</w:t>
      </w:r>
      <w:bookmarkEnd w:id="39"/>
    </w:p>
    <w:p w:rsidR="009C332F" w:rsidRPr="000C34AA" w:rsidRDefault="009C332F">
      <w:r w:rsidRPr="000C34AA">
        <w:t>I dag måste den som vill ha ett beslut om inkomstgaranti ansöka om det (13 kap. 17 § ersättningslagen och 9 kap. 17 § företrädarlagen).</w:t>
      </w:r>
    </w:p>
    <w:p w:rsidR="009C332F" w:rsidRPr="000C34AA" w:rsidRDefault="009C332F">
      <w:pPr>
        <w:pStyle w:val="Normaltindrag"/>
      </w:pPr>
      <w:r w:rsidRPr="000C34AA">
        <w:t>I praktiken går det till så att riksdagsförvaltningen gör en beräkning för varje avgången ledamot av hur länge inkomstgarantin skall utgå och med vilket belopp. Detta underlag jämte ansökningshandlingar skickas till den berörde. En del av dem som lämnar riksdagen ansöker sedan om inkomstg</w:t>
      </w:r>
      <w:r w:rsidRPr="000C34AA">
        <w:t>a</w:t>
      </w:r>
      <w:r w:rsidRPr="000C34AA">
        <w:t>ranti varefter den betalas ut löpande. Andra ansöker om inkomstgaranti men har sådana inkomster att de inte har rätt till någon utbetalning. I dessa fall fattas ett beslut om rätt till inkomstgaranti, men det görs alltså inga utbeta</w:t>
      </w:r>
      <w:r w:rsidRPr="000C34AA">
        <w:t>l</w:t>
      </w:r>
      <w:r w:rsidRPr="000C34AA">
        <w:t xml:space="preserve">ningar. Ytterligare andra ansöker aldrig om inkomstgaranti. I dessa fall fattas inte något beslut om rätten till inkomstgaranti. </w:t>
      </w:r>
    </w:p>
    <w:p w:rsidR="009C332F" w:rsidRPr="000C34AA" w:rsidRDefault="009C332F">
      <w:pPr>
        <w:pStyle w:val="Normaltindrag"/>
      </w:pPr>
      <w:r w:rsidRPr="000C34AA">
        <w:t>Såvitt gäller den sistnämnda gruppen kan vissa handläggningsproblem uppkomma. De grundläggande uppgifterna om deras tjänstgöring går visserl</w:t>
      </w:r>
      <w:r w:rsidRPr="000C34AA">
        <w:t>i</w:t>
      </w:r>
      <w:r w:rsidRPr="000C34AA">
        <w:t>gen att ta reda på i efterhand, men uppgifter som behövs för att bestämma garantiunderlaget är svårare att sammanställa längre fram eftersom det i en del fall kräver uppräkning av äldre ledamotsarvoden med utgångspunkt i basbeloppet. Det finns därför skäl att överväga en annan ordning för beslut</w:t>
      </w:r>
      <w:r w:rsidRPr="000C34AA">
        <w:t>s</w:t>
      </w:r>
      <w:r w:rsidRPr="000C34AA">
        <w:t>fattandet rörande inkomstgarantier. En sådan ordning skulle kunna vara att beslut generellt fattas oberoende av om ansökan gjorts. Sedan skulle det få ankomma på respektive garantitagare att begära utbetalning av b</w:t>
      </w:r>
      <w:r w:rsidRPr="000C34AA">
        <w:t xml:space="preserve">eloppet och i samband med detta redovisa preliminära samordningsbara inkomster. </w:t>
      </w:r>
    </w:p>
    <w:p w:rsidR="009C332F" w:rsidRPr="000C34AA" w:rsidRDefault="009C332F">
      <w:pPr>
        <w:pStyle w:val="Normaltindrag"/>
      </w:pPr>
      <w:r w:rsidRPr="000C34AA">
        <w:t>Det finns flera fördelar med att riksdagsförvaltningen fattar beslut om rätt till inkomstgaranti utan en föregående ansökan från ledamoten. En sådan ordning innebär att det blir lättare att få en samlad bild av riksdagens åtaga</w:t>
      </w:r>
      <w:r w:rsidRPr="000C34AA">
        <w:t>n</w:t>
      </w:r>
      <w:r w:rsidRPr="000C34AA">
        <w:t>den i fråga om avgångna ledamöter. Dessutom slipper den som bara vill ha garantin fastställd att lämna uppgifter om sin ekonomi, något som i vissa fall kan vara känsligt ur integritetssynpunkt. Slutligen blir systemet med inkoms</w:t>
      </w:r>
      <w:r w:rsidRPr="000C34AA">
        <w:t>t</w:t>
      </w:r>
      <w:r w:rsidRPr="000C34AA">
        <w:t xml:space="preserve">garanti mer lättadministrerat hos SPV. Verkets uppgifter blir på detta sätt i princip begränsat till att se till att rätt belopp betalas ut. </w:t>
      </w:r>
    </w:p>
    <w:p w:rsidR="009C332F" w:rsidRPr="000C34AA" w:rsidRDefault="009C332F">
      <w:pPr>
        <w:pStyle w:val="Normaltindrag"/>
      </w:pPr>
      <w:r w:rsidRPr="000C34AA">
        <w:t>Slutsatsen blir att riksdagsförvaltningen bör fatta beslut om rätt till i</w:t>
      </w:r>
      <w:r w:rsidRPr="000C34AA">
        <w:t>n</w:t>
      </w:r>
      <w:r w:rsidRPr="000C34AA">
        <w:t>komstgaranti utan att garantitagaren i förväg har ansökt om det. Detta kräver ändringar såväl i ersättningslagen och företrädarlagen som i tillämpningsför</w:t>
      </w:r>
      <w:r w:rsidRPr="000C34AA">
        <w:t>e</w:t>
      </w:r>
      <w:r w:rsidRPr="000C34AA">
        <w:t xml:space="preserve">skrifterna. </w:t>
      </w:r>
    </w:p>
    <w:p w:rsidR="009C332F" w:rsidRPr="000C34AA" w:rsidRDefault="009C332F">
      <w:pPr>
        <w:pStyle w:val="Rubrik2"/>
      </w:pPr>
      <w:bookmarkStart w:id="40" w:name="_Toc20645513"/>
      <w:r w:rsidRPr="000C34AA">
        <w:t>5.4 Överklagande</w:t>
      </w:r>
      <w:bookmarkEnd w:id="40"/>
    </w:p>
    <w:p w:rsidR="009C332F" w:rsidRPr="000C34AA" w:rsidRDefault="009C332F">
      <w:r w:rsidRPr="000C34AA">
        <w:t>Enligt 9 kap. 5 § riksdagsordningen skall beslut i förvaltningsärende som fattats av riksdagens organ vid överklagande prövas av Regeringsrätten i de fall som särskilt anges av riksdagen och i övrigt av Riksdagens besvär</w:t>
      </w:r>
      <w:r w:rsidRPr="000C34AA">
        <w:t>s</w:t>
      </w:r>
      <w:r w:rsidRPr="000C34AA">
        <w:t xml:space="preserve">nämnd. </w:t>
      </w:r>
    </w:p>
    <w:p w:rsidR="009C332F" w:rsidRPr="000C34AA" w:rsidRDefault="009C332F">
      <w:pPr>
        <w:pStyle w:val="Normaltindrag"/>
      </w:pPr>
      <w:r w:rsidRPr="000C34AA">
        <w:t>Av lagen (1989:186) om överklagande av administrativa beslut av rik</w:t>
      </w:r>
      <w:r w:rsidRPr="000C34AA">
        <w:t>s</w:t>
      </w:r>
      <w:r w:rsidRPr="000C34AA">
        <w:t>dagsförvaltningen och riksdagens myndigheter, nedan kallad överklagandel</w:t>
      </w:r>
      <w:r w:rsidRPr="000C34AA">
        <w:t>a</w:t>
      </w:r>
      <w:r w:rsidRPr="000C34AA">
        <w:t>gen, framgår att överklaganden av den typ av beslut som det här är fråga om pr</w:t>
      </w:r>
      <w:r w:rsidRPr="000C34AA">
        <w:t>ö</w:t>
      </w:r>
      <w:r w:rsidRPr="000C34AA">
        <w:t xml:space="preserve">vas av Riksdagens besvärsnämnd. </w:t>
      </w:r>
    </w:p>
    <w:p w:rsidR="009C332F" w:rsidRPr="000C34AA" w:rsidRDefault="009C332F">
      <w:pPr>
        <w:pStyle w:val="Normaltindrag"/>
      </w:pPr>
      <w:r w:rsidRPr="000C34AA">
        <w:t>Som framgår ovan är tanken att riksdagsförvaltningen skall fatta ett beslut om rätt till inkomstgaranti och att den fortsatta handläggningen skall ske hos SPV. Beslut kan då komma att fattas av verket om bl.a. återbetalning av för mycket utbetald ersättning. SPV:s beslut överklagas i regel till allmän fö</w:t>
      </w:r>
      <w:r w:rsidRPr="000C34AA">
        <w:t>r</w:t>
      </w:r>
      <w:r w:rsidRPr="000C34AA">
        <w:t xml:space="preserve">valtningsdomstol, vilket följer av 22 a § förvaltningslagen (1986:223). Detta innebär att besluten överklagas till länsrätten. </w:t>
      </w:r>
    </w:p>
    <w:p w:rsidR="009C332F" w:rsidRPr="000C34AA" w:rsidRDefault="009C332F">
      <w:pPr>
        <w:pStyle w:val="Normaltindrag"/>
      </w:pPr>
      <w:r w:rsidRPr="000C34AA">
        <w:t>Det sagda aktualiserar frågan om vilken slags överprövning som bör e</w:t>
      </w:r>
      <w:r w:rsidRPr="000C34AA">
        <w:t>r</w:t>
      </w:r>
      <w:r w:rsidRPr="000C34AA">
        <w:t>bjudas den som inte är nöjd med ett beslut i ett ärende om inkomstgaranti. Här kan till att börja med framhållas att tanken med att låta SPV ta hand om hanteringen av inkomstgarantierna endast är att bättre ta till vara statens samlade resurser i fråga om hantering av pensionsförmåner. Det saknas a</w:t>
      </w:r>
      <w:r w:rsidRPr="000C34AA">
        <w:t>n</w:t>
      </w:r>
      <w:r w:rsidRPr="000C34AA">
        <w:t>ledning att låta detta inverka på frågan om hur en överprövning av besluten skall ske.</w:t>
      </w:r>
    </w:p>
    <w:p w:rsidR="009C332F" w:rsidRPr="000C34AA" w:rsidRDefault="009C332F">
      <w:pPr>
        <w:pStyle w:val="Normaltindrag"/>
      </w:pPr>
      <w:r w:rsidRPr="000C34AA">
        <w:t>I sammanhanget bör också noteras att en tvist om inkomstgaranti enligt e</w:t>
      </w:r>
      <w:r w:rsidRPr="000C34AA">
        <w:t>r</w:t>
      </w:r>
      <w:r w:rsidRPr="000C34AA">
        <w:t xml:space="preserve">sättningslagen eller företrädarlagen torde vara att anse som en tvist om en sådan civil rättighet som avses i artikel 6 i den europeiska konventionen om skydd för de mänskliga rättigheterna och de grundläggande friheterna. Detta i sin tur innebär att det måste finnas en möjlighet att få saken prövad av ett organ som uppfyller kraven på en oavhängig och opartisk domstol. Från Europadomstolens praxis kan nämnas att domstolen i fallet Ringeisen ansett att en österrikisk speciell nämnd för jordärenden ansetts </w:t>
      </w:r>
      <w:r w:rsidRPr="000C34AA">
        <w:t>uppfylla kravet på domstol. Fri- och rättighetskommittén (SOU 1994:117 s. 96 f) drog av fallet slutsatsen att som domstol enligt konventionens krav även godkänns organ som betecknas som nämnder, råd, tribunaler m.m. Av avgörande betydelse är dock, framhöll kommittén, att sammansättningen i dessa organ är sådan att den enskilde är berättigad till en opartisk prövning. Att intresseledamöter eller experter i form av offentliganställda tjänstemän deltar i prövningen är acce</w:t>
      </w:r>
      <w:r w:rsidRPr="000C34AA">
        <w:t>p</w:t>
      </w:r>
      <w:r w:rsidRPr="000C34AA">
        <w:t>terat så länge prövningen kan anses v</w:t>
      </w:r>
      <w:r w:rsidRPr="000C34AA">
        <w:t>ara opartisk. Ledamöterna skall dessu</w:t>
      </w:r>
      <w:r w:rsidRPr="000C34AA">
        <w:t>t</w:t>
      </w:r>
      <w:r w:rsidRPr="000C34AA">
        <w:t xml:space="preserve">om inte vara möjliga att avsätta förrän efter en längre tid. Slutligen krävs att åtminstone någon i nämnden har domarkompetens. </w:t>
      </w:r>
    </w:p>
    <w:p w:rsidR="009C332F" w:rsidRPr="000C34AA" w:rsidRDefault="009C332F">
      <w:pPr>
        <w:pStyle w:val="Normaltindrag"/>
      </w:pPr>
      <w:r w:rsidRPr="000C34AA">
        <w:t>Riksdagens besvärsnämnd leds av en ordförande som skall vara eller ha varit ordinarie domare. Vidare består nämnden av riksdagsledamöter. Samtl</w:t>
      </w:r>
      <w:r w:rsidRPr="000C34AA">
        <w:t>i</w:t>
      </w:r>
      <w:r w:rsidRPr="000C34AA">
        <w:t>ga väljs av riksdagen för en mandatperiod. Nämnden uppfyller sannolikt kravet på en opartisk och oavhängig domstol. Det finns alltså inte av hänsyn till Sveriges internationella åtaganden någon anledning att ändra på den or</w:t>
      </w:r>
      <w:r w:rsidRPr="000C34AA">
        <w:t>d</w:t>
      </w:r>
      <w:r w:rsidRPr="000C34AA">
        <w:t>ning som i dag gäller för överprövning av beslut som fattats av riksdagsfö</w:t>
      </w:r>
      <w:r w:rsidRPr="000C34AA">
        <w:t>r</w:t>
      </w:r>
      <w:r w:rsidRPr="000C34AA">
        <w:t>valtnin</w:t>
      </w:r>
      <w:r w:rsidRPr="000C34AA">
        <w:t>g</w:t>
      </w:r>
      <w:r w:rsidRPr="000C34AA">
        <w:t xml:space="preserve">en. </w:t>
      </w:r>
    </w:p>
    <w:p w:rsidR="009C332F" w:rsidRPr="000C34AA" w:rsidRDefault="009C332F">
      <w:pPr>
        <w:pStyle w:val="Normaltindrag"/>
      </w:pPr>
      <w:r w:rsidRPr="000C34AA">
        <w:t>Härtill kommer att det inte helt går att bortse från risken att samma typ av frågor kommer under prövning samtidigt i två olika organ, om man låter SPV:s beslut bli överprövade i förvaltningsdomstol.</w:t>
      </w:r>
      <w:r w:rsidRPr="000C34AA">
        <w:t xml:space="preserve"> Dels kommer vissa beslut om årsavstämning att fattas i riksdagsförvaltningen även efter det att SPV tagit över handläggningen vid årsskiftet. Detta rör främst sådana fall där den löpande inkomstgarantin redan utbetalats av riksdagsförvaltningen. Dels kan det inte uteslutas att övergångsproblem kan uppkomma i samband med att avtalet med SPV upphör att gälla. </w:t>
      </w:r>
    </w:p>
    <w:p w:rsidR="009C332F" w:rsidRPr="000C34AA" w:rsidRDefault="009C332F">
      <w:pPr>
        <w:pStyle w:val="Normaltindrag"/>
      </w:pPr>
      <w:r w:rsidRPr="000C34AA">
        <w:t>Slutligen kan det noteras att processekonomiska skäl talar emot att låta vi</w:t>
      </w:r>
      <w:r w:rsidRPr="000C34AA">
        <w:t>s</w:t>
      </w:r>
      <w:r w:rsidRPr="000C34AA">
        <w:t>sa ärenden om inkomstgaranti prövas av Riksdagens besvärsnämnd och vissa i allmän förvaltningsdomstol. Att riksdagsförvaltningens beslut om rätt till inkomstgaranti även fortsättningsvis bör överprövas av besvärsnämnden framstår som klart. Om allmän förvaltningsdomstol skulle få pröva överkl</w:t>
      </w:r>
      <w:r w:rsidRPr="000C34AA">
        <w:t>a</w:t>
      </w:r>
      <w:r w:rsidRPr="000C34AA">
        <w:t>ganden av beslut som fattats av SPV rörande återkrav m.m. skulle detta fordra att en kompetens rörande samma regelverk byggdes upp även i den organis</w:t>
      </w:r>
      <w:r w:rsidRPr="000C34AA">
        <w:t>a</w:t>
      </w:r>
      <w:r w:rsidRPr="000C34AA">
        <w:t>tionen.</w:t>
      </w:r>
    </w:p>
    <w:p w:rsidR="009C332F" w:rsidRPr="000C34AA" w:rsidRDefault="009C332F">
      <w:pPr>
        <w:pStyle w:val="Normaltindrag"/>
      </w:pPr>
      <w:r w:rsidRPr="000C34AA">
        <w:t>Det framstår mot denna bakgrund som en bättre lösning att in</w:t>
      </w:r>
      <w:r w:rsidRPr="000C34AA">
        <w:t>te ändra på den ordning som gäller för överprövning av förvaltningens beslut i hithörande frågor. Även i fortsättningen bör alltså beslut rörande inkomstgarantierna överklagas hos Riksdagens besvärsnämnd. Det skulle visserligen kunna hä</w:t>
      </w:r>
      <w:r w:rsidRPr="000C34AA">
        <w:t>v</w:t>
      </w:r>
      <w:r w:rsidRPr="000C34AA">
        <w:t>das att den hänvisning till överklagandelagen som tagits i den i avsnitt 5.2. föreslagna bestämmelsen i 2 a § lagen med instruktion för riksdagsförval</w:t>
      </w:r>
      <w:r w:rsidRPr="000C34AA">
        <w:t>t</w:t>
      </w:r>
      <w:r w:rsidRPr="000C34AA">
        <w:t>ningen skulle innebära att överklagandelagens bestämmelser skulle gälla också beslut som fattats av SPV. Tydlighetsskäl tala</w:t>
      </w:r>
      <w:r w:rsidRPr="000C34AA">
        <w:t>r dock för att det i öve</w:t>
      </w:r>
      <w:r w:rsidRPr="000C34AA">
        <w:t>r</w:t>
      </w:r>
      <w:r w:rsidRPr="000C34AA">
        <w:t xml:space="preserve">klagandelagen bör tas in en bestämmelse av innebörd att lagens bestämmelser också gäller när ett beslut fattats av en annan myndighet med stöd av ett avtal med riksdagsförvaltningen. </w:t>
      </w:r>
    </w:p>
    <w:p w:rsidR="009C332F" w:rsidRPr="000C34AA" w:rsidRDefault="009C332F">
      <w:pPr>
        <w:pStyle w:val="Rubrik2"/>
      </w:pPr>
      <w:bookmarkStart w:id="41" w:name="_Toc20645514"/>
      <w:r w:rsidRPr="000C34AA">
        <w:t>5.5 Ikraftträdande och behovet av övergångs</w:t>
      </w:r>
      <w:r w:rsidRPr="000C34AA">
        <w:softHyphen/>
        <w:t>bestämmelser</w:t>
      </w:r>
      <w:bookmarkEnd w:id="41"/>
      <w:r w:rsidRPr="000C34AA">
        <w:t xml:space="preserve"> </w:t>
      </w:r>
    </w:p>
    <w:p w:rsidR="009C332F" w:rsidRPr="000C34AA" w:rsidRDefault="009C332F">
      <w:r w:rsidRPr="000C34AA">
        <w:t xml:space="preserve">Förslagen bör träda i kraft den 1 januari 2003. </w:t>
      </w:r>
    </w:p>
    <w:p w:rsidR="009C332F" w:rsidRPr="000C34AA" w:rsidRDefault="009C332F">
      <w:pPr>
        <w:pStyle w:val="Normaltindrag"/>
      </w:pPr>
      <w:r w:rsidRPr="000C34AA">
        <w:t>Bestämmelserna rörande garantitagares och utbetalares skyldighet att lä</w:t>
      </w:r>
      <w:r w:rsidRPr="000C34AA">
        <w:t>m</w:t>
      </w:r>
      <w:r w:rsidRPr="000C34AA">
        <w:t>na uppgifter, möjligheterna att stoppa utbetalningar, återkrav och sekretess tar sikte på hur handläggningen av ärenden skall gå till. Ingenting hindrar att dessa regler tillämpas direkt i de ärenden som finns vid ikraftträdandet. Såvitt gäller återkravsregeln bör särskilt framhållas att den inte innebär någon mat</w:t>
      </w:r>
      <w:r w:rsidRPr="000C34AA">
        <w:t>e</w:t>
      </w:r>
      <w:r w:rsidRPr="000C34AA">
        <w:t>riell förändring för garantitagaren eftersom motsvarande reglering tidigare fanns i tillämpningsföreskrifterna. I dessa delar krävs alltså inga övergångsb</w:t>
      </w:r>
      <w:r w:rsidRPr="000C34AA">
        <w:t>e</w:t>
      </w:r>
      <w:r w:rsidRPr="000C34AA">
        <w:t>stä</w:t>
      </w:r>
      <w:r w:rsidRPr="000C34AA">
        <w:t>m</w:t>
      </w:r>
      <w:r w:rsidRPr="000C34AA">
        <w:t xml:space="preserve">melser.  </w:t>
      </w:r>
    </w:p>
    <w:p w:rsidR="009C332F" w:rsidRPr="000C34AA" w:rsidRDefault="009C332F">
      <w:pPr>
        <w:pStyle w:val="Normaltindrag"/>
      </w:pPr>
      <w:r w:rsidRPr="000C34AA">
        <w:t>Förslaget att garantitagar</w:t>
      </w:r>
      <w:r w:rsidRPr="000C34AA">
        <w:t xml:space="preserve">en skall vara skyldig att i vissa fall betala ränta kommer i praktiken aldrig att kunna innebära att garantitagaren blir skyldig att betala ränta för tid som ligger före ikraftträdandet. Inte heller här krävs någon särskild övergångsregel. </w:t>
      </w:r>
    </w:p>
    <w:p w:rsidR="009C332F" w:rsidRPr="000C34AA" w:rsidRDefault="009C332F">
      <w:pPr>
        <w:pStyle w:val="Normaltindrag"/>
      </w:pPr>
      <w:r w:rsidRPr="000C34AA">
        <w:t>I vissa fall kommer återbetalningskrav som beslutas i samband med årsa</w:t>
      </w:r>
      <w:r w:rsidRPr="000C34AA">
        <w:t>v</w:t>
      </w:r>
      <w:r w:rsidRPr="000C34AA">
        <w:t>stämning att avse belopp som utbetalats före ikraftträdandet. Möjligheten till eftergift bör även gälla i dessa fall. Detta kräver ingen övergångsbestämme</w:t>
      </w:r>
      <w:r w:rsidRPr="000C34AA">
        <w:t>l</w:t>
      </w:r>
      <w:r w:rsidRPr="000C34AA">
        <w:t xml:space="preserve">se. </w:t>
      </w:r>
    </w:p>
    <w:p w:rsidR="009C332F" w:rsidRPr="000C34AA" w:rsidRDefault="009C332F">
      <w:pPr>
        <w:pStyle w:val="Normaltindrag"/>
      </w:pPr>
      <w:r w:rsidRPr="000C34AA">
        <w:t>När det sedan gäller den nya regleringen av hur beslut skall fattas om i</w:t>
      </w:r>
      <w:r w:rsidRPr="000C34AA">
        <w:t>n</w:t>
      </w:r>
      <w:r w:rsidRPr="000C34AA">
        <w:t>komstgaranti kan konstateras att de beslut som fattats före ikraftträdandet innebär dels att garantitagaren har rätt till inkomstgaranti, dels att sådan skall betalas ut. Den nya beslutsordningen innebär inte att dessa garantitagare nu måste ansöka om utbetalning av inkomstgaranti; de gamla besluten gäller således alltjämt. Däremot måste garantitagaren naturligtvis redovisa en prel</w:t>
      </w:r>
      <w:r w:rsidRPr="000C34AA">
        <w:t>i</w:t>
      </w:r>
      <w:r w:rsidRPr="000C34AA">
        <w:t xml:space="preserve">minär inkomstuppgift för kommande kalenderår. Den frågan regleras dock i tillämpningsföreskrifterna till ersättningslagen och </w:t>
      </w:r>
      <w:r w:rsidRPr="000C34AA">
        <w:t>företrädarlagen. I prakt</w:t>
      </w:r>
      <w:r w:rsidRPr="000C34AA">
        <w:t>i</w:t>
      </w:r>
      <w:r w:rsidRPr="000C34AA">
        <w:t xml:space="preserve">ken kommer alltså förslaget om ändrade beslutsrutiner att gälla dem som avgår efter ikraftträdandet. </w:t>
      </w:r>
    </w:p>
    <w:p w:rsidR="009C332F" w:rsidRPr="000C34AA" w:rsidRDefault="009C332F">
      <w:pPr>
        <w:pStyle w:val="Normaltindrag"/>
      </w:pPr>
      <w:r w:rsidRPr="000C34AA">
        <w:t>Sammantaget innebär det anförda att det inte krävs några särskilda öve</w:t>
      </w:r>
      <w:r w:rsidRPr="000C34AA">
        <w:t>r</w:t>
      </w:r>
      <w:r w:rsidRPr="000C34AA">
        <w:t xml:space="preserve">gångsbestämmelser. </w:t>
      </w:r>
    </w:p>
    <w:p w:rsidR="009C332F" w:rsidRPr="000C34AA" w:rsidRDefault="009C332F">
      <w:pPr>
        <w:pStyle w:val="Normaltindrag"/>
      </w:pPr>
      <w:r w:rsidRPr="000C34AA">
        <w:t xml:space="preserve">De nya reglerna bör utvärderas när de varit i kraft en tid. </w:t>
      </w:r>
    </w:p>
    <w:p w:rsidR="009C332F" w:rsidRPr="000C34AA" w:rsidRDefault="009C332F">
      <w:pPr>
        <w:pStyle w:val="Rubrik2"/>
      </w:pPr>
    </w:p>
    <w:p w:rsidR="009C332F" w:rsidRPr="000C34AA" w:rsidRDefault="009C332F">
      <w:pPr>
        <w:pStyle w:val="Rubrik2"/>
        <w:sectPr w:rsidR="00000000" w:rsidRPr="000C34AA">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9C332F" w:rsidRPr="000C34AA" w:rsidRDefault="009C332F">
      <w:pPr>
        <w:pStyle w:val="Rubrik1"/>
        <w:spacing w:after="240"/>
        <w:rPr>
          <w:noProof w:val="0"/>
        </w:rPr>
      </w:pPr>
      <w:bookmarkStart w:id="42" w:name="_Toc20645515"/>
      <w:r w:rsidRPr="000C34AA">
        <w:rPr>
          <w:noProof w:val="0"/>
        </w:rPr>
        <w:t>6 Författningskommentar</w:t>
      </w:r>
      <w:bookmarkEnd w:id="42"/>
    </w:p>
    <w:p w:rsidR="009C332F" w:rsidRPr="000C34AA" w:rsidRDefault="009C332F">
      <w:pPr>
        <w:pStyle w:val="Rubrik2"/>
        <w:spacing w:before="0"/>
      </w:pPr>
      <w:bookmarkStart w:id="43" w:name="_Toc20645516"/>
      <w:r w:rsidRPr="000C34AA">
        <w:t>6.1 Förslaget till lag om ändring i sekretesslagen (1980:100)</w:t>
      </w:r>
      <w:bookmarkEnd w:id="43"/>
    </w:p>
    <w:p w:rsidR="009C332F" w:rsidRPr="000C34AA" w:rsidRDefault="009C332F">
      <w:r w:rsidRPr="000C34AA">
        <w:t xml:space="preserve">9 kap. 28 § </w:t>
      </w:r>
    </w:p>
    <w:p w:rsidR="009C332F" w:rsidRPr="000C34AA" w:rsidRDefault="009C332F">
      <w:r w:rsidRPr="000C34AA">
        <w:t>I paragrafen, som är ny, föreskrivs sekretess för uppgifter i ärenden om i</w:t>
      </w:r>
      <w:r w:rsidRPr="000C34AA">
        <w:t>n</w:t>
      </w:r>
      <w:r w:rsidRPr="000C34AA">
        <w:t>komstgaranti för den som har varit riksdagsledamot eller Sveriges företrädare i Europaparlamentet. Sådana uppgifter kan finnas dels hos riksdagsförval</w:t>
      </w:r>
      <w:r w:rsidRPr="000C34AA">
        <w:t>t</w:t>
      </w:r>
      <w:r w:rsidRPr="000C34AA">
        <w:t>ningen, dels hos SPV och dels – efter överklagande – hos Riksdagens b</w:t>
      </w:r>
      <w:r w:rsidRPr="000C34AA">
        <w:t>e</w:t>
      </w:r>
      <w:r w:rsidRPr="000C34AA">
        <w:t xml:space="preserve">svärsnämnd. </w:t>
      </w:r>
    </w:p>
    <w:p w:rsidR="009C332F" w:rsidRPr="000C34AA" w:rsidRDefault="009C332F">
      <w:pPr>
        <w:pStyle w:val="Normaltindrag"/>
      </w:pPr>
      <w:r w:rsidRPr="000C34AA">
        <w:t>Som framgår av avsnitt 5.3.5 finns det en del uppgifter som normalt sett kan lämnas ut utan begränsning. Detta gäller bl.a. de uppgifter som lämnas på årsuppgiften och de uppgifter som finns i den årliga preliminära inkomstup</w:t>
      </w:r>
      <w:r w:rsidRPr="000C34AA">
        <w:t>p</w:t>
      </w:r>
      <w:r w:rsidRPr="000C34AA">
        <w:t xml:space="preserve">giften. </w:t>
      </w:r>
    </w:p>
    <w:p w:rsidR="009C332F" w:rsidRPr="000C34AA" w:rsidRDefault="009C332F">
      <w:pPr>
        <w:pStyle w:val="Normaltindrag"/>
      </w:pPr>
      <w:r w:rsidRPr="000C34AA">
        <w:t>I övrigt rör det sig om uppgifter som kommit in som ett led i kontrollen av att garantitagarens uppgifter är riktiga. Här handlar det bl.a. om uppgifter i slutskattebeskedet. Sådana uppgifter torde det sällan möta några hinder att lämna ut. Vidare kommer där att finnas uppgifter som lämnats som svar på en begäran enligt 13 kap. 19 och 20 §§ ersättningslagen eller enligt motsvarande regler i företrädarlagen. Sådana uppgifter kommer i vissa fall att röra sådant som skyddas av sekretess på andra håll</w:t>
      </w:r>
      <w:r w:rsidRPr="000C34AA">
        <w:t>. Det är framför allt i dessa fall som det kan bli aktuellt att inte lämna ut uppgifter. Detsamma gäller sådana uppgifter som inhämtats från verksamheter där det inte råder någon handlingsoffentli</w:t>
      </w:r>
      <w:r w:rsidRPr="000C34AA">
        <w:t>g</w:t>
      </w:r>
      <w:r w:rsidRPr="000C34AA">
        <w:t xml:space="preserve">het, exempelvis försäkringsbolag. </w:t>
      </w:r>
    </w:p>
    <w:p w:rsidR="009C332F" w:rsidRPr="000C34AA" w:rsidRDefault="009C332F">
      <w:pPr>
        <w:pStyle w:val="Normaltindrag"/>
      </w:pPr>
      <w:r w:rsidRPr="000C34AA">
        <w:t xml:space="preserve">Överskottsinformation som lämnats i ett ärende får anses ha ett särskilt starkt skyddsbehov. Sådana uppgifter bör i regel inte lämnas ut. </w:t>
      </w:r>
    </w:p>
    <w:p w:rsidR="009C332F" w:rsidRPr="000C34AA" w:rsidRDefault="009C332F">
      <w:pPr>
        <w:pStyle w:val="Normaltindrag"/>
      </w:pPr>
      <w:r w:rsidRPr="000C34AA">
        <w:t>Undantagsregeln för beslut i ärenden om inkomstgaranti syftar främst på själva besluten om rätt till inkomstgaranti, om årsavstämning och om åte</w:t>
      </w:r>
      <w:r w:rsidRPr="000C34AA">
        <w:t>r</w:t>
      </w:r>
      <w:r w:rsidRPr="000C34AA">
        <w:t xml:space="preserve">krav. </w:t>
      </w:r>
    </w:p>
    <w:p w:rsidR="009C332F" w:rsidRPr="000C34AA" w:rsidRDefault="009C332F">
      <w:pPr>
        <w:pStyle w:val="Rubrik2"/>
      </w:pPr>
      <w:bookmarkStart w:id="44" w:name="_Toc20645517"/>
      <w:r w:rsidRPr="000C34AA">
        <w:t>6.2 Förslaget till lag om ändring i lagen (1989:186) om överklagande av administrativa beslut av riksdagsförvaltningen och riksdagens myndigheter</w:t>
      </w:r>
      <w:bookmarkEnd w:id="44"/>
    </w:p>
    <w:p w:rsidR="009C332F" w:rsidRPr="000C34AA" w:rsidRDefault="009C332F">
      <w:r w:rsidRPr="000C34AA">
        <w:t xml:space="preserve">I 1 § har ett nytt </w:t>
      </w:r>
      <w:r w:rsidRPr="000C34AA">
        <w:rPr>
          <w:i/>
        </w:rPr>
        <w:t>andra stycke</w:t>
      </w:r>
      <w:r w:rsidRPr="000C34AA">
        <w:t xml:space="preserve"> lagts till. Tillägget innebär att de beslut som en annan myndighet fattar inom ramen för ett uppdrag från riksdagsförvaltnin</w:t>
      </w:r>
      <w:r w:rsidRPr="000C34AA">
        <w:t>g</w:t>
      </w:r>
      <w:r w:rsidRPr="000C34AA">
        <w:t>en inte skall överklagas på det sätt som annars gäller för överklagande av myndighetens beslut. Efter en överföring av administrationen av inkomstg</w:t>
      </w:r>
      <w:r w:rsidRPr="000C34AA">
        <w:t>a</w:t>
      </w:r>
      <w:r w:rsidRPr="000C34AA">
        <w:t>rantierna till SPV kommer verkets beslut således att överklagas hos Riksd</w:t>
      </w:r>
      <w:r w:rsidRPr="000C34AA">
        <w:t>a</w:t>
      </w:r>
      <w:r w:rsidRPr="000C34AA">
        <w:t xml:space="preserve">gens besvärsnämnd. För verkets del innebär det bl.a. att överklaganden skall översändas till besvärsnämnden och att yttranden i förekommande fall skall </w:t>
      </w:r>
      <w:r w:rsidRPr="000C34AA">
        <w:t>lämnas till nämnden.</w:t>
      </w:r>
    </w:p>
    <w:p w:rsidR="009C332F" w:rsidRPr="000C34AA" w:rsidRDefault="009C332F">
      <w:pPr>
        <w:pStyle w:val="Rubrik2"/>
      </w:pPr>
      <w:bookmarkStart w:id="45" w:name="_Toc20645518"/>
      <w:r w:rsidRPr="000C34AA">
        <w:t>6.3 Förslaget till lag om ändring i lagen (1994:1065) om ekonomiska villkor för riksdagens ledamöter</w:t>
      </w:r>
      <w:bookmarkEnd w:id="45"/>
    </w:p>
    <w:p w:rsidR="009C332F" w:rsidRPr="000C34AA" w:rsidRDefault="009C332F">
      <w:r w:rsidRPr="000C34AA">
        <w:t xml:space="preserve">Ändringarna tar sikte på handläggningen av ärenden om inkomstgaranti. </w:t>
      </w:r>
    </w:p>
    <w:p w:rsidR="009C332F" w:rsidRPr="000C34AA" w:rsidRDefault="009C332F"/>
    <w:p w:rsidR="009C332F" w:rsidRPr="000C34AA" w:rsidRDefault="009C332F">
      <w:r w:rsidRPr="000C34AA">
        <w:t>13 kap. 17 §</w:t>
      </w:r>
    </w:p>
    <w:p w:rsidR="009C332F" w:rsidRPr="000C34AA" w:rsidRDefault="009C332F">
      <w:r w:rsidRPr="000C34AA">
        <w:t xml:space="preserve">Paragrafen innehåller regler avseende inkomstgaranti och efterlevandeskydd. Ändringarna innebär att reglerna om inkomstgaranti brutits ut och – med vissa ändringar – förts över till 18 §. </w:t>
      </w:r>
    </w:p>
    <w:p w:rsidR="009C332F" w:rsidRPr="000C34AA" w:rsidRDefault="009C332F">
      <w:pPr>
        <w:pStyle w:val="Sidfot"/>
      </w:pPr>
    </w:p>
    <w:p w:rsidR="009C332F" w:rsidRPr="000C34AA" w:rsidRDefault="009C332F">
      <w:r w:rsidRPr="000C34AA">
        <w:t>13 kap. 18 §</w:t>
      </w:r>
    </w:p>
    <w:p w:rsidR="009C332F" w:rsidRPr="000C34AA" w:rsidRDefault="009C332F">
      <w:r w:rsidRPr="000C34AA">
        <w:t xml:space="preserve">Paragrafen, som är ny, innehåller regler om ansökningar om utbetalning av inkomstgaranti. </w:t>
      </w:r>
    </w:p>
    <w:p w:rsidR="009C332F" w:rsidRPr="000C34AA" w:rsidRDefault="009C332F">
      <w:pPr>
        <w:pStyle w:val="Normaltindrag"/>
      </w:pPr>
      <w:r w:rsidRPr="000C34AA">
        <w:rPr>
          <w:i/>
        </w:rPr>
        <w:t>Första stycket</w:t>
      </w:r>
      <w:r w:rsidRPr="000C34AA">
        <w:t xml:space="preserve"> motsvarar delvis första stycket i det tidigare 13 kap. 17 §. En saklig förändring är dock att ansökan om rätt till inkomstgaranti inte b</w:t>
      </w:r>
      <w:r w:rsidRPr="000C34AA">
        <w:t>e</w:t>
      </w:r>
      <w:r w:rsidRPr="000C34AA">
        <w:t>höver göras. Tanken är att ett sådant beslut skall fattas självmant av riksdag</w:t>
      </w:r>
      <w:r w:rsidRPr="000C34AA">
        <w:t>s</w:t>
      </w:r>
      <w:r w:rsidRPr="000C34AA">
        <w:t xml:space="preserve">förvaltningen. Däremot måste den som vill ha inkomstgaranti utbetalad göra ansökan om det. I enlighet med vad som föreslås i avsnitt 5.2 kommer detta i praktiken att få göras hos SPV. </w:t>
      </w:r>
    </w:p>
    <w:p w:rsidR="009C332F" w:rsidRPr="000C34AA" w:rsidRDefault="009C332F">
      <w:pPr>
        <w:pStyle w:val="Normaltindrag"/>
      </w:pPr>
      <w:r w:rsidRPr="000C34AA">
        <w:t xml:space="preserve">Till </w:t>
      </w:r>
      <w:r w:rsidRPr="000C34AA">
        <w:rPr>
          <w:i/>
        </w:rPr>
        <w:t>andra stycket</w:t>
      </w:r>
      <w:r w:rsidRPr="000C34AA">
        <w:t xml:space="preserve"> har andra stycket i 17 § överförts utan sakliga ändringar. Att utbetalning av inkomstgaranti inte kan ske för längre tid tillbaka än sex månader gäller om garantitagaren inte tidigare ansökt om utbetalning. Den som har sådana inkomster att det är tveksamt om inkomstgaranti skall betalas ut bör alltså alltid ansöka om utbetalning för att inte riskera att förlora rätten till inkomstgaranti som avser tid längre tillbaka än sex månader. </w:t>
      </w:r>
    </w:p>
    <w:p w:rsidR="009C332F" w:rsidRPr="000C34AA" w:rsidRDefault="009C332F">
      <w:pPr>
        <w:pStyle w:val="Sidfot"/>
      </w:pPr>
    </w:p>
    <w:p w:rsidR="009C332F" w:rsidRPr="000C34AA" w:rsidRDefault="009C332F">
      <w:r w:rsidRPr="000C34AA">
        <w:t>13 kap. 19 §</w:t>
      </w:r>
    </w:p>
    <w:p w:rsidR="009C332F" w:rsidRPr="000C34AA" w:rsidRDefault="009C332F">
      <w:r w:rsidRPr="000C34AA">
        <w:t xml:space="preserve">Paragrafen, som är ny, innehåller bestämmelser om olika skyldigheter för garantitagaren. </w:t>
      </w:r>
    </w:p>
    <w:p w:rsidR="009C332F" w:rsidRPr="000C34AA" w:rsidRDefault="009C332F">
      <w:pPr>
        <w:pStyle w:val="Normaltindrag"/>
      </w:pPr>
      <w:r w:rsidRPr="000C34AA">
        <w:t xml:space="preserve">Bestämmelsen i </w:t>
      </w:r>
      <w:r w:rsidRPr="000C34AA">
        <w:rPr>
          <w:i/>
        </w:rPr>
        <w:t>första stycket</w:t>
      </w:r>
      <w:r w:rsidRPr="000C34AA">
        <w:t xml:space="preserve"> ersätter en regel i andra stycket andra m</w:t>
      </w:r>
      <w:r w:rsidRPr="000C34AA">
        <w:t>e</w:t>
      </w:r>
      <w:r w:rsidRPr="000C34AA">
        <w:t>ningen i tillämpningsföreskrifterna till 13 kap. 9–12 §§. Förslaget, som mot</w:t>
      </w:r>
      <w:r w:rsidRPr="000C34AA">
        <w:t>i</w:t>
      </w:r>
      <w:r w:rsidRPr="000C34AA">
        <w:t xml:space="preserve">verats i avsnitt 5.3.3, innebär att den som begär inkomstgaranti är skyldig att lämna de upplysningar som krävs för att bestämmelserna i ersättningslagen skall kunna tillämpas. Främst handlar detta om uppgifter om vem som betalat ut olika ersättningar, när utbetalningen gjorts och med vilket belopp. </w:t>
      </w:r>
    </w:p>
    <w:p w:rsidR="009C332F" w:rsidRPr="000C34AA" w:rsidRDefault="009C332F">
      <w:pPr>
        <w:pStyle w:val="Normaltindrag"/>
      </w:pPr>
      <w:r w:rsidRPr="000C34AA">
        <w:t>En begäran om uppgifter kan i princip framställas när som helst under handlä</w:t>
      </w:r>
      <w:r w:rsidRPr="000C34AA">
        <w:t>ggningen av ett ärende. Sålunda kan det – om än i rena undantagsfall – bli aktuellt att begära in uppgifter från garantitagaren redan i samband med att en ansökan om utbetalning av inkomstgaranti prövas. Det stora flertalet til</w:t>
      </w:r>
      <w:r w:rsidRPr="000C34AA">
        <w:t>l</w:t>
      </w:r>
      <w:r w:rsidRPr="000C34AA">
        <w:t>fällen när den föreslagna möjligheten torde komma att utnyttjas är i stället när uppgifterna som lämnas inför årsavstämningen avviker kraftigt från tidigare lämnade uppgifter. Vidare kan en begäran komma att framställas när rik</w:t>
      </w:r>
      <w:r w:rsidRPr="000C34AA">
        <w:t>s</w:t>
      </w:r>
      <w:r w:rsidRPr="000C34AA">
        <w:t>dagsförvaltningen gjort ett stickprov hos skattemyndighe</w:t>
      </w:r>
      <w:r w:rsidRPr="000C34AA">
        <w:t xml:space="preserve">ten när den slutliga taxeringen är klar. Det är dock inte meningen att taxeringsuppgifter skall kontrolleras rutinmässigt och därefter rutinmässigt föranleda förelägganden för garantitagarna att lämna uppgifter. </w:t>
      </w:r>
    </w:p>
    <w:p w:rsidR="009C332F" w:rsidRPr="000C34AA" w:rsidRDefault="009C332F">
      <w:pPr>
        <w:pStyle w:val="Normaltindrag"/>
      </w:pPr>
      <w:r w:rsidRPr="000C34AA">
        <w:t>Om begärda uppgifter inte lämnas, kan riksdagsförvaltningen stoppa kommande utbetalningar av inkomstgaranti. Självfallet skall utbetalningarna återupptas, om begärda uppgifter lämnas. Att den som inte alls lämnar prel</w:t>
      </w:r>
      <w:r w:rsidRPr="000C34AA">
        <w:t>i</w:t>
      </w:r>
      <w:r w:rsidRPr="000C34AA">
        <w:t>minär inkomstuppgift eller årsuppgift kan komma att drabbas av att utbeta</w:t>
      </w:r>
      <w:r w:rsidRPr="000C34AA">
        <w:t>l</w:t>
      </w:r>
      <w:r w:rsidRPr="000C34AA">
        <w:t>ningarna stoppas följer av tillämpningsföreskrifterna till 9–12 §§.</w:t>
      </w:r>
    </w:p>
    <w:p w:rsidR="009C332F" w:rsidRPr="000C34AA" w:rsidRDefault="009C332F">
      <w:pPr>
        <w:pStyle w:val="Normaltindrag"/>
      </w:pPr>
      <w:r w:rsidRPr="000C34AA">
        <w:t xml:space="preserve">I </w:t>
      </w:r>
      <w:r w:rsidRPr="000C34AA">
        <w:rPr>
          <w:i/>
        </w:rPr>
        <w:t>andra stycket</w:t>
      </w:r>
      <w:r w:rsidRPr="000C34AA">
        <w:t xml:space="preserve"> har – i enlighet med vad som sagts i avsnitt 5.3.3 – för</w:t>
      </w:r>
      <w:r w:rsidRPr="000C34AA">
        <w:t>e</w:t>
      </w:r>
      <w:r w:rsidRPr="000C34AA">
        <w:t>skrivits att garantitagaren självmant skall lämna uppgifter om ändrade fö</w:t>
      </w:r>
      <w:r w:rsidRPr="000C34AA">
        <w:t>r</w:t>
      </w:r>
      <w:r w:rsidRPr="000C34AA">
        <w:t xml:space="preserve">hållanden. Skyldigheten att komplettera tidigare uppgifter har begränsats till sådant som innebär väsentliga förändringar. Här torde det i regel komma att röra sig om beloppsmässiga bedömningar. Som ett riktmärke bör gälla att inkomsterna förändras med minst 30 000 kr på ett år. Som regel bör också det förhållandet att garantitagaren övergår till att bedriva någon </w:t>
      </w:r>
      <w:r w:rsidRPr="000C34AA">
        <w:t>form av näring</w:t>
      </w:r>
      <w:r w:rsidRPr="000C34AA">
        <w:t>s</w:t>
      </w:r>
      <w:r w:rsidRPr="000C34AA">
        <w:t>verksamhet redovisas. Det faktum att bestämmelsen utformats som en sky</w:t>
      </w:r>
      <w:r w:rsidRPr="000C34AA">
        <w:t>l</w:t>
      </w:r>
      <w:r w:rsidRPr="000C34AA">
        <w:t>dighet för garantitagaren utesluter naturligtvis inte att garantitagaren själ</w:t>
      </w:r>
      <w:r w:rsidRPr="000C34AA">
        <w:t>v</w:t>
      </w:r>
      <w:r w:rsidRPr="000C34AA">
        <w:t>mant också vid mindre inkomstförändringar anmäler detta till riksdagsfö</w:t>
      </w:r>
      <w:r w:rsidRPr="000C34AA">
        <w:t>r</w:t>
      </w:r>
      <w:r w:rsidRPr="000C34AA">
        <w:t>valtningen.</w:t>
      </w:r>
    </w:p>
    <w:p w:rsidR="009C332F" w:rsidRPr="000C34AA" w:rsidRDefault="009C332F">
      <w:pPr>
        <w:pStyle w:val="Normaltindrag"/>
      </w:pPr>
      <w:r w:rsidRPr="000C34AA">
        <w:t>I denna del har det inte föreskrivits någon särskild sanktion för den som inte lämnar uppgifter. Det bör dock påpekas att den som inte lämnar uppgifter som påverkar inkomstgarantin i den riktningen att garantin skall utgå med lägre belopp, kommer att bli återbetal</w:t>
      </w:r>
      <w:r w:rsidRPr="000C34AA">
        <w:t>ningsskyldig som en följd av den årliga avstämningen. Ränta kommer att tas ut på beloppet. Det ligger därför i gara</w:t>
      </w:r>
      <w:r w:rsidRPr="000C34AA">
        <w:t>n</w:t>
      </w:r>
      <w:r w:rsidRPr="000C34AA">
        <w:t xml:space="preserve">titagarens eget intresse att underrätta riksdagsförvaltningen om väsentligt ändrade förhållanden för att på så sätt undvika att årsavstämningen leder till en alltför stor skuld. </w:t>
      </w:r>
    </w:p>
    <w:p w:rsidR="009C332F" w:rsidRPr="000C34AA" w:rsidRDefault="009C332F">
      <w:pPr>
        <w:pStyle w:val="Normaltindrag"/>
      </w:pPr>
      <w:r w:rsidRPr="000C34AA">
        <w:t xml:space="preserve">I </w:t>
      </w:r>
      <w:r w:rsidRPr="000C34AA">
        <w:rPr>
          <w:i/>
        </w:rPr>
        <w:t>tredje stycket</w:t>
      </w:r>
      <w:r w:rsidRPr="000C34AA">
        <w:t xml:space="preserve"> har föreskrivits att lämnade uppgifter på heder och samvete skall vara riktiga. </w:t>
      </w:r>
    </w:p>
    <w:p w:rsidR="009C332F" w:rsidRPr="000C34AA" w:rsidRDefault="009C332F">
      <w:pPr>
        <w:pStyle w:val="Sidfot"/>
      </w:pPr>
    </w:p>
    <w:p w:rsidR="009C332F" w:rsidRPr="000C34AA" w:rsidRDefault="009C332F">
      <w:r w:rsidRPr="000C34AA">
        <w:t>13 kap. 20 §</w:t>
      </w:r>
    </w:p>
    <w:p w:rsidR="009C332F" w:rsidRPr="000C34AA" w:rsidRDefault="009C332F">
      <w:r w:rsidRPr="000C34AA">
        <w:t>I paragrafen, som är ny, åläggs den som betalt ut ersättning till en garantitag</w:t>
      </w:r>
      <w:r w:rsidRPr="000C34AA">
        <w:t>a</w:t>
      </w:r>
      <w:r w:rsidRPr="000C34AA">
        <w:t xml:space="preserve">re att lämna uppgifter som behövs för att reglerna rörande inkomstgaranti skall kunna tillämpas. Syftet med bestämmelsen är – som framgår i avsnitt 5.3.4 – att göra det möjligt att stämma av de belopp som en garantitagare presenterat som svar på en begäran som avses i 19 § första stycket. </w:t>
      </w:r>
    </w:p>
    <w:p w:rsidR="009C332F" w:rsidRPr="000C34AA" w:rsidRDefault="009C332F">
      <w:pPr>
        <w:pStyle w:val="Normaltindrag"/>
      </w:pPr>
      <w:r w:rsidRPr="000C34AA">
        <w:t>De uppgifter som det kan bli aktuellt att begära ut är sådant som är av b</w:t>
      </w:r>
      <w:r w:rsidRPr="000C34AA">
        <w:t>e</w:t>
      </w:r>
      <w:r w:rsidRPr="000C34AA">
        <w:t xml:space="preserve">tydelse för tillämpningen av ersättningslagen. Här rör det sig i praktiken om uppgifter som krävs för att det skall gå att bedöma om inkomsterna i fråga är sådana att de skall samordnas med inkomstgarantin. </w:t>
      </w:r>
    </w:p>
    <w:p w:rsidR="009C332F" w:rsidRPr="000C34AA" w:rsidRDefault="009C332F">
      <w:pPr>
        <w:pStyle w:val="Normaltindrag"/>
      </w:pPr>
      <w:r w:rsidRPr="000C34AA">
        <w:t xml:space="preserve">Att i detalj ange vilka slags uppgifter som krävs för att fatta korrekta beslut låter sig inte göras på förhand. Detta får i stället avgöras från fall till fall. Uppgifter som typiskt sett kan komma att begäras ut är storleken på olika ersättningar och tidpunkten för utbetalningen. </w:t>
      </w:r>
    </w:p>
    <w:p w:rsidR="009C332F" w:rsidRPr="000C34AA" w:rsidRDefault="009C332F"/>
    <w:p w:rsidR="009C332F" w:rsidRPr="000C34AA" w:rsidRDefault="009C332F">
      <w:r w:rsidRPr="000C34AA">
        <w:t>13 kap. 21 §</w:t>
      </w:r>
    </w:p>
    <w:p w:rsidR="009C332F" w:rsidRPr="000C34AA" w:rsidRDefault="009C332F">
      <w:r w:rsidRPr="000C34AA">
        <w:t>Paragrafen, som är ny, innehåller regler om återbetalningsskyldighet och ränta. Dessa frågor har behandlats i avsnitt 5.3.6.</w:t>
      </w:r>
    </w:p>
    <w:p w:rsidR="009C332F" w:rsidRPr="000C34AA" w:rsidRDefault="009C332F">
      <w:pPr>
        <w:pStyle w:val="Normaltindrag"/>
      </w:pPr>
      <w:r w:rsidRPr="000C34AA">
        <w:t xml:space="preserve">Paragrafens </w:t>
      </w:r>
      <w:r w:rsidRPr="000C34AA">
        <w:rPr>
          <w:i/>
        </w:rPr>
        <w:t>första stycke</w:t>
      </w:r>
      <w:r w:rsidRPr="000C34AA">
        <w:t xml:space="preserve"> anger i vilka fall garantitagaren kan bli återbeta</w:t>
      </w:r>
      <w:r w:rsidRPr="000C34AA">
        <w:t>l</w:t>
      </w:r>
      <w:r w:rsidRPr="000C34AA">
        <w:t>ningsskyldig. Bestämmelserna ersätter andra meningen i tredje stycket av tillämpningsföreskrifterna till 13 kap. 9–12 §§. Ändringen innebär att möjli</w:t>
      </w:r>
      <w:r w:rsidRPr="000C34AA">
        <w:t>g</w:t>
      </w:r>
      <w:r w:rsidRPr="000C34AA">
        <w:t xml:space="preserve">heten att återkräva inkomstgaranti nu lagregleras. I sak innebär detta ingen förändring. </w:t>
      </w:r>
    </w:p>
    <w:p w:rsidR="009C332F" w:rsidRPr="000C34AA" w:rsidRDefault="009C332F">
      <w:pPr>
        <w:pStyle w:val="Normaltindrag"/>
      </w:pPr>
      <w:r w:rsidRPr="000C34AA">
        <w:t>Det ligger i sakens natur att återkrav efter det att slutlig inkomstgaranti b</w:t>
      </w:r>
      <w:r w:rsidRPr="000C34AA">
        <w:t>e</w:t>
      </w:r>
      <w:r w:rsidRPr="000C34AA">
        <w:t>slutats i praktiken inte kan ske förrän upplysningar inhämtats hos garantitag</w:t>
      </w:r>
      <w:r w:rsidRPr="000C34AA">
        <w:t>a</w:t>
      </w:r>
      <w:r w:rsidRPr="000C34AA">
        <w:t xml:space="preserve">ren och utbetalare. </w:t>
      </w:r>
    </w:p>
    <w:p w:rsidR="009C332F" w:rsidRPr="000C34AA" w:rsidRDefault="009C332F">
      <w:pPr>
        <w:pStyle w:val="Normaltindrag"/>
      </w:pPr>
      <w:r w:rsidRPr="000C34AA">
        <w:t xml:space="preserve">I </w:t>
      </w:r>
      <w:r w:rsidRPr="000C34AA">
        <w:rPr>
          <w:i/>
        </w:rPr>
        <w:t>andra stycket</w:t>
      </w:r>
      <w:r w:rsidRPr="000C34AA">
        <w:t xml:space="preserve"> slås fast att den som är återbetalningsskyldig också är sky</w:t>
      </w:r>
      <w:r w:rsidRPr="000C34AA">
        <w:t>l</w:t>
      </w:r>
      <w:r w:rsidRPr="000C34AA">
        <w:t xml:space="preserve">dig att betala ränta. En närmare reglering av skyldigheten att betala ränta bör tas in i tillämpningsföreskrifterna. </w:t>
      </w:r>
    </w:p>
    <w:p w:rsidR="009C332F" w:rsidRPr="000C34AA" w:rsidRDefault="009C332F">
      <w:pPr>
        <w:pStyle w:val="Normaltindrag"/>
      </w:pPr>
      <w:r w:rsidRPr="000C34AA">
        <w:t xml:space="preserve">I </w:t>
      </w:r>
      <w:r w:rsidRPr="000C34AA">
        <w:rPr>
          <w:i/>
        </w:rPr>
        <w:t>tredje stycket</w:t>
      </w:r>
      <w:r w:rsidRPr="000C34AA">
        <w:t xml:space="preserve"> har en möjlighet till eftergift införts. </w:t>
      </w:r>
    </w:p>
    <w:p w:rsidR="009C332F" w:rsidRPr="000C34AA" w:rsidRDefault="009C332F">
      <w:pPr>
        <w:pStyle w:val="Rubrik2"/>
      </w:pPr>
      <w:bookmarkStart w:id="46" w:name="_Toc20645519"/>
      <w:r w:rsidRPr="000C34AA">
        <w:t>6.4 Förslaget till lag om ändring i lagen (1996:304) om arvode m.m. till Sveriges företrädare i Europaparlamentet</w:t>
      </w:r>
      <w:bookmarkEnd w:id="46"/>
    </w:p>
    <w:p w:rsidR="009C332F" w:rsidRPr="000C34AA" w:rsidRDefault="009C332F">
      <w:r w:rsidRPr="000C34AA">
        <w:t xml:space="preserve">Ändringarna i 9 kap. 17–21 §§ motsvarar dem som gjorts i ersättningslagen. </w:t>
      </w:r>
    </w:p>
    <w:p w:rsidR="009C332F" w:rsidRPr="000C34AA" w:rsidRDefault="009C332F">
      <w:pPr>
        <w:pStyle w:val="Rubrik2"/>
      </w:pPr>
      <w:bookmarkStart w:id="47" w:name="_Toc20645520"/>
      <w:r w:rsidRPr="000C34AA">
        <w:t>6.5 Förslaget till lag om ändring i lagen (2000:419) med instruktion för riksdagsförvaltningen</w:t>
      </w:r>
      <w:bookmarkEnd w:id="47"/>
    </w:p>
    <w:p w:rsidR="009C332F" w:rsidRPr="000C34AA" w:rsidRDefault="009C332F">
      <w:r w:rsidRPr="000C34AA">
        <w:t>2 a §</w:t>
      </w:r>
    </w:p>
    <w:p w:rsidR="009C332F" w:rsidRPr="000C34AA" w:rsidRDefault="009C332F">
      <w:r w:rsidRPr="000C34AA">
        <w:t xml:space="preserve">Paragrafen, som är ny, innehåller regler för överlämnande av handläggningen av ärenden till en annan myndighet. </w:t>
      </w:r>
    </w:p>
    <w:p w:rsidR="009C332F" w:rsidRPr="000C34AA" w:rsidRDefault="009C332F">
      <w:pPr>
        <w:pStyle w:val="Normaltindrag"/>
      </w:pPr>
      <w:r w:rsidRPr="000C34AA">
        <w:t xml:space="preserve">I </w:t>
      </w:r>
      <w:r w:rsidRPr="000C34AA">
        <w:rPr>
          <w:i/>
        </w:rPr>
        <w:t>första meningen</w:t>
      </w:r>
      <w:r w:rsidRPr="000C34AA">
        <w:t xml:space="preserve"> slås fast att riksdagsförvaltningen har en uttrycklig rätt att överlämna handläggningen av frågor rörande vissa förmåner till en annan myndighet. Av hänvisningen till 2 § 3 framgår att det endast är i fråga om handläggningen av ärenden som den andra myndigheten kan ges behörighet att agera. Föreskriftsrätten i 2 § 2 kan alltså inte överlåtas. </w:t>
      </w:r>
    </w:p>
    <w:p w:rsidR="009C332F" w:rsidRPr="000C34AA" w:rsidRDefault="009C332F">
      <w:pPr>
        <w:pStyle w:val="Normaltindrag"/>
      </w:pPr>
      <w:r w:rsidRPr="000C34AA">
        <w:t>Flera av de regler som den andra myndigheten har att tillämpa är utform</w:t>
      </w:r>
      <w:r w:rsidRPr="000C34AA">
        <w:t>a</w:t>
      </w:r>
      <w:r w:rsidRPr="000C34AA">
        <w:t xml:space="preserve">de så att det inte direkt framgår vem som skall agera. Så är t.ex. fallet i fråga om garantitagarens återbetalningsskyldighet, se 13 kap. 21 ersättningslagen. Självfallet kan den andra myndigheten fatta sådana beslut. För de fall där det uttryckligen anges att det är riksdagsförvaltningen som skall agera på visst sätt har det i </w:t>
      </w:r>
      <w:r w:rsidRPr="000C34AA">
        <w:rPr>
          <w:i/>
        </w:rPr>
        <w:t>andra meningen</w:t>
      </w:r>
      <w:r w:rsidRPr="000C34AA">
        <w:t xml:space="preserve"> angetts att vad som i sådana fall gäller för rik</w:t>
      </w:r>
      <w:r w:rsidRPr="000C34AA">
        <w:t>s</w:t>
      </w:r>
      <w:r w:rsidRPr="000C34AA">
        <w:t xml:space="preserve">dagsförvaltningen i stället skall gälla den andra myndigheten. </w:t>
      </w:r>
    </w:p>
    <w:p w:rsidR="009C332F" w:rsidRPr="000C34AA" w:rsidRDefault="009C332F">
      <w:pPr>
        <w:pStyle w:val="Normaltindrag"/>
      </w:pPr>
    </w:p>
    <w:p w:rsidR="009C332F" w:rsidRPr="000C34AA" w:rsidRDefault="009C332F">
      <w:pPr>
        <w:pStyle w:val="Normaltindrag"/>
      </w:pPr>
    </w:p>
    <w:p w:rsidR="009C332F" w:rsidRPr="000C34AA" w:rsidRDefault="009C332F">
      <w:pPr>
        <w:pStyle w:val="Normaltindrag"/>
        <w:sectPr w:rsidR="00000000" w:rsidRPr="000C34AA">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9C332F" w:rsidRPr="000C34AA" w:rsidRDefault="009C332F">
      <w:pPr>
        <w:pStyle w:val="Rubrik1"/>
        <w:spacing w:after="240"/>
        <w:rPr>
          <w:noProof w:val="0"/>
        </w:rPr>
      </w:pPr>
      <w:bookmarkStart w:id="48" w:name="Nästa_Reservation"/>
      <w:bookmarkStart w:id="49" w:name="_Toc20645521"/>
      <w:bookmarkEnd w:id="48"/>
      <w:r w:rsidRPr="000C34AA">
        <w:rPr>
          <w:noProof w:val="0"/>
        </w:rPr>
        <w:t>7 Riksdagsstyrelsens lagförslag</w:t>
      </w:r>
      <w:bookmarkEnd w:id="49"/>
    </w:p>
    <w:p w:rsidR="009C332F" w:rsidRPr="000C34AA" w:rsidRDefault="009C332F">
      <w:r w:rsidRPr="000C34AA">
        <w:t>Riksdagsstyrelsen har följande förslag till lagtext.</w:t>
      </w:r>
    </w:p>
    <w:p w:rsidR="009C332F" w:rsidRPr="000C34AA" w:rsidRDefault="009C332F">
      <w:pPr>
        <w:pStyle w:val="Rubrik2"/>
      </w:pPr>
      <w:bookmarkStart w:id="50" w:name="_Toc20645522"/>
      <w:r w:rsidRPr="000C34AA">
        <w:t>7.1 Förslag till lag om ändring i sekretesslagen (1980:100)</w:t>
      </w:r>
      <w:bookmarkEnd w:id="50"/>
    </w:p>
    <w:p w:rsidR="009C332F" w:rsidRPr="000C34AA" w:rsidRDefault="009C332F">
      <w:pPr>
        <w:pStyle w:val="Brdtextmedindrag2"/>
        <w:ind w:left="0"/>
        <w:rPr>
          <w:i w:val="0"/>
        </w:rPr>
      </w:pPr>
    </w:p>
    <w:p w:rsidR="009C332F" w:rsidRPr="000C34AA" w:rsidRDefault="009C332F">
      <w:pPr>
        <w:pStyle w:val="LagtextIndrag"/>
      </w:pPr>
      <w:r w:rsidRPr="000C34AA">
        <w:t>Härigenom föreskrivs att det i sekretesslagen (1980:100)</w:t>
      </w:r>
      <w:r w:rsidRPr="000C34AA">
        <w:rPr>
          <w:rStyle w:val="Fotnotsreferens"/>
        </w:rPr>
        <w:footnoteReference w:id="1"/>
      </w:r>
      <w:r w:rsidRPr="000C34AA">
        <w:t xml:space="preserve"> skall införas en ny paragraf, 9 kap. 28 §, av följande lydelse. </w:t>
      </w:r>
    </w:p>
    <w:p w:rsidR="009C332F" w:rsidRPr="000C34AA" w:rsidRDefault="009C332F">
      <w:pPr>
        <w:pStyle w:val="Normaltindrag"/>
      </w:pPr>
    </w:p>
    <w:p w:rsidR="009C332F" w:rsidRPr="000C34AA" w:rsidRDefault="009C332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C34AA">
        <w:tblPrEx>
          <w:tblCellMar>
            <w:top w:w="0" w:type="dxa"/>
            <w:bottom w:w="0" w:type="dxa"/>
          </w:tblCellMar>
        </w:tblPrEx>
        <w:trPr>
          <w:tblHeader/>
        </w:trPr>
        <w:tc>
          <w:tcPr>
            <w:tcW w:w="3090" w:type="dxa"/>
          </w:tcPr>
          <w:p w:rsidR="009C332F" w:rsidRPr="000C34AA" w:rsidRDefault="009C332F">
            <w:pPr>
              <w:pStyle w:val="LagtextRubrik"/>
            </w:pPr>
            <w:r w:rsidRPr="000C34AA">
              <w:t>Nuvarande lydelse</w:t>
            </w:r>
          </w:p>
        </w:tc>
        <w:tc>
          <w:tcPr>
            <w:tcW w:w="3090" w:type="dxa"/>
          </w:tcPr>
          <w:p w:rsidR="009C332F" w:rsidRPr="000C34AA" w:rsidRDefault="009C332F">
            <w:pPr>
              <w:pStyle w:val="LagtextRubrik"/>
            </w:pPr>
            <w:r w:rsidRPr="000C34AA">
              <w:t>Föreslagen lydelse</w:t>
            </w:r>
          </w:p>
        </w:tc>
      </w:tr>
      <w:tr w:rsidR="00000000" w:rsidRPr="000C34AA">
        <w:tblPrEx>
          <w:tblCellMar>
            <w:top w:w="0" w:type="dxa"/>
            <w:bottom w:w="0" w:type="dxa"/>
          </w:tblCellMar>
        </w:tblPrEx>
        <w:trPr>
          <w:cantSplit/>
        </w:trPr>
        <w:tc>
          <w:tcPr>
            <w:tcW w:w="6180" w:type="dxa"/>
            <w:gridSpan w:val="2"/>
          </w:tcPr>
          <w:p w:rsidR="009C332F" w:rsidRPr="000C34AA" w:rsidRDefault="009C332F">
            <w:pPr>
              <w:pStyle w:val="Lagtext"/>
              <w:jc w:val="center"/>
              <w:rPr>
                <w:b/>
              </w:rPr>
            </w:pPr>
            <w:r w:rsidRPr="000C34AA">
              <w:rPr>
                <w:b/>
              </w:rPr>
              <w:t>9 kap.</w:t>
            </w:r>
          </w:p>
          <w:p w:rsidR="009C332F" w:rsidRPr="000C34AA" w:rsidRDefault="009C332F">
            <w:pPr>
              <w:pStyle w:val="Lagtext"/>
              <w:jc w:val="center"/>
              <w:rPr>
                <w:i/>
              </w:rPr>
            </w:pPr>
            <w:r w:rsidRPr="000C34AA">
              <w:t xml:space="preserve">          </w:t>
            </w:r>
            <w:r w:rsidRPr="000C34AA">
              <w:rPr>
                <w:i/>
              </w:rPr>
              <w:t>28  §</w:t>
            </w:r>
          </w:p>
        </w:tc>
      </w:tr>
      <w:tr w:rsidR="00000000" w:rsidRPr="000C34AA">
        <w:tblPrEx>
          <w:tblCellMar>
            <w:top w:w="0" w:type="dxa"/>
            <w:bottom w:w="0" w:type="dxa"/>
          </w:tblCellMar>
        </w:tblPrEx>
        <w:tc>
          <w:tcPr>
            <w:tcW w:w="3090" w:type="dxa"/>
          </w:tcPr>
          <w:p w:rsidR="009C332F" w:rsidRPr="000C34AA" w:rsidRDefault="009C332F">
            <w:pPr>
              <w:pStyle w:val="LagtextIndrag"/>
            </w:pPr>
          </w:p>
        </w:tc>
        <w:tc>
          <w:tcPr>
            <w:tcW w:w="3090" w:type="dxa"/>
          </w:tcPr>
          <w:p w:rsidR="009C332F" w:rsidRPr="000C34AA" w:rsidRDefault="009C332F">
            <w:pPr>
              <w:pStyle w:val="LagtextIndrag"/>
              <w:rPr>
                <w:i/>
              </w:rPr>
            </w:pPr>
            <w:r w:rsidRPr="000C34AA">
              <w:rPr>
                <w:i/>
              </w:rPr>
              <w:t>Sekretess gäller hos myndighet för uppgift om enskilds personliga eller ekonomiska förhållanden i ärende om inkomstgaranti för den som varit riksdagsledamot eller Sveriges för</w:t>
            </w:r>
            <w:r w:rsidRPr="000C34AA">
              <w:rPr>
                <w:i/>
              </w:rPr>
              <w:t>e</w:t>
            </w:r>
            <w:r w:rsidRPr="000C34AA">
              <w:rPr>
                <w:i/>
              </w:rPr>
              <w:t xml:space="preserve">trädare i Europaparlamentet, om det kan antas att den som uppgiften rör lider skada eller men om uppgiften röjs. </w:t>
            </w:r>
          </w:p>
          <w:p w:rsidR="009C332F" w:rsidRPr="000C34AA" w:rsidRDefault="009C332F">
            <w:pPr>
              <w:pStyle w:val="LagtextIndrag"/>
              <w:rPr>
                <w:i/>
              </w:rPr>
            </w:pPr>
            <w:r w:rsidRPr="000C34AA">
              <w:rPr>
                <w:i/>
              </w:rPr>
              <w:t>Sekretess gäller inte beslut som fattas i ett sådant ärende.</w:t>
            </w:r>
          </w:p>
          <w:p w:rsidR="009C332F" w:rsidRPr="000C34AA" w:rsidRDefault="009C332F">
            <w:pPr>
              <w:pStyle w:val="LagtextIndrag"/>
            </w:pPr>
            <w:r w:rsidRPr="000C34AA">
              <w:rPr>
                <w:i/>
              </w:rPr>
              <w:t>För uppgift i allmän handling gäller sekretessen i högst tjugo år.</w:t>
            </w:r>
            <w:r w:rsidRPr="000C34AA">
              <w:t xml:space="preserve"> </w:t>
            </w:r>
          </w:p>
        </w:tc>
      </w:tr>
    </w:tbl>
    <w:p w:rsidR="009C332F" w:rsidRPr="000C34AA" w:rsidRDefault="009C332F">
      <w:r w:rsidRPr="000C34AA">
        <w:t>__________</w:t>
      </w:r>
    </w:p>
    <w:p w:rsidR="009C332F" w:rsidRPr="000C34AA" w:rsidRDefault="009C332F">
      <w:pPr>
        <w:pStyle w:val="Normaltindrag"/>
      </w:pPr>
      <w:r w:rsidRPr="000C34AA">
        <w:t>Denna lag träder i kraft den 1 januari 2003.</w:t>
      </w:r>
    </w:p>
    <w:p w:rsidR="009C332F" w:rsidRPr="000C34AA" w:rsidRDefault="009C332F">
      <w:pPr>
        <w:pStyle w:val="Normaltindrag"/>
      </w:pPr>
    </w:p>
    <w:p w:rsidR="009C332F" w:rsidRPr="000C34AA" w:rsidRDefault="009C332F">
      <w:pPr>
        <w:pStyle w:val="Normaltindrag"/>
      </w:pPr>
    </w:p>
    <w:p w:rsidR="009C332F" w:rsidRPr="000C34AA" w:rsidRDefault="009C332F">
      <w:pPr>
        <w:pStyle w:val="Rubrik2"/>
      </w:pPr>
      <w:r w:rsidRPr="000C34AA">
        <w:br w:type="page"/>
      </w:r>
      <w:bookmarkStart w:id="51" w:name="_Toc20645523"/>
      <w:r w:rsidRPr="000C34AA">
        <w:t>7.2 Förslag till lag om ändring i lagen (1989:186) om överklagande av administrativa beslut av riksdagsförvaltningen och riksdagens myndigheter</w:t>
      </w:r>
      <w:bookmarkEnd w:id="51"/>
    </w:p>
    <w:p w:rsidR="009C332F" w:rsidRPr="000C34AA" w:rsidRDefault="009C332F"/>
    <w:p w:rsidR="009C332F" w:rsidRPr="000C34AA" w:rsidRDefault="009C332F">
      <w:pPr>
        <w:pStyle w:val="LagtextIndrag"/>
      </w:pPr>
      <w:r w:rsidRPr="000C34AA">
        <w:t>Härigenom föreskrivs att 1 § lagen (1989:186) om överklagande av adm</w:t>
      </w:r>
      <w:r w:rsidRPr="000C34AA">
        <w:t>i</w:t>
      </w:r>
      <w:r w:rsidRPr="000C34AA">
        <w:t>nistrativa beslut av riksdagsförvaltningen och riksdagens myndigheter skall ha följande lydelse.</w:t>
      </w:r>
    </w:p>
    <w:p w:rsidR="009C332F" w:rsidRPr="000C34AA" w:rsidRDefault="009C332F">
      <w:pPr>
        <w:pStyle w:val="Normaltindrag"/>
      </w:pPr>
    </w:p>
    <w:p w:rsidR="009C332F" w:rsidRPr="000C34AA" w:rsidRDefault="009C332F">
      <w:pPr>
        <w:pStyle w:val="Normaltindrag"/>
      </w:pPr>
    </w:p>
    <w:p w:rsidR="009C332F" w:rsidRPr="000C34AA" w:rsidRDefault="009C332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C34AA">
        <w:tblPrEx>
          <w:tblCellMar>
            <w:top w:w="0" w:type="dxa"/>
            <w:bottom w:w="0" w:type="dxa"/>
          </w:tblCellMar>
        </w:tblPrEx>
        <w:trPr>
          <w:tblHeader/>
        </w:trPr>
        <w:tc>
          <w:tcPr>
            <w:tcW w:w="3090" w:type="dxa"/>
          </w:tcPr>
          <w:p w:rsidR="009C332F" w:rsidRPr="000C34AA" w:rsidRDefault="009C332F">
            <w:pPr>
              <w:pStyle w:val="LagtextRubrik"/>
            </w:pPr>
            <w:r w:rsidRPr="000C34AA">
              <w:t>Nuvarande lydelse</w:t>
            </w:r>
          </w:p>
        </w:tc>
        <w:tc>
          <w:tcPr>
            <w:tcW w:w="3090" w:type="dxa"/>
          </w:tcPr>
          <w:p w:rsidR="009C332F" w:rsidRPr="000C34AA" w:rsidRDefault="009C332F">
            <w:pPr>
              <w:pStyle w:val="LagtextRubrik"/>
            </w:pPr>
            <w:r w:rsidRPr="000C34AA">
              <w:t>Föreslagen lydelse</w:t>
            </w:r>
          </w:p>
        </w:tc>
      </w:tr>
      <w:tr w:rsidR="00000000" w:rsidRPr="000C34AA">
        <w:tblPrEx>
          <w:tblCellMar>
            <w:top w:w="0" w:type="dxa"/>
            <w:bottom w:w="0" w:type="dxa"/>
          </w:tblCellMar>
        </w:tblPrEx>
        <w:tc>
          <w:tcPr>
            <w:tcW w:w="6180" w:type="dxa"/>
            <w:gridSpan w:val="2"/>
          </w:tcPr>
          <w:p w:rsidR="009C332F" w:rsidRPr="000C34AA" w:rsidRDefault="009C332F">
            <w:pPr>
              <w:pStyle w:val="Lagtext"/>
              <w:jc w:val="center"/>
            </w:pPr>
            <w:r w:rsidRPr="000C34AA">
              <w:t>1  §</w:t>
            </w:r>
            <w:r w:rsidRPr="000C34AA">
              <w:rPr>
                <w:rStyle w:val="Fotnotsreferens"/>
              </w:rPr>
              <w:footnoteReference w:id="2"/>
            </w:r>
          </w:p>
          <w:p w:rsidR="009C332F" w:rsidRPr="000C34AA" w:rsidRDefault="009C332F">
            <w:pPr>
              <w:pStyle w:val="LagtextIndrag"/>
            </w:pPr>
            <w:r w:rsidRPr="000C34AA">
              <w:t xml:space="preserve">Denna lag gäller överklagande av beslut av </w:t>
            </w:r>
          </w:p>
          <w:p w:rsidR="009C332F" w:rsidRPr="000C34AA" w:rsidRDefault="009C332F">
            <w:pPr>
              <w:pStyle w:val="LagtextIndrag"/>
            </w:pPr>
            <w:r w:rsidRPr="000C34AA">
              <w:t>a) riksdagsförvaltningen</w:t>
            </w:r>
          </w:p>
          <w:p w:rsidR="009C332F" w:rsidRPr="000C34AA" w:rsidRDefault="009C332F">
            <w:pPr>
              <w:pStyle w:val="LagtextIndrag"/>
            </w:pPr>
            <w:r w:rsidRPr="000C34AA">
              <w:t>b) Riksbanken</w:t>
            </w:r>
          </w:p>
          <w:p w:rsidR="009C332F" w:rsidRPr="000C34AA" w:rsidRDefault="009C332F">
            <w:pPr>
              <w:pStyle w:val="LagtextIndrag"/>
            </w:pPr>
            <w:r w:rsidRPr="000C34AA">
              <w:t>c) Riksdagens ombudsmän</w:t>
            </w:r>
          </w:p>
          <w:p w:rsidR="009C332F" w:rsidRPr="000C34AA" w:rsidRDefault="009C332F">
            <w:pPr>
              <w:pStyle w:val="Lagtext"/>
            </w:pPr>
            <w:r w:rsidRPr="000C34AA">
              <w:t xml:space="preserve">   d) Riksdagens revisorer.</w:t>
            </w:r>
          </w:p>
          <w:p w:rsidR="009C332F" w:rsidRPr="000C34AA" w:rsidRDefault="009C332F">
            <w:pPr>
              <w:pStyle w:val="Lagtext"/>
              <w:jc w:val="center"/>
            </w:pPr>
          </w:p>
        </w:tc>
      </w:tr>
      <w:tr w:rsidR="00000000" w:rsidRPr="000C34AA">
        <w:tblPrEx>
          <w:tblCellMar>
            <w:top w:w="0" w:type="dxa"/>
            <w:bottom w:w="0" w:type="dxa"/>
          </w:tblCellMar>
        </w:tblPrEx>
        <w:tc>
          <w:tcPr>
            <w:tcW w:w="3090" w:type="dxa"/>
          </w:tcPr>
          <w:p w:rsidR="009C332F" w:rsidRPr="000C34AA" w:rsidRDefault="009C332F">
            <w:pPr>
              <w:pStyle w:val="LagtextIndrag"/>
            </w:pPr>
          </w:p>
        </w:tc>
        <w:tc>
          <w:tcPr>
            <w:tcW w:w="3090" w:type="dxa"/>
          </w:tcPr>
          <w:p w:rsidR="009C332F" w:rsidRPr="000C34AA" w:rsidRDefault="009C332F">
            <w:pPr>
              <w:pStyle w:val="LagtextIndrag"/>
              <w:rPr>
                <w:i/>
              </w:rPr>
            </w:pPr>
            <w:r w:rsidRPr="000C34AA">
              <w:rPr>
                <w:i/>
              </w:rPr>
              <w:t>Lagen gäller även överklagande av beslut som fattats av en annan my</w:t>
            </w:r>
            <w:r w:rsidRPr="000C34AA">
              <w:rPr>
                <w:i/>
              </w:rPr>
              <w:t>n</w:t>
            </w:r>
            <w:r w:rsidRPr="000C34AA">
              <w:rPr>
                <w:i/>
              </w:rPr>
              <w:t>dighet i riksdagsförvaltningens stä</w:t>
            </w:r>
            <w:r w:rsidRPr="000C34AA">
              <w:rPr>
                <w:i/>
              </w:rPr>
              <w:t>l</w:t>
            </w:r>
            <w:r w:rsidRPr="000C34AA">
              <w:rPr>
                <w:i/>
              </w:rPr>
              <w:t>le.</w:t>
            </w:r>
          </w:p>
        </w:tc>
      </w:tr>
    </w:tbl>
    <w:p w:rsidR="009C332F" w:rsidRPr="000C34AA" w:rsidRDefault="009C332F">
      <w:r w:rsidRPr="000C34AA">
        <w:t>__________</w:t>
      </w:r>
    </w:p>
    <w:p w:rsidR="009C332F" w:rsidRPr="000C34AA" w:rsidRDefault="009C332F">
      <w:pPr>
        <w:pStyle w:val="Normaltindrag"/>
      </w:pPr>
      <w:r w:rsidRPr="000C34AA">
        <w:t>Denna lag träder i kraft den 1 januari 2003.</w:t>
      </w:r>
    </w:p>
    <w:p w:rsidR="009C332F" w:rsidRPr="000C34AA" w:rsidRDefault="009C332F">
      <w:pPr>
        <w:pStyle w:val="Normaltindrag"/>
      </w:pPr>
    </w:p>
    <w:p w:rsidR="009C332F" w:rsidRPr="000C34AA" w:rsidRDefault="009C332F">
      <w:pPr>
        <w:pStyle w:val="Rubrik2"/>
      </w:pPr>
      <w:r w:rsidRPr="000C34AA">
        <w:br w:type="page"/>
      </w:r>
      <w:bookmarkStart w:id="52" w:name="_Toc20645524"/>
      <w:r w:rsidRPr="000C34AA">
        <w:t>7.3 Förslag till lag om ändring i lagen (1994:1065) om ekonomiska villkor för riksdagens ledamöter</w:t>
      </w:r>
      <w:bookmarkEnd w:id="52"/>
    </w:p>
    <w:p w:rsidR="009C332F" w:rsidRPr="000C34AA" w:rsidRDefault="009C332F"/>
    <w:p w:rsidR="009C332F" w:rsidRPr="000C34AA" w:rsidRDefault="009C332F">
      <w:pPr>
        <w:pStyle w:val="LagtextIndrag"/>
      </w:pPr>
      <w:r w:rsidRPr="000C34AA">
        <w:t xml:space="preserve">Härigenom föreskrivs i fråga om lagen (1994:1065) om ekonomiska villkor för riksdagens ledamöter </w:t>
      </w:r>
    </w:p>
    <w:p w:rsidR="009C332F" w:rsidRPr="000C34AA" w:rsidRDefault="009C332F">
      <w:pPr>
        <w:rPr>
          <w:i/>
        </w:rPr>
      </w:pPr>
      <w:r w:rsidRPr="000C34AA">
        <w:rPr>
          <w:i/>
        </w:rPr>
        <w:t>dels</w:t>
      </w:r>
      <w:r w:rsidRPr="000C34AA">
        <w:t xml:space="preserve"> att 13 kap. 17 § skall ha följande lydelse,</w:t>
      </w:r>
    </w:p>
    <w:p w:rsidR="009C332F" w:rsidRPr="000C34AA" w:rsidRDefault="009C332F">
      <w:r w:rsidRPr="000C34AA">
        <w:rPr>
          <w:i/>
        </w:rPr>
        <w:t>dels</w:t>
      </w:r>
      <w:r w:rsidRPr="000C34AA">
        <w:t xml:space="preserve"> att det i lagen skall införas fyra nya paragrafer, 13 kap. 18–21 §§, av följande lydelse.</w:t>
      </w:r>
    </w:p>
    <w:p w:rsidR="009C332F" w:rsidRPr="000C34AA" w:rsidRDefault="009C332F"/>
    <w:p w:rsidR="009C332F" w:rsidRPr="000C34AA" w:rsidRDefault="009C332F">
      <w:pPr>
        <w:pStyle w:val="Normaltindrag"/>
      </w:pPr>
    </w:p>
    <w:p w:rsidR="009C332F" w:rsidRPr="000C34AA" w:rsidRDefault="009C332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C34AA">
        <w:tblPrEx>
          <w:tblCellMar>
            <w:top w:w="0" w:type="dxa"/>
            <w:bottom w:w="0" w:type="dxa"/>
          </w:tblCellMar>
        </w:tblPrEx>
        <w:trPr>
          <w:tblHeader/>
        </w:trPr>
        <w:tc>
          <w:tcPr>
            <w:tcW w:w="3090" w:type="dxa"/>
          </w:tcPr>
          <w:p w:rsidR="009C332F" w:rsidRPr="000C34AA" w:rsidRDefault="009C332F">
            <w:pPr>
              <w:pStyle w:val="LagtextRubrik"/>
            </w:pPr>
            <w:r w:rsidRPr="000C34AA">
              <w:t>Nuvarande lydelse</w:t>
            </w:r>
          </w:p>
        </w:tc>
        <w:tc>
          <w:tcPr>
            <w:tcW w:w="3090" w:type="dxa"/>
          </w:tcPr>
          <w:p w:rsidR="009C332F" w:rsidRPr="000C34AA" w:rsidRDefault="009C332F">
            <w:pPr>
              <w:pStyle w:val="LagtextRubrik"/>
            </w:pPr>
            <w:r w:rsidRPr="000C34AA">
              <w:t>Föreslagen lydelse</w:t>
            </w:r>
          </w:p>
        </w:tc>
      </w:tr>
      <w:tr w:rsidR="00000000" w:rsidRPr="000C34AA">
        <w:tblPrEx>
          <w:tblCellMar>
            <w:top w:w="0" w:type="dxa"/>
            <w:bottom w:w="0" w:type="dxa"/>
          </w:tblCellMar>
        </w:tblPrEx>
        <w:trPr>
          <w:cantSplit/>
        </w:trPr>
        <w:tc>
          <w:tcPr>
            <w:tcW w:w="6180" w:type="dxa"/>
            <w:gridSpan w:val="2"/>
          </w:tcPr>
          <w:p w:rsidR="009C332F" w:rsidRPr="000C34AA" w:rsidRDefault="009C332F">
            <w:pPr>
              <w:pStyle w:val="Lagtext"/>
              <w:jc w:val="center"/>
              <w:rPr>
                <w:b/>
              </w:rPr>
            </w:pPr>
            <w:r w:rsidRPr="000C34AA">
              <w:rPr>
                <w:b/>
              </w:rPr>
              <w:t>13 kap.</w:t>
            </w:r>
          </w:p>
          <w:p w:rsidR="009C332F" w:rsidRPr="000C34AA" w:rsidRDefault="009C332F">
            <w:pPr>
              <w:pStyle w:val="Lagtext"/>
              <w:jc w:val="center"/>
            </w:pPr>
            <w:r w:rsidRPr="000C34AA">
              <w:t>17  §</w:t>
            </w:r>
            <w:r w:rsidRPr="000C34AA">
              <w:rPr>
                <w:rStyle w:val="Fotnotsreferens"/>
              </w:rPr>
              <w:footnoteReference w:id="3"/>
            </w:r>
          </w:p>
        </w:tc>
      </w:tr>
      <w:tr w:rsidR="00000000" w:rsidRPr="000C34AA">
        <w:tblPrEx>
          <w:tblCellMar>
            <w:top w:w="0" w:type="dxa"/>
            <w:bottom w:w="0" w:type="dxa"/>
          </w:tblCellMar>
        </w:tblPrEx>
        <w:tc>
          <w:tcPr>
            <w:tcW w:w="3090" w:type="dxa"/>
          </w:tcPr>
          <w:p w:rsidR="009C332F" w:rsidRPr="000C34AA" w:rsidRDefault="009C332F">
            <w:pPr>
              <w:pStyle w:val="LagtextIndrag"/>
            </w:pPr>
            <w:r w:rsidRPr="000C34AA">
              <w:t xml:space="preserve">Den som vill </w:t>
            </w:r>
            <w:r w:rsidRPr="000C34AA">
              <w:rPr>
                <w:i/>
              </w:rPr>
              <w:t>komma i åtnjutande av</w:t>
            </w:r>
            <w:r w:rsidRPr="000C34AA">
              <w:t xml:space="preserve"> </w:t>
            </w:r>
            <w:r w:rsidRPr="000C34AA">
              <w:rPr>
                <w:i/>
              </w:rPr>
              <w:t>inkomstgaranti eller</w:t>
            </w:r>
            <w:r w:rsidRPr="000C34AA">
              <w:t xml:space="preserve"> efterlevand</w:t>
            </w:r>
            <w:r w:rsidRPr="000C34AA">
              <w:t>e</w:t>
            </w:r>
            <w:r w:rsidRPr="000C34AA">
              <w:t xml:space="preserve">skydd skall </w:t>
            </w:r>
            <w:r w:rsidRPr="000C34AA">
              <w:rPr>
                <w:i/>
              </w:rPr>
              <w:t>göra ansökan</w:t>
            </w:r>
            <w:r w:rsidRPr="000C34AA">
              <w:t xml:space="preserve"> hos rik</w:t>
            </w:r>
            <w:r w:rsidRPr="000C34AA">
              <w:t>s</w:t>
            </w:r>
            <w:r w:rsidRPr="000C34AA">
              <w:t>dagsförvaltningen.</w:t>
            </w:r>
          </w:p>
          <w:p w:rsidR="009C332F" w:rsidRPr="000C34AA" w:rsidRDefault="009C332F">
            <w:pPr>
              <w:pStyle w:val="LagtextIndrag"/>
            </w:pPr>
            <w:r w:rsidRPr="000C34AA">
              <w:rPr>
                <w:i/>
              </w:rPr>
              <w:t>Inkomstgaranti kan inte betalas för längre tid tillbaka än sex månader före ansökningsmånaden</w:t>
            </w:r>
            <w:r w:rsidRPr="000C34AA">
              <w:t>.</w:t>
            </w:r>
          </w:p>
        </w:tc>
        <w:tc>
          <w:tcPr>
            <w:tcW w:w="3090" w:type="dxa"/>
          </w:tcPr>
          <w:p w:rsidR="009C332F" w:rsidRPr="000C34AA" w:rsidRDefault="009C332F">
            <w:pPr>
              <w:pStyle w:val="LagtextIndrag"/>
            </w:pPr>
            <w:r w:rsidRPr="000C34AA">
              <w:t xml:space="preserve">Den som vill </w:t>
            </w:r>
            <w:r w:rsidRPr="000C34AA">
              <w:rPr>
                <w:i/>
              </w:rPr>
              <w:t>ha</w:t>
            </w:r>
            <w:r w:rsidRPr="000C34AA">
              <w:t xml:space="preserve"> efterlevandeskydd skall </w:t>
            </w:r>
            <w:r w:rsidRPr="000C34AA">
              <w:rPr>
                <w:i/>
              </w:rPr>
              <w:t>ansöka om det</w:t>
            </w:r>
            <w:r w:rsidRPr="000C34AA">
              <w:t xml:space="preserve"> hos riksdagsfö</w:t>
            </w:r>
            <w:r w:rsidRPr="000C34AA">
              <w:t>r</w:t>
            </w:r>
            <w:r w:rsidRPr="000C34AA">
              <w:t>valtnin</w:t>
            </w:r>
            <w:r w:rsidRPr="000C34AA">
              <w:t>g</w:t>
            </w:r>
            <w:r w:rsidRPr="000C34AA">
              <w:t>en.</w:t>
            </w:r>
          </w:p>
        </w:tc>
      </w:tr>
      <w:tr w:rsidR="00000000" w:rsidRPr="000C34AA">
        <w:tblPrEx>
          <w:tblCellMar>
            <w:top w:w="0" w:type="dxa"/>
            <w:bottom w:w="0" w:type="dxa"/>
          </w:tblCellMar>
        </w:tblPrEx>
        <w:tc>
          <w:tcPr>
            <w:tcW w:w="6180" w:type="dxa"/>
            <w:gridSpan w:val="2"/>
          </w:tcPr>
          <w:p w:rsidR="009C332F" w:rsidRPr="000C34AA" w:rsidRDefault="009C332F">
            <w:pPr>
              <w:pStyle w:val="LagtextIndrag"/>
            </w:pPr>
            <w:r w:rsidRPr="000C34AA">
              <w:t>Efterlevandeskydd kan inte betalas för längre tid tillbaka än två år före a</w:t>
            </w:r>
            <w:r w:rsidRPr="000C34AA">
              <w:t>n</w:t>
            </w:r>
            <w:r w:rsidRPr="000C34AA">
              <w:t xml:space="preserve">sökningsmånaden. </w:t>
            </w:r>
          </w:p>
        </w:tc>
      </w:tr>
      <w:tr w:rsidR="00000000" w:rsidRPr="000C34AA">
        <w:tblPrEx>
          <w:tblCellMar>
            <w:top w:w="0" w:type="dxa"/>
            <w:bottom w:w="0" w:type="dxa"/>
          </w:tblCellMar>
        </w:tblPrEx>
        <w:tc>
          <w:tcPr>
            <w:tcW w:w="6180" w:type="dxa"/>
            <w:gridSpan w:val="2"/>
          </w:tcPr>
          <w:p w:rsidR="009C332F" w:rsidRPr="000C34AA" w:rsidRDefault="009C332F">
            <w:pPr>
              <w:pStyle w:val="Lagtext"/>
              <w:jc w:val="center"/>
            </w:pPr>
          </w:p>
          <w:p w:rsidR="009C332F" w:rsidRPr="000C34AA" w:rsidRDefault="009C332F">
            <w:pPr>
              <w:pStyle w:val="Lagtext"/>
              <w:jc w:val="center"/>
              <w:rPr>
                <w:i/>
              </w:rPr>
            </w:pPr>
            <w:r w:rsidRPr="000C34AA">
              <w:t xml:space="preserve">           </w:t>
            </w:r>
            <w:r w:rsidRPr="000C34AA">
              <w:rPr>
                <w:i/>
              </w:rPr>
              <w:t>18  §</w:t>
            </w:r>
          </w:p>
        </w:tc>
      </w:tr>
      <w:tr w:rsidR="00000000" w:rsidRPr="000C34AA">
        <w:tblPrEx>
          <w:tblCellMar>
            <w:top w:w="0" w:type="dxa"/>
            <w:bottom w:w="0" w:type="dxa"/>
          </w:tblCellMar>
        </w:tblPrEx>
        <w:tc>
          <w:tcPr>
            <w:tcW w:w="3090" w:type="dxa"/>
          </w:tcPr>
          <w:p w:rsidR="009C332F" w:rsidRPr="000C34AA" w:rsidRDefault="009C332F">
            <w:pPr>
              <w:pStyle w:val="LagtextIndrag"/>
            </w:pPr>
          </w:p>
        </w:tc>
        <w:tc>
          <w:tcPr>
            <w:tcW w:w="3090" w:type="dxa"/>
          </w:tcPr>
          <w:p w:rsidR="009C332F" w:rsidRPr="000C34AA" w:rsidRDefault="009C332F">
            <w:pPr>
              <w:pStyle w:val="LagtextIndrag"/>
            </w:pPr>
            <w:r w:rsidRPr="000C34AA">
              <w:rPr>
                <w:i/>
              </w:rPr>
              <w:t>Den som vill att inkomstgaranti skall betalas ut skall ansöka om det hos riksdagsförvaltningen</w:t>
            </w:r>
            <w:r w:rsidRPr="000C34AA">
              <w:t>.</w:t>
            </w:r>
          </w:p>
          <w:p w:rsidR="009C332F" w:rsidRPr="000C34AA" w:rsidRDefault="009C332F">
            <w:pPr>
              <w:pStyle w:val="LagtextIndrag"/>
            </w:pPr>
            <w:r w:rsidRPr="000C34AA">
              <w:rPr>
                <w:i/>
              </w:rPr>
              <w:t>Inkomstgaranti kan inte betalas ut för längre tid tillbaka än sex mån</w:t>
            </w:r>
            <w:r w:rsidRPr="000C34AA">
              <w:rPr>
                <w:i/>
              </w:rPr>
              <w:t>a</w:t>
            </w:r>
            <w:r w:rsidRPr="000C34AA">
              <w:rPr>
                <w:i/>
              </w:rPr>
              <w:t>der före ansökningsmånaden.</w:t>
            </w:r>
          </w:p>
        </w:tc>
      </w:tr>
      <w:tr w:rsidR="00000000" w:rsidRPr="000C34AA">
        <w:tblPrEx>
          <w:tblCellMar>
            <w:top w:w="0" w:type="dxa"/>
            <w:bottom w:w="0" w:type="dxa"/>
          </w:tblCellMar>
        </w:tblPrEx>
        <w:trPr>
          <w:cantSplit/>
        </w:trPr>
        <w:tc>
          <w:tcPr>
            <w:tcW w:w="6180" w:type="dxa"/>
            <w:gridSpan w:val="2"/>
          </w:tcPr>
          <w:p w:rsidR="009C332F" w:rsidRPr="000C34AA" w:rsidRDefault="009C332F">
            <w:pPr>
              <w:pStyle w:val="Lagtext"/>
              <w:jc w:val="center"/>
            </w:pPr>
          </w:p>
          <w:p w:rsidR="009C332F" w:rsidRPr="000C34AA" w:rsidRDefault="009C332F">
            <w:pPr>
              <w:pStyle w:val="Lagtext"/>
              <w:jc w:val="center"/>
              <w:rPr>
                <w:i/>
              </w:rPr>
            </w:pPr>
            <w:r w:rsidRPr="000C34AA">
              <w:t xml:space="preserve">           </w:t>
            </w:r>
            <w:r w:rsidRPr="000C34AA">
              <w:rPr>
                <w:i/>
              </w:rPr>
              <w:t>19  §</w:t>
            </w:r>
          </w:p>
        </w:tc>
      </w:tr>
      <w:tr w:rsidR="00000000" w:rsidRPr="000C34AA">
        <w:tblPrEx>
          <w:tblCellMar>
            <w:top w:w="0" w:type="dxa"/>
            <w:bottom w:w="0" w:type="dxa"/>
          </w:tblCellMar>
        </w:tblPrEx>
        <w:tc>
          <w:tcPr>
            <w:tcW w:w="3090" w:type="dxa"/>
          </w:tcPr>
          <w:p w:rsidR="009C332F" w:rsidRPr="000C34AA" w:rsidRDefault="009C332F">
            <w:pPr>
              <w:pStyle w:val="LagtextIndrag"/>
            </w:pPr>
          </w:p>
        </w:tc>
        <w:tc>
          <w:tcPr>
            <w:tcW w:w="3090" w:type="dxa"/>
          </w:tcPr>
          <w:p w:rsidR="009C332F" w:rsidRPr="000C34AA" w:rsidRDefault="009C332F">
            <w:pPr>
              <w:pStyle w:val="LagtextIndrag"/>
              <w:rPr>
                <w:i/>
              </w:rPr>
            </w:pPr>
            <w:r w:rsidRPr="000C34AA">
              <w:rPr>
                <w:i/>
              </w:rPr>
              <w:t>Riksdagsförvaltningen får begära att den som ansökt om utbetalning av inkomstgaranti skall lämna de up</w:t>
            </w:r>
            <w:r w:rsidRPr="000C34AA">
              <w:rPr>
                <w:i/>
              </w:rPr>
              <w:t>p</w:t>
            </w:r>
            <w:r w:rsidRPr="000C34AA">
              <w:rPr>
                <w:i/>
              </w:rPr>
              <w:t>gifter som behövs för tillämpningen av denna lag. Om garantitagaren inte lämnar begärda uppgifter, får riksdagsförvaltningen hålla inne utbeta</w:t>
            </w:r>
            <w:r w:rsidRPr="000C34AA">
              <w:rPr>
                <w:i/>
              </w:rPr>
              <w:t>l</w:t>
            </w:r>
            <w:r w:rsidRPr="000C34AA">
              <w:rPr>
                <w:i/>
              </w:rPr>
              <w:t>ningen av inkomstgaranti.</w:t>
            </w:r>
          </w:p>
          <w:p w:rsidR="009C332F" w:rsidRPr="000C34AA" w:rsidRDefault="009C332F">
            <w:pPr>
              <w:pStyle w:val="LagtextIndrag"/>
              <w:rPr>
                <w:i/>
              </w:rPr>
            </w:pPr>
            <w:r w:rsidRPr="000C34AA">
              <w:rPr>
                <w:i/>
              </w:rPr>
              <w:t>Den som har beviljats utbetalning av inkomstgaranti skall självmant lämna uppgift till riksdagsförval</w:t>
            </w:r>
            <w:r w:rsidRPr="000C34AA">
              <w:rPr>
                <w:i/>
              </w:rPr>
              <w:t>t</w:t>
            </w:r>
            <w:r w:rsidRPr="000C34AA">
              <w:rPr>
                <w:i/>
              </w:rPr>
              <w:t>ningen om sådana väsentligt ändrade inkomstförhållanden som kan påve</w:t>
            </w:r>
            <w:r w:rsidRPr="000C34AA">
              <w:rPr>
                <w:i/>
              </w:rPr>
              <w:t>r</w:t>
            </w:r>
            <w:r w:rsidRPr="000C34AA">
              <w:rPr>
                <w:i/>
              </w:rPr>
              <w:t>ka ersät</w:t>
            </w:r>
            <w:r w:rsidRPr="000C34AA">
              <w:rPr>
                <w:i/>
              </w:rPr>
              <w:t>t</w:t>
            </w:r>
            <w:r w:rsidRPr="000C34AA">
              <w:rPr>
                <w:i/>
              </w:rPr>
              <w:t xml:space="preserve">ningen. </w:t>
            </w:r>
          </w:p>
          <w:p w:rsidR="009C332F" w:rsidRPr="000C34AA" w:rsidRDefault="009C332F">
            <w:pPr>
              <w:pStyle w:val="LagtextIndrag"/>
            </w:pPr>
            <w:r w:rsidRPr="000C34AA">
              <w:rPr>
                <w:i/>
              </w:rPr>
              <w:t>Den som begär utbetalning av i</w:t>
            </w:r>
            <w:r w:rsidRPr="000C34AA">
              <w:rPr>
                <w:i/>
              </w:rPr>
              <w:t>n</w:t>
            </w:r>
            <w:r w:rsidRPr="000C34AA">
              <w:rPr>
                <w:i/>
              </w:rPr>
              <w:t>komstgaranti skall på heder och samvete intyga att uppgifter som lämnas i ett sådant ärende är riktiga.</w:t>
            </w:r>
            <w:r w:rsidRPr="000C34AA">
              <w:t xml:space="preserve">  </w:t>
            </w:r>
          </w:p>
        </w:tc>
      </w:tr>
      <w:tr w:rsidR="00000000" w:rsidRPr="000C34AA">
        <w:tblPrEx>
          <w:tblCellMar>
            <w:top w:w="0" w:type="dxa"/>
            <w:bottom w:w="0" w:type="dxa"/>
          </w:tblCellMar>
        </w:tblPrEx>
        <w:trPr>
          <w:cantSplit/>
        </w:trPr>
        <w:tc>
          <w:tcPr>
            <w:tcW w:w="6180" w:type="dxa"/>
            <w:gridSpan w:val="2"/>
          </w:tcPr>
          <w:p w:rsidR="009C332F" w:rsidRPr="000C34AA" w:rsidRDefault="009C332F">
            <w:pPr>
              <w:pStyle w:val="Lagtext"/>
              <w:jc w:val="center"/>
            </w:pPr>
          </w:p>
          <w:p w:rsidR="009C332F" w:rsidRPr="000C34AA" w:rsidRDefault="009C332F">
            <w:pPr>
              <w:pStyle w:val="Lagtext"/>
              <w:jc w:val="center"/>
              <w:rPr>
                <w:i/>
              </w:rPr>
            </w:pPr>
            <w:r w:rsidRPr="000C34AA">
              <w:t xml:space="preserve">            </w:t>
            </w:r>
            <w:r w:rsidRPr="000C34AA">
              <w:rPr>
                <w:i/>
              </w:rPr>
              <w:t>20  §</w:t>
            </w:r>
          </w:p>
        </w:tc>
      </w:tr>
      <w:tr w:rsidR="00000000" w:rsidRPr="000C34AA">
        <w:tblPrEx>
          <w:tblCellMar>
            <w:top w:w="0" w:type="dxa"/>
            <w:bottom w:w="0" w:type="dxa"/>
          </w:tblCellMar>
        </w:tblPrEx>
        <w:tc>
          <w:tcPr>
            <w:tcW w:w="3090" w:type="dxa"/>
          </w:tcPr>
          <w:p w:rsidR="009C332F" w:rsidRPr="000C34AA" w:rsidRDefault="009C332F">
            <w:pPr>
              <w:pStyle w:val="LagtextIndrag"/>
            </w:pPr>
          </w:p>
        </w:tc>
        <w:tc>
          <w:tcPr>
            <w:tcW w:w="3090" w:type="dxa"/>
          </w:tcPr>
          <w:p w:rsidR="009C332F" w:rsidRPr="000C34AA" w:rsidRDefault="009C332F">
            <w:pPr>
              <w:pStyle w:val="LagtextIndrag"/>
            </w:pPr>
            <w:r w:rsidRPr="000C34AA">
              <w:rPr>
                <w:i/>
              </w:rPr>
              <w:t>Arbetsgivare och annan som har betalat ut ersättning eller förmån skall på begäran av riksdagsförval</w:t>
            </w:r>
            <w:r w:rsidRPr="000C34AA">
              <w:rPr>
                <w:i/>
              </w:rPr>
              <w:t>t</w:t>
            </w:r>
            <w:r w:rsidRPr="000C34AA">
              <w:rPr>
                <w:i/>
              </w:rPr>
              <w:t>ningen lämna de uppgifter för nam</w:t>
            </w:r>
            <w:r w:rsidRPr="000C34AA">
              <w:rPr>
                <w:i/>
              </w:rPr>
              <w:t>n</w:t>
            </w:r>
            <w:r w:rsidRPr="000C34AA">
              <w:rPr>
                <w:i/>
              </w:rPr>
              <w:t>given person om sådana förhålla</w:t>
            </w:r>
            <w:r w:rsidRPr="000C34AA">
              <w:rPr>
                <w:i/>
              </w:rPr>
              <w:t>n</w:t>
            </w:r>
            <w:r w:rsidRPr="000C34AA">
              <w:rPr>
                <w:i/>
              </w:rPr>
              <w:t>den som är av betydelse för tilläm</w:t>
            </w:r>
            <w:r w:rsidRPr="000C34AA">
              <w:rPr>
                <w:i/>
              </w:rPr>
              <w:t>p</w:t>
            </w:r>
            <w:r w:rsidRPr="000C34AA">
              <w:rPr>
                <w:i/>
              </w:rPr>
              <w:t>nin</w:t>
            </w:r>
            <w:r w:rsidRPr="000C34AA">
              <w:rPr>
                <w:i/>
              </w:rPr>
              <w:t>g</w:t>
            </w:r>
            <w:r w:rsidRPr="000C34AA">
              <w:rPr>
                <w:i/>
              </w:rPr>
              <w:t>en av denna lag</w:t>
            </w:r>
            <w:r w:rsidRPr="000C34AA">
              <w:t xml:space="preserve">. </w:t>
            </w:r>
          </w:p>
        </w:tc>
      </w:tr>
      <w:tr w:rsidR="00000000" w:rsidRPr="000C34AA">
        <w:tblPrEx>
          <w:tblCellMar>
            <w:top w:w="0" w:type="dxa"/>
            <w:bottom w:w="0" w:type="dxa"/>
          </w:tblCellMar>
        </w:tblPrEx>
        <w:trPr>
          <w:cantSplit/>
        </w:trPr>
        <w:tc>
          <w:tcPr>
            <w:tcW w:w="6180" w:type="dxa"/>
            <w:gridSpan w:val="2"/>
          </w:tcPr>
          <w:p w:rsidR="009C332F" w:rsidRPr="000C34AA" w:rsidRDefault="009C332F">
            <w:pPr>
              <w:pStyle w:val="Lagtext"/>
              <w:jc w:val="center"/>
            </w:pPr>
          </w:p>
          <w:p w:rsidR="009C332F" w:rsidRPr="000C34AA" w:rsidRDefault="009C332F">
            <w:pPr>
              <w:pStyle w:val="Lagtext"/>
              <w:jc w:val="center"/>
              <w:rPr>
                <w:i/>
              </w:rPr>
            </w:pPr>
            <w:r w:rsidRPr="000C34AA">
              <w:t xml:space="preserve">            </w:t>
            </w:r>
            <w:r w:rsidRPr="000C34AA">
              <w:rPr>
                <w:i/>
              </w:rPr>
              <w:t>21  §</w:t>
            </w:r>
          </w:p>
        </w:tc>
      </w:tr>
      <w:tr w:rsidR="00000000" w:rsidRPr="000C34AA">
        <w:tblPrEx>
          <w:tblCellMar>
            <w:top w:w="0" w:type="dxa"/>
            <w:bottom w:w="0" w:type="dxa"/>
          </w:tblCellMar>
        </w:tblPrEx>
        <w:tc>
          <w:tcPr>
            <w:tcW w:w="3090" w:type="dxa"/>
          </w:tcPr>
          <w:p w:rsidR="009C332F" w:rsidRPr="000C34AA" w:rsidRDefault="009C332F">
            <w:pPr>
              <w:pStyle w:val="LagtextIndrag"/>
            </w:pPr>
          </w:p>
        </w:tc>
        <w:tc>
          <w:tcPr>
            <w:tcW w:w="3090" w:type="dxa"/>
          </w:tcPr>
          <w:p w:rsidR="009C332F" w:rsidRPr="000C34AA" w:rsidRDefault="009C332F">
            <w:pPr>
              <w:pStyle w:val="LagtextIndrag"/>
              <w:rPr>
                <w:i/>
              </w:rPr>
            </w:pPr>
            <w:r w:rsidRPr="000C34AA">
              <w:rPr>
                <w:i/>
              </w:rPr>
              <w:t>Om årsavstämningen visar att i</w:t>
            </w:r>
            <w:r w:rsidRPr="000C34AA">
              <w:rPr>
                <w:i/>
              </w:rPr>
              <w:t>n</w:t>
            </w:r>
            <w:r w:rsidRPr="000C34AA">
              <w:rPr>
                <w:i/>
              </w:rPr>
              <w:t>komstgaranti betalats ut med för högt belopp skall garantitagaren betala tillbaka mellanskillnaden. Detsamma gäller om det senare framkommer att inkomstgaranti betalats ut med för högt belopp.</w:t>
            </w:r>
          </w:p>
          <w:p w:rsidR="009C332F" w:rsidRPr="000C34AA" w:rsidRDefault="009C332F">
            <w:pPr>
              <w:pStyle w:val="LagtextIndrag"/>
              <w:rPr>
                <w:i/>
              </w:rPr>
            </w:pPr>
            <w:r w:rsidRPr="000C34AA">
              <w:rPr>
                <w:i/>
              </w:rPr>
              <w:t>Garantitagaren skall betala ränta på det belopp som krävs tillbaka.</w:t>
            </w:r>
          </w:p>
          <w:p w:rsidR="009C332F" w:rsidRPr="000C34AA" w:rsidRDefault="009C332F">
            <w:pPr>
              <w:pStyle w:val="LagtextIndrag"/>
            </w:pPr>
            <w:r w:rsidRPr="000C34AA">
              <w:rPr>
                <w:i/>
              </w:rPr>
              <w:t>Om det finns särskilda skäl får återkravet efterges helt eller delvis.</w:t>
            </w:r>
            <w:r w:rsidRPr="000C34AA">
              <w:t xml:space="preserve"> </w:t>
            </w:r>
          </w:p>
        </w:tc>
      </w:tr>
    </w:tbl>
    <w:p w:rsidR="009C332F" w:rsidRPr="000C34AA" w:rsidRDefault="009C332F">
      <w:r w:rsidRPr="000C34AA">
        <w:t>__________</w:t>
      </w:r>
    </w:p>
    <w:p w:rsidR="009C332F" w:rsidRPr="000C34AA" w:rsidRDefault="009C332F">
      <w:pPr>
        <w:pStyle w:val="Normaltindrag"/>
      </w:pPr>
      <w:r w:rsidRPr="000C34AA">
        <w:t xml:space="preserve">Denna lag träder i kraft den 1 januari 2003. </w:t>
      </w:r>
    </w:p>
    <w:p w:rsidR="009C332F" w:rsidRPr="000C34AA" w:rsidRDefault="009C332F">
      <w:pPr>
        <w:pStyle w:val="Normaltindrag"/>
      </w:pPr>
    </w:p>
    <w:p w:rsidR="009C332F" w:rsidRPr="000C34AA" w:rsidRDefault="009C332F">
      <w:pPr>
        <w:pStyle w:val="Rubrik2"/>
      </w:pPr>
      <w:r w:rsidRPr="000C34AA">
        <w:br w:type="page"/>
      </w:r>
      <w:bookmarkStart w:id="53" w:name="_Toc20645525"/>
      <w:r w:rsidRPr="000C34AA">
        <w:t>7.4 Förslag till lag om ändring i lagen (1996:304) om arvode m.m. till Sveriges företrädare i Europaparlamentet</w:t>
      </w:r>
      <w:bookmarkEnd w:id="53"/>
    </w:p>
    <w:p w:rsidR="009C332F" w:rsidRPr="000C34AA" w:rsidRDefault="009C332F"/>
    <w:p w:rsidR="009C332F" w:rsidRPr="000C34AA" w:rsidRDefault="009C332F">
      <w:pPr>
        <w:pStyle w:val="LagtextIndrag"/>
      </w:pPr>
      <w:r w:rsidRPr="000C34AA">
        <w:t>Härigenom föreskrivs i fråga om lagen (1996:304) om arvode m.m. till Sver</w:t>
      </w:r>
      <w:r w:rsidRPr="000C34AA">
        <w:t>i</w:t>
      </w:r>
      <w:r w:rsidRPr="000C34AA">
        <w:t xml:space="preserve">ges företrädare i Europaparlamentet </w:t>
      </w:r>
    </w:p>
    <w:p w:rsidR="009C332F" w:rsidRPr="000C34AA" w:rsidRDefault="009C332F">
      <w:pPr>
        <w:rPr>
          <w:i/>
        </w:rPr>
      </w:pPr>
      <w:r w:rsidRPr="000C34AA">
        <w:rPr>
          <w:i/>
        </w:rPr>
        <w:t>dels</w:t>
      </w:r>
      <w:r w:rsidRPr="000C34AA">
        <w:t xml:space="preserve"> att 9 kap. 17 § samt rubriken närmast före nämnda paragraf skall ha följande lydelse,</w:t>
      </w:r>
    </w:p>
    <w:p w:rsidR="009C332F" w:rsidRPr="000C34AA" w:rsidRDefault="009C332F">
      <w:r w:rsidRPr="000C34AA">
        <w:rPr>
          <w:i/>
        </w:rPr>
        <w:t>dels</w:t>
      </w:r>
      <w:r w:rsidRPr="000C34AA">
        <w:t xml:space="preserve"> att det i lagen skall införas fyra nya paragrafer, 9 kap. 18–21 §§, av fö</w:t>
      </w:r>
      <w:r w:rsidRPr="000C34AA">
        <w:t>l</w:t>
      </w:r>
      <w:r w:rsidRPr="000C34AA">
        <w:t>jande lydelse.</w:t>
      </w:r>
    </w:p>
    <w:p w:rsidR="009C332F" w:rsidRPr="000C34AA" w:rsidRDefault="009C332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C34AA">
        <w:tblPrEx>
          <w:tblCellMar>
            <w:top w:w="0" w:type="dxa"/>
            <w:bottom w:w="0" w:type="dxa"/>
          </w:tblCellMar>
        </w:tblPrEx>
        <w:trPr>
          <w:tblHeader/>
        </w:trPr>
        <w:tc>
          <w:tcPr>
            <w:tcW w:w="3090" w:type="dxa"/>
          </w:tcPr>
          <w:p w:rsidR="009C332F" w:rsidRPr="000C34AA" w:rsidRDefault="009C332F">
            <w:pPr>
              <w:pStyle w:val="LagtextRubrik"/>
              <w:spacing w:before="125"/>
            </w:pPr>
            <w:r w:rsidRPr="000C34AA">
              <w:t>Nuvarande lydelse</w:t>
            </w:r>
          </w:p>
        </w:tc>
        <w:tc>
          <w:tcPr>
            <w:tcW w:w="3090" w:type="dxa"/>
          </w:tcPr>
          <w:p w:rsidR="009C332F" w:rsidRPr="000C34AA" w:rsidRDefault="009C332F">
            <w:pPr>
              <w:pStyle w:val="LagtextRubrik"/>
              <w:spacing w:before="125"/>
            </w:pPr>
            <w:r w:rsidRPr="000C34AA">
              <w:t>Föreslagen lydelse</w:t>
            </w:r>
          </w:p>
        </w:tc>
      </w:tr>
      <w:tr w:rsidR="00000000" w:rsidRPr="000C34AA">
        <w:tblPrEx>
          <w:tblCellMar>
            <w:top w:w="0" w:type="dxa"/>
            <w:bottom w:w="0" w:type="dxa"/>
          </w:tblCellMar>
        </w:tblPrEx>
        <w:tc>
          <w:tcPr>
            <w:tcW w:w="3090" w:type="dxa"/>
          </w:tcPr>
          <w:p w:rsidR="009C332F" w:rsidRPr="000C34AA" w:rsidRDefault="009C332F">
            <w:pPr>
              <w:pStyle w:val="LagtextRubrik"/>
            </w:pPr>
            <w:r w:rsidRPr="000C34AA">
              <w:rPr>
                <w:u w:val="single"/>
              </w:rPr>
              <w:t>Ansökan</w:t>
            </w:r>
          </w:p>
        </w:tc>
        <w:tc>
          <w:tcPr>
            <w:tcW w:w="3090" w:type="dxa"/>
          </w:tcPr>
          <w:p w:rsidR="009C332F" w:rsidRPr="000C34AA" w:rsidRDefault="009C332F">
            <w:pPr>
              <w:pStyle w:val="LagtextRubrik"/>
            </w:pPr>
            <w:r w:rsidRPr="000C34AA">
              <w:rPr>
                <w:u w:val="single"/>
              </w:rPr>
              <w:t>Handläggning av ärenden</w:t>
            </w:r>
          </w:p>
        </w:tc>
      </w:tr>
      <w:tr w:rsidR="00000000" w:rsidRPr="000C34AA">
        <w:tblPrEx>
          <w:tblCellMar>
            <w:top w:w="0" w:type="dxa"/>
            <w:bottom w:w="0" w:type="dxa"/>
          </w:tblCellMar>
        </w:tblPrEx>
        <w:trPr>
          <w:cantSplit/>
        </w:trPr>
        <w:tc>
          <w:tcPr>
            <w:tcW w:w="6180" w:type="dxa"/>
            <w:gridSpan w:val="2"/>
          </w:tcPr>
          <w:p w:rsidR="009C332F" w:rsidRPr="000C34AA" w:rsidRDefault="009C332F">
            <w:pPr>
              <w:pStyle w:val="Lagtext"/>
              <w:jc w:val="center"/>
              <w:rPr>
                <w:b/>
              </w:rPr>
            </w:pPr>
            <w:r w:rsidRPr="000C34AA">
              <w:rPr>
                <w:b/>
              </w:rPr>
              <w:t xml:space="preserve">9 kap. </w:t>
            </w:r>
          </w:p>
          <w:p w:rsidR="009C332F" w:rsidRPr="000C34AA" w:rsidRDefault="009C332F">
            <w:pPr>
              <w:pStyle w:val="Lagtext"/>
              <w:jc w:val="center"/>
            </w:pPr>
            <w:r w:rsidRPr="000C34AA">
              <w:t>17  §</w:t>
            </w:r>
            <w:r w:rsidRPr="000C34AA">
              <w:rPr>
                <w:rStyle w:val="Fotnotsreferens"/>
              </w:rPr>
              <w:footnoteReference w:id="4"/>
            </w:r>
          </w:p>
        </w:tc>
      </w:tr>
      <w:tr w:rsidR="00000000" w:rsidRPr="000C34AA">
        <w:tblPrEx>
          <w:tblCellMar>
            <w:top w:w="0" w:type="dxa"/>
            <w:bottom w:w="0" w:type="dxa"/>
          </w:tblCellMar>
        </w:tblPrEx>
        <w:tc>
          <w:tcPr>
            <w:tcW w:w="3090" w:type="dxa"/>
          </w:tcPr>
          <w:p w:rsidR="009C332F" w:rsidRPr="000C34AA" w:rsidRDefault="009C332F">
            <w:pPr>
              <w:pStyle w:val="LagtextIndrag"/>
            </w:pPr>
            <w:r w:rsidRPr="000C34AA">
              <w:t xml:space="preserve">Den som vill ha </w:t>
            </w:r>
            <w:r w:rsidRPr="000C34AA">
              <w:rPr>
                <w:i/>
              </w:rPr>
              <w:t>inkomstgaranti eller</w:t>
            </w:r>
            <w:r w:rsidRPr="000C34AA">
              <w:t xml:space="preserve"> efterlevandeskydd skall ansöka om det hos riksdagsförvaltningen.</w:t>
            </w:r>
          </w:p>
        </w:tc>
        <w:tc>
          <w:tcPr>
            <w:tcW w:w="3090" w:type="dxa"/>
          </w:tcPr>
          <w:p w:rsidR="009C332F" w:rsidRPr="000C34AA" w:rsidRDefault="009C332F">
            <w:pPr>
              <w:pStyle w:val="LagtextIndrag"/>
            </w:pPr>
            <w:r w:rsidRPr="000C34AA">
              <w:t>Den som vill ha efterlevandeskydd skall ansöka om det hos riksdagsfö</w:t>
            </w:r>
            <w:r w:rsidRPr="000C34AA">
              <w:t>r</w:t>
            </w:r>
            <w:r w:rsidRPr="000C34AA">
              <w:t>valtningen.</w:t>
            </w:r>
          </w:p>
        </w:tc>
      </w:tr>
      <w:tr w:rsidR="00000000" w:rsidRPr="000C34AA">
        <w:tblPrEx>
          <w:tblCellMar>
            <w:top w:w="0" w:type="dxa"/>
            <w:bottom w:w="0" w:type="dxa"/>
          </w:tblCellMar>
        </w:tblPrEx>
        <w:tc>
          <w:tcPr>
            <w:tcW w:w="3090" w:type="dxa"/>
          </w:tcPr>
          <w:p w:rsidR="009C332F" w:rsidRPr="000C34AA" w:rsidRDefault="009C332F">
            <w:pPr>
              <w:pStyle w:val="LagtextIndrag"/>
            </w:pPr>
            <w:r w:rsidRPr="000C34AA">
              <w:rPr>
                <w:i/>
              </w:rPr>
              <w:t>Inkomstgaranti kan inte betalas för längre tid tillbaka än sex månader före ansökningsmånaden</w:t>
            </w:r>
            <w:r w:rsidRPr="000C34AA">
              <w:t>.</w:t>
            </w:r>
          </w:p>
        </w:tc>
        <w:tc>
          <w:tcPr>
            <w:tcW w:w="3090" w:type="dxa"/>
          </w:tcPr>
          <w:p w:rsidR="009C332F" w:rsidRPr="000C34AA" w:rsidRDefault="009C332F">
            <w:pPr>
              <w:pStyle w:val="LagtextIndrag"/>
            </w:pPr>
          </w:p>
        </w:tc>
      </w:tr>
      <w:tr w:rsidR="00000000" w:rsidRPr="000C34AA">
        <w:tblPrEx>
          <w:tblCellMar>
            <w:top w:w="0" w:type="dxa"/>
            <w:bottom w:w="0" w:type="dxa"/>
          </w:tblCellMar>
        </w:tblPrEx>
        <w:tc>
          <w:tcPr>
            <w:tcW w:w="6180" w:type="dxa"/>
            <w:gridSpan w:val="2"/>
          </w:tcPr>
          <w:p w:rsidR="009C332F" w:rsidRPr="000C34AA" w:rsidRDefault="009C332F">
            <w:pPr>
              <w:pStyle w:val="LagtextIndrag"/>
            </w:pPr>
            <w:r w:rsidRPr="000C34AA">
              <w:t>Efterlevandeskydd kan inte betalas för längre tid tillbaka än två år före a</w:t>
            </w:r>
            <w:r w:rsidRPr="000C34AA">
              <w:t>n</w:t>
            </w:r>
            <w:r w:rsidRPr="000C34AA">
              <w:t>sökningsmånaden.</w:t>
            </w:r>
          </w:p>
        </w:tc>
      </w:tr>
      <w:tr w:rsidR="00000000" w:rsidRPr="000C34AA">
        <w:tblPrEx>
          <w:tblCellMar>
            <w:top w:w="0" w:type="dxa"/>
            <w:bottom w:w="0" w:type="dxa"/>
          </w:tblCellMar>
        </w:tblPrEx>
        <w:tc>
          <w:tcPr>
            <w:tcW w:w="6180" w:type="dxa"/>
            <w:gridSpan w:val="2"/>
          </w:tcPr>
          <w:p w:rsidR="009C332F" w:rsidRPr="000C34AA" w:rsidRDefault="009C332F">
            <w:pPr>
              <w:pStyle w:val="Lagtext"/>
              <w:jc w:val="center"/>
            </w:pPr>
          </w:p>
          <w:p w:rsidR="009C332F" w:rsidRPr="000C34AA" w:rsidRDefault="009C332F">
            <w:pPr>
              <w:pStyle w:val="Lagtext"/>
              <w:jc w:val="center"/>
              <w:rPr>
                <w:i/>
              </w:rPr>
            </w:pPr>
            <w:r w:rsidRPr="000C34AA">
              <w:t xml:space="preserve">           </w:t>
            </w:r>
            <w:r w:rsidRPr="000C34AA">
              <w:rPr>
                <w:i/>
              </w:rPr>
              <w:t>18  §</w:t>
            </w:r>
          </w:p>
        </w:tc>
      </w:tr>
      <w:tr w:rsidR="00000000" w:rsidRPr="000C34AA">
        <w:tblPrEx>
          <w:tblCellMar>
            <w:top w:w="0" w:type="dxa"/>
            <w:bottom w:w="0" w:type="dxa"/>
          </w:tblCellMar>
        </w:tblPrEx>
        <w:tc>
          <w:tcPr>
            <w:tcW w:w="3090" w:type="dxa"/>
          </w:tcPr>
          <w:p w:rsidR="009C332F" w:rsidRPr="000C34AA" w:rsidRDefault="009C332F">
            <w:pPr>
              <w:pStyle w:val="LagtextIndrag"/>
            </w:pPr>
          </w:p>
        </w:tc>
        <w:tc>
          <w:tcPr>
            <w:tcW w:w="3090" w:type="dxa"/>
          </w:tcPr>
          <w:p w:rsidR="009C332F" w:rsidRPr="000C34AA" w:rsidRDefault="009C332F">
            <w:pPr>
              <w:pStyle w:val="LagtextIndrag"/>
            </w:pPr>
            <w:r w:rsidRPr="000C34AA">
              <w:rPr>
                <w:i/>
              </w:rPr>
              <w:t>Den som vill att inkomstgaranti skall betalas ut skall ansöka om det hos riksdagsförvaltningen</w:t>
            </w:r>
            <w:r w:rsidRPr="000C34AA">
              <w:t>.</w:t>
            </w:r>
          </w:p>
          <w:p w:rsidR="009C332F" w:rsidRPr="000C34AA" w:rsidRDefault="009C332F">
            <w:pPr>
              <w:pStyle w:val="LagtextIndrag"/>
            </w:pPr>
            <w:r w:rsidRPr="000C34AA">
              <w:rPr>
                <w:i/>
              </w:rPr>
              <w:t>Inkomstgaranti kan inte betalas för längre tid tillbaka än sex månader före ansökningsmånaden.</w:t>
            </w:r>
          </w:p>
        </w:tc>
      </w:tr>
      <w:tr w:rsidR="00000000" w:rsidRPr="000C34AA">
        <w:tblPrEx>
          <w:tblCellMar>
            <w:top w:w="0" w:type="dxa"/>
            <w:bottom w:w="0" w:type="dxa"/>
          </w:tblCellMar>
        </w:tblPrEx>
        <w:trPr>
          <w:cantSplit/>
        </w:trPr>
        <w:tc>
          <w:tcPr>
            <w:tcW w:w="6180" w:type="dxa"/>
            <w:gridSpan w:val="2"/>
          </w:tcPr>
          <w:p w:rsidR="009C332F" w:rsidRPr="000C34AA" w:rsidRDefault="009C332F">
            <w:pPr>
              <w:pStyle w:val="Lagtext"/>
              <w:jc w:val="center"/>
            </w:pPr>
          </w:p>
          <w:p w:rsidR="009C332F" w:rsidRPr="000C34AA" w:rsidRDefault="009C332F">
            <w:pPr>
              <w:pStyle w:val="Lagtext"/>
              <w:jc w:val="center"/>
              <w:rPr>
                <w:i/>
              </w:rPr>
            </w:pPr>
            <w:r w:rsidRPr="000C34AA">
              <w:t xml:space="preserve">            </w:t>
            </w:r>
            <w:r w:rsidRPr="000C34AA">
              <w:rPr>
                <w:i/>
              </w:rPr>
              <w:t>19  §</w:t>
            </w:r>
          </w:p>
        </w:tc>
      </w:tr>
      <w:tr w:rsidR="00000000" w:rsidRPr="000C34AA">
        <w:tblPrEx>
          <w:tblCellMar>
            <w:top w:w="0" w:type="dxa"/>
            <w:bottom w:w="0" w:type="dxa"/>
          </w:tblCellMar>
        </w:tblPrEx>
        <w:tc>
          <w:tcPr>
            <w:tcW w:w="3090" w:type="dxa"/>
          </w:tcPr>
          <w:p w:rsidR="009C332F" w:rsidRPr="000C34AA" w:rsidRDefault="009C332F">
            <w:pPr>
              <w:pStyle w:val="LagtextIndrag"/>
            </w:pPr>
          </w:p>
        </w:tc>
        <w:tc>
          <w:tcPr>
            <w:tcW w:w="3090" w:type="dxa"/>
          </w:tcPr>
          <w:p w:rsidR="009C332F" w:rsidRPr="000C34AA" w:rsidRDefault="009C332F">
            <w:pPr>
              <w:pStyle w:val="LagtextIndrag"/>
              <w:rPr>
                <w:i/>
              </w:rPr>
            </w:pPr>
            <w:r w:rsidRPr="000C34AA">
              <w:rPr>
                <w:i/>
              </w:rPr>
              <w:t>Riksdagsförvaltningen får begära att den som ansökt om utbetalning av inkomstgaranti skall lämna de up</w:t>
            </w:r>
            <w:r w:rsidRPr="000C34AA">
              <w:rPr>
                <w:i/>
              </w:rPr>
              <w:t>p</w:t>
            </w:r>
            <w:r w:rsidRPr="000C34AA">
              <w:rPr>
                <w:i/>
              </w:rPr>
              <w:t>gifter som behövs för tillämpningen av denna lag. Om garantitagaren inte lämnar begärda uppgifter, får riksdagsförvaltningen hålla inne utbeta</w:t>
            </w:r>
            <w:r w:rsidRPr="000C34AA">
              <w:rPr>
                <w:i/>
              </w:rPr>
              <w:t>l</w:t>
            </w:r>
            <w:r w:rsidRPr="000C34AA">
              <w:rPr>
                <w:i/>
              </w:rPr>
              <w:t>ningen av inkomstgaranti.</w:t>
            </w:r>
          </w:p>
          <w:p w:rsidR="009C332F" w:rsidRPr="000C34AA" w:rsidRDefault="009C332F">
            <w:pPr>
              <w:pStyle w:val="LagtextIndrag"/>
              <w:rPr>
                <w:i/>
              </w:rPr>
            </w:pPr>
            <w:r w:rsidRPr="000C34AA">
              <w:rPr>
                <w:i/>
              </w:rPr>
              <w:t>Den som har beviljats utbetalning av inkomstgaranti skall självmant lämna uppgift till riksdagsförval</w:t>
            </w:r>
            <w:r w:rsidRPr="000C34AA">
              <w:rPr>
                <w:i/>
              </w:rPr>
              <w:t>t</w:t>
            </w:r>
            <w:r w:rsidRPr="000C34AA">
              <w:rPr>
                <w:i/>
              </w:rPr>
              <w:t>ningen om sådana väsentligt ändrade inkomstförhållanden som kan påve</w:t>
            </w:r>
            <w:r w:rsidRPr="000C34AA">
              <w:rPr>
                <w:i/>
              </w:rPr>
              <w:t>r</w:t>
            </w:r>
            <w:r w:rsidRPr="000C34AA">
              <w:rPr>
                <w:i/>
              </w:rPr>
              <w:t>ka ersät</w:t>
            </w:r>
            <w:r w:rsidRPr="000C34AA">
              <w:rPr>
                <w:i/>
              </w:rPr>
              <w:t>t</w:t>
            </w:r>
            <w:r w:rsidRPr="000C34AA">
              <w:rPr>
                <w:i/>
              </w:rPr>
              <w:t xml:space="preserve">ningen. </w:t>
            </w:r>
          </w:p>
          <w:p w:rsidR="009C332F" w:rsidRPr="000C34AA" w:rsidRDefault="009C332F">
            <w:pPr>
              <w:pStyle w:val="LagtextIndrag"/>
            </w:pPr>
            <w:r w:rsidRPr="000C34AA">
              <w:rPr>
                <w:i/>
              </w:rPr>
              <w:t>Den som begär utbetalning av i</w:t>
            </w:r>
            <w:r w:rsidRPr="000C34AA">
              <w:rPr>
                <w:i/>
              </w:rPr>
              <w:t>n</w:t>
            </w:r>
            <w:r w:rsidRPr="000C34AA">
              <w:rPr>
                <w:i/>
              </w:rPr>
              <w:t>komstgaranti skall på heder och samvete intyga att uppgifter som lämnas i ett sådant ärende är riktiga.</w:t>
            </w:r>
            <w:r w:rsidRPr="000C34AA">
              <w:t xml:space="preserve">  </w:t>
            </w:r>
          </w:p>
        </w:tc>
      </w:tr>
      <w:tr w:rsidR="00000000" w:rsidRPr="000C34AA">
        <w:tblPrEx>
          <w:tblCellMar>
            <w:top w:w="0" w:type="dxa"/>
            <w:bottom w:w="0" w:type="dxa"/>
          </w:tblCellMar>
        </w:tblPrEx>
        <w:trPr>
          <w:cantSplit/>
        </w:trPr>
        <w:tc>
          <w:tcPr>
            <w:tcW w:w="6180" w:type="dxa"/>
            <w:gridSpan w:val="2"/>
          </w:tcPr>
          <w:p w:rsidR="009C332F" w:rsidRPr="000C34AA" w:rsidRDefault="009C332F">
            <w:pPr>
              <w:pStyle w:val="Lagtext"/>
              <w:jc w:val="center"/>
            </w:pPr>
          </w:p>
          <w:p w:rsidR="009C332F" w:rsidRPr="000C34AA" w:rsidRDefault="009C332F">
            <w:pPr>
              <w:pStyle w:val="Lagtext"/>
              <w:jc w:val="center"/>
              <w:rPr>
                <w:i/>
              </w:rPr>
            </w:pPr>
            <w:r w:rsidRPr="000C34AA">
              <w:t xml:space="preserve">           </w:t>
            </w:r>
            <w:r w:rsidRPr="000C34AA">
              <w:rPr>
                <w:i/>
              </w:rPr>
              <w:t>20  §</w:t>
            </w:r>
          </w:p>
        </w:tc>
      </w:tr>
      <w:tr w:rsidR="00000000" w:rsidRPr="000C34AA">
        <w:tblPrEx>
          <w:tblCellMar>
            <w:top w:w="0" w:type="dxa"/>
            <w:bottom w:w="0" w:type="dxa"/>
          </w:tblCellMar>
        </w:tblPrEx>
        <w:tc>
          <w:tcPr>
            <w:tcW w:w="3090" w:type="dxa"/>
          </w:tcPr>
          <w:p w:rsidR="009C332F" w:rsidRPr="000C34AA" w:rsidRDefault="009C332F">
            <w:pPr>
              <w:pStyle w:val="LagtextIndrag"/>
            </w:pPr>
          </w:p>
        </w:tc>
        <w:tc>
          <w:tcPr>
            <w:tcW w:w="3090" w:type="dxa"/>
          </w:tcPr>
          <w:p w:rsidR="009C332F" w:rsidRPr="000C34AA" w:rsidRDefault="009C332F">
            <w:pPr>
              <w:pStyle w:val="LagtextIndrag"/>
            </w:pPr>
            <w:r w:rsidRPr="000C34AA">
              <w:rPr>
                <w:i/>
              </w:rPr>
              <w:t>Arbetsgivare och annan som har betalat ut ersättning eller förmån skall på begäran av riksdagsförval</w:t>
            </w:r>
            <w:r w:rsidRPr="000C34AA">
              <w:rPr>
                <w:i/>
              </w:rPr>
              <w:t>t</w:t>
            </w:r>
            <w:r w:rsidRPr="000C34AA">
              <w:rPr>
                <w:i/>
              </w:rPr>
              <w:t>ningen lämna de uppgifter för nam</w:t>
            </w:r>
            <w:r w:rsidRPr="000C34AA">
              <w:rPr>
                <w:i/>
              </w:rPr>
              <w:t>n</w:t>
            </w:r>
            <w:r w:rsidRPr="000C34AA">
              <w:rPr>
                <w:i/>
              </w:rPr>
              <w:t>given person om sådana förhålla</w:t>
            </w:r>
            <w:r w:rsidRPr="000C34AA">
              <w:rPr>
                <w:i/>
              </w:rPr>
              <w:t>n</w:t>
            </w:r>
            <w:r w:rsidRPr="000C34AA">
              <w:rPr>
                <w:i/>
              </w:rPr>
              <w:t>den som är av betydelse för tilläm</w:t>
            </w:r>
            <w:r w:rsidRPr="000C34AA">
              <w:rPr>
                <w:i/>
              </w:rPr>
              <w:t>p</w:t>
            </w:r>
            <w:r w:rsidRPr="000C34AA">
              <w:rPr>
                <w:i/>
              </w:rPr>
              <w:t>nin</w:t>
            </w:r>
            <w:r w:rsidRPr="000C34AA">
              <w:rPr>
                <w:i/>
              </w:rPr>
              <w:t>g</w:t>
            </w:r>
            <w:r w:rsidRPr="000C34AA">
              <w:rPr>
                <w:i/>
              </w:rPr>
              <w:t>en av denna lag</w:t>
            </w:r>
            <w:r w:rsidRPr="000C34AA">
              <w:t>.</w:t>
            </w:r>
          </w:p>
        </w:tc>
      </w:tr>
      <w:tr w:rsidR="00000000" w:rsidRPr="000C34AA">
        <w:tblPrEx>
          <w:tblCellMar>
            <w:top w:w="0" w:type="dxa"/>
            <w:bottom w:w="0" w:type="dxa"/>
          </w:tblCellMar>
        </w:tblPrEx>
        <w:tc>
          <w:tcPr>
            <w:tcW w:w="6180" w:type="dxa"/>
            <w:gridSpan w:val="2"/>
          </w:tcPr>
          <w:p w:rsidR="009C332F" w:rsidRPr="000C34AA" w:rsidRDefault="009C332F">
            <w:pPr>
              <w:pStyle w:val="Lagtext"/>
              <w:jc w:val="center"/>
            </w:pPr>
            <w:r w:rsidRPr="000C34AA">
              <w:t xml:space="preserve">           </w:t>
            </w:r>
          </w:p>
          <w:p w:rsidR="009C332F" w:rsidRPr="000C34AA" w:rsidRDefault="009C332F">
            <w:pPr>
              <w:pStyle w:val="Lagtext"/>
              <w:jc w:val="center"/>
              <w:rPr>
                <w:i/>
              </w:rPr>
            </w:pPr>
            <w:r w:rsidRPr="000C34AA">
              <w:t xml:space="preserve">            </w:t>
            </w:r>
            <w:r w:rsidRPr="000C34AA">
              <w:rPr>
                <w:i/>
              </w:rPr>
              <w:t>21  §</w:t>
            </w:r>
          </w:p>
        </w:tc>
      </w:tr>
      <w:tr w:rsidR="00000000" w:rsidRPr="000C34AA">
        <w:tblPrEx>
          <w:tblCellMar>
            <w:top w:w="0" w:type="dxa"/>
            <w:bottom w:w="0" w:type="dxa"/>
          </w:tblCellMar>
        </w:tblPrEx>
        <w:tc>
          <w:tcPr>
            <w:tcW w:w="3090" w:type="dxa"/>
          </w:tcPr>
          <w:p w:rsidR="009C332F" w:rsidRPr="000C34AA" w:rsidRDefault="009C332F">
            <w:pPr>
              <w:pStyle w:val="LagtextIndrag"/>
            </w:pPr>
          </w:p>
        </w:tc>
        <w:tc>
          <w:tcPr>
            <w:tcW w:w="3090" w:type="dxa"/>
          </w:tcPr>
          <w:p w:rsidR="009C332F" w:rsidRPr="000C34AA" w:rsidRDefault="009C332F">
            <w:pPr>
              <w:pStyle w:val="LagtextIndrag"/>
              <w:rPr>
                <w:i/>
              </w:rPr>
            </w:pPr>
            <w:r w:rsidRPr="000C34AA">
              <w:rPr>
                <w:i/>
              </w:rPr>
              <w:t>Om årsavstämningen visar att i</w:t>
            </w:r>
            <w:r w:rsidRPr="000C34AA">
              <w:rPr>
                <w:i/>
              </w:rPr>
              <w:t>n</w:t>
            </w:r>
            <w:r w:rsidRPr="000C34AA">
              <w:rPr>
                <w:i/>
              </w:rPr>
              <w:t>komstgaranti betalats ut med för högt belopp skall garantitagaren betala tillbaka mellanskillnaden. Det</w:t>
            </w:r>
            <w:r w:rsidRPr="000C34AA">
              <w:rPr>
                <w:i/>
              </w:rPr>
              <w:softHyphen/>
              <w:t>samma gäller om det senare fram</w:t>
            </w:r>
            <w:r w:rsidRPr="000C34AA">
              <w:rPr>
                <w:i/>
              </w:rPr>
              <w:softHyphen/>
              <w:t>kommer att inkomstgaranti betalats ut med för högt belopp.</w:t>
            </w:r>
          </w:p>
          <w:p w:rsidR="009C332F" w:rsidRPr="000C34AA" w:rsidRDefault="009C332F">
            <w:pPr>
              <w:pStyle w:val="LagtextIndrag"/>
              <w:rPr>
                <w:i/>
              </w:rPr>
            </w:pPr>
            <w:r w:rsidRPr="000C34AA">
              <w:rPr>
                <w:i/>
              </w:rPr>
              <w:t>Garantitagaren skall betala ränta på det belopp som krävs tillbaka.</w:t>
            </w:r>
          </w:p>
          <w:p w:rsidR="009C332F" w:rsidRPr="000C34AA" w:rsidRDefault="009C332F">
            <w:pPr>
              <w:pStyle w:val="LagtextIndrag"/>
            </w:pPr>
            <w:r w:rsidRPr="000C34AA">
              <w:rPr>
                <w:i/>
              </w:rPr>
              <w:t>Om det finns särskilda skäl får återkravet efterges helt eller delvis.</w:t>
            </w:r>
            <w:r w:rsidRPr="000C34AA">
              <w:t xml:space="preserve"> </w:t>
            </w:r>
          </w:p>
        </w:tc>
      </w:tr>
    </w:tbl>
    <w:p w:rsidR="009C332F" w:rsidRPr="000C34AA" w:rsidRDefault="009C332F">
      <w:pPr>
        <w:pStyle w:val="Normaltindrag"/>
      </w:pPr>
    </w:p>
    <w:p w:rsidR="009C332F" w:rsidRPr="000C34AA" w:rsidRDefault="009C332F">
      <w:r w:rsidRPr="000C34AA">
        <w:t>__________</w:t>
      </w:r>
    </w:p>
    <w:p w:rsidR="009C332F" w:rsidRPr="000C34AA" w:rsidRDefault="009C332F">
      <w:pPr>
        <w:pStyle w:val="Normaltindrag"/>
      </w:pPr>
      <w:r w:rsidRPr="000C34AA">
        <w:t>Denna lag träder i kraft den 1 januari 2003.</w:t>
      </w:r>
    </w:p>
    <w:p w:rsidR="009C332F" w:rsidRPr="000C34AA" w:rsidRDefault="009C332F">
      <w:pPr>
        <w:pStyle w:val="Rubrik2"/>
      </w:pPr>
      <w:r w:rsidRPr="000C34AA">
        <w:br w:type="page"/>
      </w:r>
      <w:bookmarkStart w:id="54" w:name="_Toc20645526"/>
      <w:r w:rsidRPr="000C34AA">
        <w:t>7.5 Förslag till lag om ändring i lagen (2000:419) med instruktion för riksdagsförvaltningen</w:t>
      </w:r>
      <w:bookmarkEnd w:id="54"/>
    </w:p>
    <w:p w:rsidR="009C332F" w:rsidRPr="000C34AA" w:rsidRDefault="009C332F"/>
    <w:p w:rsidR="009C332F" w:rsidRPr="000C34AA" w:rsidRDefault="009C332F">
      <w:pPr>
        <w:pStyle w:val="LagtextIndrag"/>
      </w:pPr>
      <w:r w:rsidRPr="000C34AA">
        <w:t>Härigenom föreskrivs att det i lagen (2000:419) med instruktion för rik</w:t>
      </w:r>
      <w:r w:rsidRPr="000C34AA">
        <w:t>s</w:t>
      </w:r>
      <w:r w:rsidRPr="000C34AA">
        <w:t>dag</w:t>
      </w:r>
      <w:r w:rsidRPr="000C34AA">
        <w:t>s</w:t>
      </w:r>
      <w:r w:rsidRPr="000C34AA">
        <w:t>förvaltningen skall införas en ny paragraf, 2 a §, av följande lydelse.</w:t>
      </w:r>
    </w:p>
    <w:p w:rsidR="009C332F" w:rsidRPr="000C34AA" w:rsidRDefault="009C332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C34AA">
        <w:tblPrEx>
          <w:tblCellMar>
            <w:top w:w="0" w:type="dxa"/>
            <w:bottom w:w="0" w:type="dxa"/>
          </w:tblCellMar>
        </w:tblPrEx>
        <w:trPr>
          <w:tblHeader/>
        </w:trPr>
        <w:tc>
          <w:tcPr>
            <w:tcW w:w="3090" w:type="dxa"/>
          </w:tcPr>
          <w:p w:rsidR="009C332F" w:rsidRPr="000C34AA" w:rsidRDefault="009C332F">
            <w:pPr>
              <w:pStyle w:val="LagtextRubrik"/>
            </w:pPr>
            <w:r w:rsidRPr="000C34AA">
              <w:t>Nuvarande lydelse</w:t>
            </w:r>
          </w:p>
        </w:tc>
        <w:tc>
          <w:tcPr>
            <w:tcW w:w="3090" w:type="dxa"/>
          </w:tcPr>
          <w:p w:rsidR="009C332F" w:rsidRPr="000C34AA" w:rsidRDefault="009C332F">
            <w:pPr>
              <w:pStyle w:val="LagtextRubrik"/>
            </w:pPr>
            <w:r w:rsidRPr="000C34AA">
              <w:t>Föreslagen lydelse</w:t>
            </w:r>
          </w:p>
        </w:tc>
      </w:tr>
      <w:tr w:rsidR="00000000" w:rsidRPr="000C34AA">
        <w:tblPrEx>
          <w:tblCellMar>
            <w:top w:w="0" w:type="dxa"/>
            <w:bottom w:w="0" w:type="dxa"/>
          </w:tblCellMar>
        </w:tblPrEx>
        <w:trPr>
          <w:cantSplit/>
        </w:trPr>
        <w:tc>
          <w:tcPr>
            <w:tcW w:w="6180" w:type="dxa"/>
            <w:gridSpan w:val="2"/>
          </w:tcPr>
          <w:p w:rsidR="009C332F" w:rsidRPr="000C34AA" w:rsidRDefault="009C332F">
            <w:pPr>
              <w:pStyle w:val="Lagtext"/>
              <w:jc w:val="center"/>
              <w:rPr>
                <w:i/>
              </w:rPr>
            </w:pPr>
            <w:r w:rsidRPr="000C34AA">
              <w:t xml:space="preserve">         </w:t>
            </w:r>
            <w:r w:rsidRPr="000C34AA">
              <w:rPr>
                <w:i/>
              </w:rPr>
              <w:t>2 a  §</w:t>
            </w:r>
          </w:p>
        </w:tc>
      </w:tr>
      <w:tr w:rsidR="00000000" w:rsidRPr="000C34AA">
        <w:tblPrEx>
          <w:tblCellMar>
            <w:top w:w="0" w:type="dxa"/>
            <w:bottom w:w="0" w:type="dxa"/>
          </w:tblCellMar>
        </w:tblPrEx>
        <w:tc>
          <w:tcPr>
            <w:tcW w:w="3090" w:type="dxa"/>
          </w:tcPr>
          <w:p w:rsidR="009C332F" w:rsidRPr="000C34AA" w:rsidRDefault="009C332F">
            <w:pPr>
              <w:pStyle w:val="LagtextIndrag"/>
            </w:pPr>
          </w:p>
        </w:tc>
        <w:tc>
          <w:tcPr>
            <w:tcW w:w="3090" w:type="dxa"/>
          </w:tcPr>
          <w:p w:rsidR="009C332F" w:rsidRPr="000C34AA" w:rsidRDefault="009C332F">
            <w:pPr>
              <w:pStyle w:val="LagtextIndrag"/>
              <w:rPr>
                <w:i/>
              </w:rPr>
            </w:pPr>
            <w:r w:rsidRPr="000C34AA">
              <w:rPr>
                <w:i/>
              </w:rPr>
              <w:t>Riksdagsförvaltningen får öve</w:t>
            </w:r>
            <w:r w:rsidRPr="000C34AA">
              <w:rPr>
                <w:i/>
              </w:rPr>
              <w:t>r</w:t>
            </w:r>
            <w:r w:rsidRPr="000C34AA">
              <w:rPr>
                <w:i/>
              </w:rPr>
              <w:t xml:space="preserve">lämna en uppgift att handlägga frågor som anges i 2 § första stycket 3 till en annan myndighet. Vad som sägs om riksdagsförvaltningen skall i sådant fall gälla den myndigheten såvitt angår vad som föreskrivs i </w:t>
            </w:r>
          </w:p>
          <w:p w:rsidR="009C332F" w:rsidRPr="000C34AA" w:rsidRDefault="009C332F">
            <w:pPr>
              <w:pStyle w:val="LagtextIndrag"/>
              <w:rPr>
                <w:i/>
              </w:rPr>
            </w:pPr>
            <w:r w:rsidRPr="000C34AA">
              <w:rPr>
                <w:i/>
              </w:rPr>
              <w:t>1. 1 och 5 §§ lagen (1989:186) om överklagande av administrativa beslut av riksdagsförvaltningen och riksdagens myndigheter,</w:t>
            </w:r>
          </w:p>
          <w:p w:rsidR="009C332F" w:rsidRPr="000C34AA" w:rsidRDefault="009C332F">
            <w:pPr>
              <w:pStyle w:val="LagtextIndrag"/>
              <w:rPr>
                <w:i/>
              </w:rPr>
            </w:pPr>
            <w:r w:rsidRPr="000C34AA">
              <w:rPr>
                <w:i/>
              </w:rPr>
              <w:t>2. 13 kap. 18–21 §§ lagen (1994:1065) om ekonomiska villkor för riksd</w:t>
            </w:r>
            <w:r w:rsidRPr="000C34AA">
              <w:rPr>
                <w:i/>
              </w:rPr>
              <w:t>a</w:t>
            </w:r>
            <w:r w:rsidRPr="000C34AA">
              <w:rPr>
                <w:i/>
              </w:rPr>
              <w:t>gens ledamöter samt</w:t>
            </w:r>
          </w:p>
          <w:p w:rsidR="009C332F" w:rsidRPr="000C34AA" w:rsidRDefault="009C332F">
            <w:pPr>
              <w:pStyle w:val="LagtextIndrag"/>
            </w:pPr>
            <w:r w:rsidRPr="000C34AA">
              <w:rPr>
                <w:i/>
              </w:rPr>
              <w:t>3. 9 kap. 18–21 §§ lagen (1996:304) om arvode m.m. till Sv</w:t>
            </w:r>
            <w:r w:rsidRPr="000C34AA">
              <w:rPr>
                <w:i/>
              </w:rPr>
              <w:t>e</w:t>
            </w:r>
            <w:r w:rsidRPr="000C34AA">
              <w:rPr>
                <w:i/>
              </w:rPr>
              <w:t>riges företrädare i Europaparl</w:t>
            </w:r>
            <w:r w:rsidRPr="000C34AA">
              <w:rPr>
                <w:i/>
              </w:rPr>
              <w:t>a</w:t>
            </w:r>
            <w:r w:rsidRPr="000C34AA">
              <w:rPr>
                <w:i/>
              </w:rPr>
              <w:t>mentet.</w:t>
            </w:r>
          </w:p>
        </w:tc>
      </w:tr>
    </w:tbl>
    <w:p w:rsidR="009C332F" w:rsidRPr="000C34AA" w:rsidRDefault="009C332F">
      <w:r w:rsidRPr="000C34AA">
        <w:t>__________</w:t>
      </w:r>
    </w:p>
    <w:p w:rsidR="009C332F" w:rsidRPr="000C34AA" w:rsidRDefault="009C332F">
      <w:pPr>
        <w:pStyle w:val="Normaltindrag"/>
      </w:pPr>
      <w:r w:rsidRPr="000C34AA">
        <w:t xml:space="preserve">Denna lag träder i kraft den 1 januari 2003. </w:t>
      </w:r>
    </w:p>
    <w:p w:rsidR="009C332F" w:rsidRPr="000C34AA" w:rsidRDefault="009C332F"/>
    <w:p w:rsidR="009C332F" w:rsidRPr="000C34AA" w:rsidRDefault="009C332F">
      <w:pPr>
        <w:pStyle w:val="Tryckort"/>
        <w:framePr w:wrap="around"/>
      </w:pPr>
      <w:r w:rsidRPr="000C34AA">
        <w:t>Elanders Gotab, Stockholm  2002</w:t>
      </w:r>
    </w:p>
    <w:p w:rsidR="009C332F" w:rsidRPr="000C34AA" w:rsidRDefault="009C332F">
      <w:pPr>
        <w:pStyle w:val="Normaltindrag"/>
      </w:pPr>
    </w:p>
    <w:sectPr w:rsidR="009C332F" w:rsidRPr="000C34AA">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332F" w:rsidRPr="000C34AA" w:rsidRDefault="009C332F">
      <w:pPr>
        <w:spacing w:before="0" w:line="240" w:lineRule="auto"/>
      </w:pPr>
      <w:r w:rsidRPr="000C34AA">
        <w:separator/>
      </w:r>
    </w:p>
  </w:endnote>
  <w:endnote w:type="continuationSeparator" w:id="0">
    <w:p w:rsidR="009C332F" w:rsidRPr="000C34AA" w:rsidRDefault="009C332F">
      <w:pPr>
        <w:spacing w:before="0" w:line="240" w:lineRule="auto"/>
      </w:pPr>
      <w:r w:rsidRPr="000C34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V"/>
      <w:framePr w:w="8732" w:h="284" w:hRule="exact" w:hSpace="0" w:vSpace="0" w:wrap="around" w:xAlign="inside" w:y="13042" w:anchorLock="0"/>
    </w:pP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2</w:t>
    </w:r>
    <w:r w:rsidRPr="000C34AA">
      <w:fldChar w:fldCharType="end"/>
    </w:r>
  </w:p>
  <w:p w:rsidR="009C332F" w:rsidRPr="000C34AA" w:rsidRDefault="009C332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V"/>
      <w:framePr w:w="8732" w:h="284" w:hRule="exact" w:hSpace="0" w:vSpace="0" w:wrap="around" w:xAlign="inside" w:y="13042" w:anchorLock="0"/>
    </w:pP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10</w:t>
    </w:r>
    <w:r w:rsidRPr="000C34AA">
      <w:fldChar w:fldCharType="end"/>
    </w:r>
  </w:p>
  <w:p w:rsidR="009C332F" w:rsidRPr="000C34AA" w:rsidRDefault="009C332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H"/>
      <w:framePr w:w="8732" w:h="284" w:hRule="exact" w:hSpace="0" w:vSpace="0" w:wrap="around" w:xAlign="inside" w:y="13042" w:anchorLock="0"/>
    </w:pP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11</w:t>
    </w:r>
    <w:r w:rsidRPr="000C34AA">
      <w:fldChar w:fldCharType="end"/>
    </w:r>
  </w:p>
  <w:p w:rsidR="009C332F" w:rsidRPr="000C34AA" w:rsidRDefault="009C332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V"/>
      <w:framePr w:w="8732" w:h="284" w:hRule="exact" w:hSpace="0" w:vSpace="0" w:wrap="around" w:xAlign="inside" w:y="13042" w:anchorLock="0"/>
    </w:pPr>
    <w:r w:rsidRPr="000C34AA">
      <w:fldChar w:fldCharType="begin" w:fldLock="1"/>
    </w:r>
    <w:r w:rsidRPr="000C34AA">
      <w:instrText xml:space="preserve"> if </w:instrText>
    </w:r>
    <w:r w:rsidRPr="000C34AA">
      <w:fldChar w:fldCharType="begin" w:fldLock="1"/>
    </w:r>
    <w:r w:rsidRPr="000C34AA">
      <w:instrText xml:space="preserve"> = </w:instrText>
    </w:r>
    <w:r w:rsidRPr="000C34AA">
      <w:fldChar w:fldCharType="begin" w:fldLock="1"/>
    </w:r>
    <w:r w:rsidRPr="000C34AA">
      <w:instrText xml:space="preserve"> = </w:instrText>
    </w:r>
    <w:r w:rsidRPr="000C34AA">
      <w:fldChar w:fldCharType="begin" w:fldLock="1"/>
    </w:r>
    <w:r w:rsidRPr="000C34AA">
      <w:instrText xml:space="preserve"> page</w:instrText>
    </w:r>
    <w:r w:rsidRPr="000C34AA">
      <w:fldChar w:fldCharType="separate"/>
    </w:r>
    <w:r w:rsidRPr="000C34AA">
      <w:instrText>5</w:instrText>
    </w:r>
    <w:r w:rsidRPr="000C34AA">
      <w:fldChar w:fldCharType="end"/>
    </w:r>
    <w:r w:rsidRPr="000C34AA">
      <w:instrText xml:space="preserve">/2 </w:instrText>
    </w:r>
    <w:r w:rsidRPr="000C34AA">
      <w:fldChar w:fldCharType="separate"/>
    </w:r>
    <w:r w:rsidRPr="000C34AA">
      <w:instrText>2,5</w:instrText>
    </w:r>
    <w:r w:rsidRPr="000C34AA">
      <w:fldChar w:fldCharType="end"/>
    </w:r>
    <w:r w:rsidRPr="000C34AA">
      <w:instrText xml:space="preserve"> - </w:instrText>
    </w:r>
    <w:r w:rsidRPr="000C34AA">
      <w:fldChar w:fldCharType="begin" w:fldLock="1"/>
    </w:r>
    <w:r w:rsidRPr="000C34AA">
      <w:instrText xml:space="preserve"> = int(</w:instrText>
    </w:r>
    <w:r w:rsidRPr="000C34AA">
      <w:fldChar w:fldCharType="begin" w:fldLock="1"/>
    </w:r>
    <w:r w:rsidRPr="000C34AA">
      <w:instrText xml:space="preserve"> page</w:instrText>
    </w:r>
    <w:r w:rsidRPr="000C34AA">
      <w:fldChar w:fldCharType="separate"/>
    </w:r>
    <w:r w:rsidRPr="000C34AA">
      <w:instrText>5</w:instrText>
    </w:r>
    <w:r w:rsidRPr="000C34AA">
      <w:fldChar w:fldCharType="end"/>
    </w:r>
    <w:r w:rsidRPr="000C34AA">
      <w:instrText xml:space="preserve">/2) </w:instrText>
    </w:r>
    <w:r w:rsidRPr="000C34AA">
      <w:fldChar w:fldCharType="separate"/>
    </w:r>
    <w:r w:rsidRPr="000C34AA">
      <w:instrText>2</w:instrText>
    </w:r>
    <w:r w:rsidRPr="000C34AA">
      <w:fldChar w:fldCharType="end"/>
    </w:r>
    <w:r w:rsidRPr="000C34AA">
      <w:fldChar w:fldCharType="separate"/>
    </w:r>
    <w:r w:rsidRPr="000C34AA">
      <w:instrText>0,5</w:instrText>
    </w:r>
    <w:r w:rsidRPr="000C34AA">
      <w:fldChar w:fldCharType="end"/>
    </w:r>
    <w:r w:rsidRPr="000C34AA">
      <w:instrText xml:space="preserve"> = 0 "</w:instrText>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instrText>6</w:instrText>
    </w:r>
    <w:r w:rsidRPr="000C34AA">
      <w:fldChar w:fldCharType="end"/>
    </w:r>
  </w:p>
  <w:p w:rsidR="009C332F" w:rsidRPr="000C34AA" w:rsidRDefault="009C332F">
    <w:pPr>
      <w:pStyle w:val="SidfotH"/>
      <w:framePr w:w="8732" w:h="284" w:hRule="exact" w:hSpace="0" w:vSpace="0" w:wrap="around" w:xAlign="inside" w:y="13042" w:anchorLock="0"/>
    </w:pPr>
    <w:r w:rsidRPr="000C34AA">
      <w:instrText>""</w:instrText>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instrText>5</w:instrText>
    </w:r>
    <w:r w:rsidRPr="000C34AA">
      <w:fldChar w:fldCharType="end"/>
    </w:r>
    <w:r w:rsidRPr="000C34AA">
      <w:instrText>"</w:instrText>
    </w:r>
    <w:r w:rsidRPr="000C34AA">
      <w:fldChar w:fldCharType="separate"/>
    </w:r>
    <w:r w:rsidRPr="000C34AA">
      <w:t>5</w:t>
    </w:r>
    <w:r w:rsidRPr="000C34AA">
      <w:fldChar w:fldCharType="end"/>
    </w:r>
  </w:p>
  <w:p w:rsidR="009C332F" w:rsidRPr="000C34AA" w:rsidRDefault="009C332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V"/>
      <w:framePr w:w="8732" w:h="284" w:hRule="exact" w:hSpace="0" w:vSpace="0" w:wrap="around" w:xAlign="inside" w:y="13042" w:anchorLock="0"/>
    </w:pP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8</w:t>
    </w:r>
    <w:r w:rsidRPr="000C34AA">
      <w:fldChar w:fldCharType="end"/>
    </w:r>
  </w:p>
  <w:p w:rsidR="009C332F" w:rsidRPr="000C34AA" w:rsidRDefault="009C332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H"/>
      <w:framePr w:w="8732" w:h="284" w:hRule="exact" w:hSpace="0" w:vSpace="0" w:wrap="around" w:xAlign="inside" w:y="13042" w:anchorLock="0"/>
    </w:pP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9</w:t>
    </w:r>
    <w:r w:rsidRPr="000C34AA">
      <w:fldChar w:fldCharType="end"/>
    </w:r>
  </w:p>
  <w:p w:rsidR="009C332F" w:rsidRPr="000C34AA" w:rsidRDefault="009C332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V"/>
      <w:framePr w:w="8732" w:h="284" w:hRule="exact" w:hSpace="0" w:vSpace="0" w:wrap="around" w:xAlign="inside" w:y="13042" w:anchorLock="0"/>
    </w:pPr>
    <w:r w:rsidRPr="000C34AA">
      <w:fldChar w:fldCharType="begin" w:fldLock="1"/>
    </w:r>
    <w:r w:rsidRPr="000C34AA">
      <w:instrText xml:space="preserve"> if </w:instrText>
    </w:r>
    <w:r w:rsidRPr="000C34AA">
      <w:fldChar w:fldCharType="begin" w:fldLock="1"/>
    </w:r>
    <w:r w:rsidRPr="000C34AA">
      <w:instrText xml:space="preserve"> = </w:instrText>
    </w:r>
    <w:r w:rsidRPr="000C34AA">
      <w:fldChar w:fldCharType="begin" w:fldLock="1"/>
    </w:r>
    <w:r w:rsidRPr="000C34AA">
      <w:instrText xml:space="preserve"> = </w:instrText>
    </w:r>
    <w:r w:rsidRPr="000C34AA">
      <w:fldChar w:fldCharType="begin" w:fldLock="1"/>
    </w:r>
    <w:r w:rsidRPr="000C34AA">
      <w:instrText xml:space="preserve"> page</w:instrText>
    </w:r>
    <w:r w:rsidRPr="000C34AA">
      <w:fldChar w:fldCharType="separate"/>
    </w:r>
    <w:r w:rsidRPr="000C34AA">
      <w:instrText>6</w:instrText>
    </w:r>
    <w:r w:rsidRPr="000C34AA">
      <w:fldChar w:fldCharType="end"/>
    </w:r>
    <w:r w:rsidRPr="000C34AA">
      <w:instrText xml:space="preserve">/2 </w:instrText>
    </w:r>
    <w:r w:rsidRPr="000C34AA">
      <w:fldChar w:fldCharType="separate"/>
    </w:r>
    <w:r w:rsidRPr="000C34AA">
      <w:instrText>3</w:instrText>
    </w:r>
    <w:r w:rsidRPr="000C34AA">
      <w:fldChar w:fldCharType="end"/>
    </w:r>
    <w:r w:rsidRPr="000C34AA">
      <w:instrText xml:space="preserve"> - </w:instrText>
    </w:r>
    <w:r w:rsidRPr="000C34AA">
      <w:fldChar w:fldCharType="begin" w:fldLock="1"/>
    </w:r>
    <w:r w:rsidRPr="000C34AA">
      <w:instrText xml:space="preserve"> = int(</w:instrText>
    </w:r>
    <w:r w:rsidRPr="000C34AA">
      <w:fldChar w:fldCharType="begin" w:fldLock="1"/>
    </w:r>
    <w:r w:rsidRPr="000C34AA">
      <w:instrText xml:space="preserve"> page</w:instrText>
    </w:r>
    <w:r w:rsidRPr="000C34AA">
      <w:fldChar w:fldCharType="separate"/>
    </w:r>
    <w:r w:rsidRPr="000C34AA">
      <w:instrText>6</w:instrText>
    </w:r>
    <w:r w:rsidRPr="000C34AA">
      <w:fldChar w:fldCharType="end"/>
    </w:r>
    <w:r w:rsidRPr="000C34AA">
      <w:instrText xml:space="preserve">/2) </w:instrText>
    </w:r>
    <w:r w:rsidRPr="000C34AA">
      <w:fldChar w:fldCharType="separate"/>
    </w:r>
    <w:r w:rsidRPr="000C34AA">
      <w:instrText>3</w:instrText>
    </w:r>
    <w:r w:rsidRPr="000C34AA">
      <w:fldChar w:fldCharType="end"/>
    </w:r>
    <w:r w:rsidRPr="000C34AA">
      <w:fldChar w:fldCharType="separate"/>
    </w:r>
    <w:r w:rsidRPr="000C34AA">
      <w:instrText>0</w:instrText>
    </w:r>
    <w:r w:rsidRPr="000C34AA">
      <w:fldChar w:fldCharType="end"/>
    </w:r>
    <w:r w:rsidRPr="000C34AA">
      <w:instrText xml:space="preserve"> = 0 "</w:instrText>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instrText>6</w:instrText>
    </w:r>
    <w:r w:rsidRPr="000C34AA">
      <w:fldChar w:fldCharType="end"/>
    </w:r>
  </w:p>
  <w:p w:rsidR="009C332F" w:rsidRPr="000C34AA" w:rsidRDefault="009C332F">
    <w:pPr>
      <w:pStyle w:val="SidfotV"/>
      <w:framePr w:w="8732" w:h="284" w:hRule="exact" w:hSpace="0" w:vSpace="0" w:wrap="around" w:xAlign="inside" w:y="13042" w:anchorLock="0"/>
    </w:pPr>
    <w:r w:rsidRPr="000C34AA">
      <w:instrText>""</w:instrText>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instrText>7</w:instrText>
    </w:r>
    <w:r w:rsidRPr="000C34AA">
      <w:fldChar w:fldCharType="end"/>
    </w:r>
    <w:r w:rsidRPr="000C34AA">
      <w:instrText>"</w:instrText>
    </w:r>
    <w:r w:rsidRPr="000C34AA">
      <w:fldChar w:fldCharType="separate"/>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6</w:t>
    </w:r>
    <w:r w:rsidRPr="000C34AA">
      <w:fldChar w:fldCharType="end"/>
    </w:r>
  </w:p>
  <w:p w:rsidR="009C332F" w:rsidRPr="000C34AA" w:rsidRDefault="009C332F">
    <w:pPr>
      <w:pStyle w:val="SidfotH"/>
      <w:framePr w:w="8732" w:h="284" w:hRule="exact" w:hSpace="0" w:vSpace="0" w:wrap="around" w:xAlign="inside" w:y="13042" w:anchorLock="0"/>
    </w:pPr>
    <w:r w:rsidRPr="000C34AA">
      <w:fldChar w:fldCharType="end"/>
    </w:r>
  </w:p>
  <w:p w:rsidR="009C332F" w:rsidRPr="000C34AA" w:rsidRDefault="009C332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V"/>
      <w:framePr w:w="8732" w:h="284" w:hRule="exact" w:hSpace="0" w:vSpace="0" w:wrap="around" w:xAlign="inside" w:y="13042" w:anchorLock="0"/>
    </w:pP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10</w:t>
    </w:r>
    <w:r w:rsidRPr="000C34AA">
      <w:fldChar w:fldCharType="end"/>
    </w:r>
  </w:p>
  <w:p w:rsidR="009C332F" w:rsidRPr="000C34AA" w:rsidRDefault="009C332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H"/>
      <w:framePr w:w="8732" w:h="284" w:hRule="exact" w:hSpace="0" w:vSpace="0" w:wrap="around" w:xAlign="inside" w:y="13042" w:anchorLock="0"/>
    </w:pP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11</w:t>
    </w:r>
    <w:r w:rsidRPr="000C34AA">
      <w:fldChar w:fldCharType="end"/>
    </w:r>
  </w:p>
  <w:p w:rsidR="009C332F" w:rsidRPr="000C34AA" w:rsidRDefault="009C332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V"/>
      <w:framePr w:w="8732" w:h="284" w:hRule="exact" w:hSpace="0" w:vSpace="0" w:wrap="around" w:xAlign="inside" w:y="13042" w:anchorLock="0"/>
    </w:pPr>
    <w:r w:rsidRPr="000C34AA">
      <w:fldChar w:fldCharType="begin" w:fldLock="1"/>
    </w:r>
    <w:r w:rsidRPr="000C34AA">
      <w:instrText xml:space="preserve"> if </w:instrText>
    </w:r>
    <w:r w:rsidRPr="000C34AA">
      <w:fldChar w:fldCharType="begin" w:fldLock="1"/>
    </w:r>
    <w:r w:rsidRPr="000C34AA">
      <w:instrText xml:space="preserve"> = </w:instrText>
    </w:r>
    <w:r w:rsidRPr="000C34AA">
      <w:fldChar w:fldCharType="begin" w:fldLock="1"/>
    </w:r>
    <w:r w:rsidRPr="000C34AA">
      <w:instrText xml:space="preserve"> = </w:instrText>
    </w:r>
    <w:r w:rsidRPr="000C34AA">
      <w:fldChar w:fldCharType="begin" w:fldLock="1"/>
    </w:r>
    <w:r w:rsidRPr="000C34AA">
      <w:instrText xml:space="preserve"> page</w:instrText>
    </w:r>
    <w:r w:rsidRPr="000C34AA">
      <w:fldChar w:fldCharType="separate"/>
    </w:r>
    <w:r w:rsidRPr="000C34AA">
      <w:instrText>10</w:instrText>
    </w:r>
    <w:r w:rsidRPr="000C34AA">
      <w:fldChar w:fldCharType="end"/>
    </w:r>
    <w:r w:rsidRPr="000C34AA">
      <w:instrText xml:space="preserve">/2 </w:instrText>
    </w:r>
    <w:r w:rsidRPr="000C34AA">
      <w:fldChar w:fldCharType="separate"/>
    </w:r>
    <w:r w:rsidRPr="000C34AA">
      <w:instrText>5</w:instrText>
    </w:r>
    <w:r w:rsidRPr="000C34AA">
      <w:fldChar w:fldCharType="end"/>
    </w:r>
    <w:r w:rsidRPr="000C34AA">
      <w:instrText xml:space="preserve"> - </w:instrText>
    </w:r>
    <w:r w:rsidRPr="000C34AA">
      <w:fldChar w:fldCharType="begin" w:fldLock="1"/>
    </w:r>
    <w:r w:rsidRPr="000C34AA">
      <w:instrText xml:space="preserve"> = int(</w:instrText>
    </w:r>
    <w:r w:rsidRPr="000C34AA">
      <w:fldChar w:fldCharType="begin" w:fldLock="1"/>
    </w:r>
    <w:r w:rsidRPr="000C34AA">
      <w:instrText xml:space="preserve"> page</w:instrText>
    </w:r>
    <w:r w:rsidRPr="000C34AA">
      <w:fldChar w:fldCharType="separate"/>
    </w:r>
    <w:r w:rsidRPr="000C34AA">
      <w:instrText>10</w:instrText>
    </w:r>
    <w:r w:rsidRPr="000C34AA">
      <w:fldChar w:fldCharType="end"/>
    </w:r>
    <w:r w:rsidRPr="000C34AA">
      <w:instrText xml:space="preserve">/2) </w:instrText>
    </w:r>
    <w:r w:rsidRPr="000C34AA">
      <w:fldChar w:fldCharType="separate"/>
    </w:r>
    <w:r w:rsidRPr="000C34AA">
      <w:instrText>5</w:instrText>
    </w:r>
    <w:r w:rsidRPr="000C34AA">
      <w:fldChar w:fldCharType="end"/>
    </w:r>
    <w:r w:rsidRPr="000C34AA">
      <w:fldChar w:fldCharType="separate"/>
    </w:r>
    <w:r w:rsidRPr="000C34AA">
      <w:instrText>0</w:instrText>
    </w:r>
    <w:r w:rsidRPr="000C34AA">
      <w:fldChar w:fldCharType="end"/>
    </w:r>
    <w:r w:rsidRPr="000C34AA">
      <w:instrText xml:space="preserve"> = 0 "</w:instrText>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instrText>10</w:instrText>
    </w:r>
    <w:r w:rsidRPr="000C34AA">
      <w:fldChar w:fldCharType="end"/>
    </w:r>
  </w:p>
  <w:p w:rsidR="009C332F" w:rsidRPr="000C34AA" w:rsidRDefault="009C332F">
    <w:pPr>
      <w:pStyle w:val="SidfotV"/>
      <w:framePr w:w="8732" w:h="284" w:hRule="exact" w:hSpace="0" w:vSpace="0" w:wrap="around" w:xAlign="inside" w:y="13042" w:anchorLock="0"/>
    </w:pPr>
    <w:r w:rsidRPr="000C34AA">
      <w:instrText>""</w:instrText>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instrText>9</w:instrText>
    </w:r>
    <w:r w:rsidRPr="000C34AA">
      <w:fldChar w:fldCharType="end"/>
    </w:r>
    <w:r w:rsidRPr="000C34AA">
      <w:instrText>"</w:instrText>
    </w:r>
    <w:r w:rsidRPr="000C34AA">
      <w:fldChar w:fldCharType="separate"/>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10</w:t>
    </w:r>
    <w:r w:rsidRPr="000C34AA">
      <w:fldChar w:fldCharType="end"/>
    </w:r>
  </w:p>
  <w:p w:rsidR="009C332F" w:rsidRPr="000C34AA" w:rsidRDefault="009C332F">
    <w:pPr>
      <w:pStyle w:val="SidfotH"/>
      <w:framePr w:w="8732" w:h="284" w:hRule="exact" w:hSpace="0" w:vSpace="0" w:wrap="around" w:xAlign="inside" w:y="13042" w:anchorLock="0"/>
    </w:pPr>
    <w:r w:rsidRPr="000C34AA">
      <w:fldChar w:fldCharType="end"/>
    </w:r>
  </w:p>
  <w:p w:rsidR="009C332F" w:rsidRPr="000C34AA" w:rsidRDefault="009C332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V"/>
      <w:framePr w:w="8732" w:h="284" w:hRule="exact" w:hSpace="0" w:vSpace="0" w:wrap="around" w:xAlign="inside" w:y="13042" w:anchorLock="0"/>
    </w:pP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12</w:t>
    </w:r>
    <w:r w:rsidRPr="000C34AA">
      <w:fldChar w:fldCharType="end"/>
    </w:r>
  </w:p>
  <w:p w:rsidR="009C332F" w:rsidRPr="000C34AA" w:rsidRDefault="009C33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H"/>
      <w:framePr w:w="8732" w:h="284" w:hRule="exact" w:hSpace="0" w:vSpace="0" w:wrap="around" w:xAlign="inside" w:y="13042" w:anchorLock="0"/>
    </w:pP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3</w:t>
    </w:r>
    <w:r w:rsidRPr="000C34AA">
      <w:fldChar w:fldCharType="end"/>
    </w:r>
  </w:p>
  <w:p w:rsidR="009C332F" w:rsidRPr="000C34AA" w:rsidRDefault="009C332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H"/>
      <w:framePr w:w="8732" w:h="284" w:hRule="exact" w:hSpace="0" w:vSpace="0" w:wrap="around" w:xAlign="inside" w:y="13042" w:anchorLock="0"/>
    </w:pP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11</w:t>
    </w:r>
    <w:r w:rsidRPr="000C34AA">
      <w:fldChar w:fldCharType="end"/>
    </w:r>
  </w:p>
  <w:p w:rsidR="009C332F" w:rsidRPr="000C34AA" w:rsidRDefault="009C332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V"/>
      <w:framePr w:w="8732" w:h="284" w:hRule="exact" w:hSpace="0" w:vSpace="0" w:wrap="around" w:xAlign="inside" w:y="13042" w:anchorLock="0"/>
    </w:pPr>
    <w:r w:rsidRPr="000C34AA">
      <w:fldChar w:fldCharType="begin" w:fldLock="1"/>
    </w:r>
    <w:r w:rsidRPr="000C34AA">
      <w:instrText xml:space="preserve"> if </w:instrText>
    </w:r>
    <w:r w:rsidRPr="000C34AA">
      <w:fldChar w:fldCharType="begin" w:fldLock="1"/>
    </w:r>
    <w:r w:rsidRPr="000C34AA">
      <w:instrText xml:space="preserve"> = </w:instrText>
    </w:r>
    <w:r w:rsidRPr="000C34AA">
      <w:fldChar w:fldCharType="begin" w:fldLock="1"/>
    </w:r>
    <w:r w:rsidRPr="000C34AA">
      <w:instrText xml:space="preserve"> = </w:instrText>
    </w:r>
    <w:r w:rsidRPr="000C34AA">
      <w:fldChar w:fldCharType="begin" w:fldLock="1"/>
    </w:r>
    <w:r w:rsidRPr="000C34AA">
      <w:instrText xml:space="preserve"> page</w:instrText>
    </w:r>
    <w:r w:rsidRPr="000C34AA">
      <w:fldChar w:fldCharType="separate"/>
    </w:r>
    <w:r w:rsidRPr="000C34AA">
      <w:instrText>11</w:instrText>
    </w:r>
    <w:r w:rsidRPr="000C34AA">
      <w:fldChar w:fldCharType="end"/>
    </w:r>
    <w:r w:rsidRPr="000C34AA">
      <w:instrText xml:space="preserve">/2 </w:instrText>
    </w:r>
    <w:r w:rsidRPr="000C34AA">
      <w:fldChar w:fldCharType="separate"/>
    </w:r>
    <w:r w:rsidRPr="000C34AA">
      <w:instrText>5,5</w:instrText>
    </w:r>
    <w:r w:rsidRPr="000C34AA">
      <w:fldChar w:fldCharType="end"/>
    </w:r>
    <w:r w:rsidRPr="000C34AA">
      <w:instrText xml:space="preserve"> - </w:instrText>
    </w:r>
    <w:r w:rsidRPr="000C34AA">
      <w:fldChar w:fldCharType="begin" w:fldLock="1"/>
    </w:r>
    <w:r w:rsidRPr="000C34AA">
      <w:instrText xml:space="preserve"> = int(</w:instrText>
    </w:r>
    <w:r w:rsidRPr="000C34AA">
      <w:fldChar w:fldCharType="begin" w:fldLock="1"/>
    </w:r>
    <w:r w:rsidRPr="000C34AA">
      <w:instrText xml:space="preserve"> page</w:instrText>
    </w:r>
    <w:r w:rsidRPr="000C34AA">
      <w:fldChar w:fldCharType="separate"/>
    </w:r>
    <w:r w:rsidRPr="000C34AA">
      <w:instrText>11</w:instrText>
    </w:r>
    <w:r w:rsidRPr="000C34AA">
      <w:fldChar w:fldCharType="end"/>
    </w:r>
    <w:r w:rsidRPr="000C34AA">
      <w:instrText xml:space="preserve">/2) </w:instrText>
    </w:r>
    <w:r w:rsidRPr="000C34AA">
      <w:fldChar w:fldCharType="separate"/>
    </w:r>
    <w:r w:rsidRPr="000C34AA">
      <w:instrText>5</w:instrText>
    </w:r>
    <w:r w:rsidRPr="000C34AA">
      <w:fldChar w:fldCharType="end"/>
    </w:r>
    <w:r w:rsidRPr="000C34AA">
      <w:fldChar w:fldCharType="separate"/>
    </w:r>
    <w:r w:rsidRPr="000C34AA">
      <w:instrText>0,5</w:instrText>
    </w:r>
    <w:r w:rsidRPr="000C34AA">
      <w:fldChar w:fldCharType="end"/>
    </w:r>
    <w:r w:rsidRPr="000C34AA">
      <w:instrText xml:space="preserve"> = 0 "</w:instrText>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instrText>10</w:instrText>
    </w:r>
    <w:r w:rsidRPr="000C34AA">
      <w:fldChar w:fldCharType="end"/>
    </w:r>
  </w:p>
  <w:p w:rsidR="009C332F" w:rsidRPr="000C34AA" w:rsidRDefault="009C332F">
    <w:pPr>
      <w:pStyle w:val="SidfotH"/>
      <w:framePr w:w="8732" w:h="284" w:hRule="exact" w:hSpace="0" w:vSpace="0" w:wrap="around" w:xAlign="inside" w:y="13042" w:anchorLock="0"/>
    </w:pPr>
    <w:r w:rsidRPr="000C34AA">
      <w:instrText>""</w:instrText>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instrText>11</w:instrText>
    </w:r>
    <w:r w:rsidRPr="000C34AA">
      <w:fldChar w:fldCharType="end"/>
    </w:r>
    <w:r w:rsidRPr="000C34AA">
      <w:instrText>"</w:instrText>
    </w:r>
    <w:r w:rsidRPr="000C34AA">
      <w:fldChar w:fldCharType="separate"/>
    </w:r>
    <w:r w:rsidRPr="000C34AA">
      <w:t>11</w:t>
    </w:r>
    <w:r w:rsidRPr="000C34AA">
      <w:fldChar w:fldCharType="end"/>
    </w:r>
  </w:p>
  <w:p w:rsidR="009C332F" w:rsidRPr="000C34AA" w:rsidRDefault="009C332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V"/>
      <w:framePr w:w="8732" w:h="284" w:hRule="exact" w:hSpace="0" w:vSpace="0" w:wrap="around" w:xAlign="inside" w:y="13042" w:anchorLock="0"/>
    </w:pP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26</w:t>
    </w:r>
    <w:r w:rsidRPr="000C34AA">
      <w:fldChar w:fldCharType="end"/>
    </w:r>
  </w:p>
  <w:p w:rsidR="009C332F" w:rsidRPr="000C34AA" w:rsidRDefault="009C332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H"/>
      <w:framePr w:w="8732" w:h="284" w:hRule="exact" w:hSpace="0" w:vSpace="0" w:wrap="around" w:xAlign="inside" w:y="13042" w:anchorLock="0"/>
    </w:pP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27</w:t>
    </w:r>
    <w:r w:rsidRPr="000C34AA">
      <w:fldChar w:fldCharType="end"/>
    </w:r>
  </w:p>
  <w:p w:rsidR="009C332F" w:rsidRPr="000C34AA" w:rsidRDefault="009C332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V"/>
      <w:framePr w:w="8732" w:h="284" w:hRule="exact" w:hSpace="0" w:vSpace="0" w:wrap="around" w:xAlign="inside" w:y="13042" w:anchorLock="0"/>
    </w:pPr>
    <w:r w:rsidRPr="000C34AA">
      <w:fldChar w:fldCharType="begin" w:fldLock="1"/>
    </w:r>
    <w:r w:rsidRPr="000C34AA">
      <w:instrText xml:space="preserve"> if </w:instrText>
    </w:r>
    <w:r w:rsidRPr="000C34AA">
      <w:fldChar w:fldCharType="begin" w:fldLock="1"/>
    </w:r>
    <w:r w:rsidRPr="000C34AA">
      <w:instrText xml:space="preserve"> = </w:instrText>
    </w:r>
    <w:r w:rsidRPr="000C34AA">
      <w:fldChar w:fldCharType="begin" w:fldLock="1"/>
    </w:r>
    <w:r w:rsidRPr="000C34AA">
      <w:instrText xml:space="preserve"> = </w:instrText>
    </w:r>
    <w:r w:rsidRPr="000C34AA">
      <w:fldChar w:fldCharType="begin" w:fldLock="1"/>
    </w:r>
    <w:r w:rsidRPr="000C34AA">
      <w:instrText xml:space="preserve"> page</w:instrText>
    </w:r>
    <w:r w:rsidRPr="000C34AA">
      <w:fldChar w:fldCharType="separate"/>
    </w:r>
    <w:r w:rsidRPr="000C34AA">
      <w:instrText>13</w:instrText>
    </w:r>
    <w:r w:rsidRPr="000C34AA">
      <w:fldChar w:fldCharType="end"/>
    </w:r>
    <w:r w:rsidRPr="000C34AA">
      <w:instrText xml:space="preserve">/2 </w:instrText>
    </w:r>
    <w:r w:rsidRPr="000C34AA">
      <w:fldChar w:fldCharType="separate"/>
    </w:r>
    <w:r w:rsidRPr="000C34AA">
      <w:instrText>6,5</w:instrText>
    </w:r>
    <w:r w:rsidRPr="000C34AA">
      <w:fldChar w:fldCharType="end"/>
    </w:r>
    <w:r w:rsidRPr="000C34AA">
      <w:instrText xml:space="preserve"> - </w:instrText>
    </w:r>
    <w:r w:rsidRPr="000C34AA">
      <w:fldChar w:fldCharType="begin" w:fldLock="1"/>
    </w:r>
    <w:r w:rsidRPr="000C34AA">
      <w:instrText xml:space="preserve"> = int(</w:instrText>
    </w:r>
    <w:r w:rsidRPr="000C34AA">
      <w:fldChar w:fldCharType="begin" w:fldLock="1"/>
    </w:r>
    <w:r w:rsidRPr="000C34AA">
      <w:instrText xml:space="preserve"> page</w:instrText>
    </w:r>
    <w:r w:rsidRPr="000C34AA">
      <w:fldChar w:fldCharType="separate"/>
    </w:r>
    <w:r w:rsidRPr="000C34AA">
      <w:instrText>13</w:instrText>
    </w:r>
    <w:r w:rsidRPr="000C34AA">
      <w:fldChar w:fldCharType="end"/>
    </w:r>
    <w:r w:rsidRPr="000C34AA">
      <w:instrText xml:space="preserve">/2) </w:instrText>
    </w:r>
    <w:r w:rsidRPr="000C34AA">
      <w:fldChar w:fldCharType="separate"/>
    </w:r>
    <w:r w:rsidRPr="000C34AA">
      <w:instrText>6</w:instrText>
    </w:r>
    <w:r w:rsidRPr="000C34AA">
      <w:fldChar w:fldCharType="end"/>
    </w:r>
    <w:r w:rsidRPr="000C34AA">
      <w:fldChar w:fldCharType="separate"/>
    </w:r>
    <w:r w:rsidRPr="000C34AA">
      <w:instrText>0,5</w:instrText>
    </w:r>
    <w:r w:rsidRPr="000C34AA">
      <w:fldChar w:fldCharType="end"/>
    </w:r>
    <w:r w:rsidRPr="000C34AA">
      <w:instrText xml:space="preserve"> = 0 "</w:instrText>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instrText>12</w:instrText>
    </w:r>
    <w:r w:rsidRPr="000C34AA">
      <w:fldChar w:fldCharType="end"/>
    </w:r>
  </w:p>
  <w:p w:rsidR="009C332F" w:rsidRPr="000C34AA" w:rsidRDefault="009C332F">
    <w:pPr>
      <w:pStyle w:val="SidfotH"/>
      <w:framePr w:w="8732" w:h="284" w:hRule="exact" w:hSpace="0" w:vSpace="0" w:wrap="around" w:xAlign="inside" w:y="13042" w:anchorLock="0"/>
    </w:pPr>
    <w:r w:rsidRPr="000C34AA">
      <w:instrText>""</w:instrText>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instrText>13</w:instrText>
    </w:r>
    <w:r w:rsidRPr="000C34AA">
      <w:fldChar w:fldCharType="end"/>
    </w:r>
    <w:r w:rsidRPr="000C34AA">
      <w:instrText>"</w:instrText>
    </w:r>
    <w:r w:rsidRPr="000C34AA">
      <w:fldChar w:fldCharType="separate"/>
    </w:r>
    <w:r w:rsidRPr="000C34AA">
      <w:t>13</w:t>
    </w:r>
    <w:r w:rsidRPr="000C34AA">
      <w:fldChar w:fldCharType="end"/>
    </w:r>
  </w:p>
  <w:p w:rsidR="009C332F" w:rsidRPr="000C34AA" w:rsidRDefault="009C332F">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V"/>
      <w:framePr w:w="8732" w:h="284" w:hRule="exact" w:hSpace="0" w:vSpace="0" w:wrap="around" w:xAlign="inside" w:y="13042" w:anchorLock="0"/>
    </w:pP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30</w:t>
    </w:r>
    <w:r w:rsidRPr="000C34AA">
      <w:fldChar w:fldCharType="end"/>
    </w:r>
  </w:p>
  <w:p w:rsidR="009C332F" w:rsidRPr="000C34AA" w:rsidRDefault="009C332F">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H"/>
      <w:framePr w:w="8732" w:h="284" w:hRule="exact" w:hSpace="0" w:vSpace="0" w:wrap="around" w:xAlign="inside" w:y="13042" w:anchorLock="0"/>
    </w:pP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31</w:t>
    </w:r>
    <w:r w:rsidRPr="000C34AA">
      <w:fldChar w:fldCharType="end"/>
    </w:r>
  </w:p>
  <w:p w:rsidR="009C332F" w:rsidRPr="000C34AA" w:rsidRDefault="009C332F">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V"/>
      <w:framePr w:w="8732" w:h="284" w:hRule="exact" w:hSpace="0" w:vSpace="0" w:wrap="around" w:xAlign="inside" w:y="13042" w:anchorLock="0"/>
    </w:pPr>
    <w:r w:rsidRPr="000C34AA">
      <w:fldChar w:fldCharType="begin" w:fldLock="1"/>
    </w:r>
    <w:r w:rsidRPr="000C34AA">
      <w:instrText xml:space="preserve"> if </w:instrText>
    </w:r>
    <w:r w:rsidRPr="000C34AA">
      <w:fldChar w:fldCharType="begin" w:fldLock="1"/>
    </w:r>
    <w:r w:rsidRPr="000C34AA">
      <w:instrText xml:space="preserve"> = </w:instrText>
    </w:r>
    <w:r w:rsidRPr="000C34AA">
      <w:fldChar w:fldCharType="begin" w:fldLock="1"/>
    </w:r>
    <w:r w:rsidRPr="000C34AA">
      <w:instrText xml:space="preserve"> = </w:instrText>
    </w:r>
    <w:r w:rsidRPr="000C34AA">
      <w:fldChar w:fldCharType="begin" w:fldLock="1"/>
    </w:r>
    <w:r w:rsidRPr="000C34AA">
      <w:instrText xml:space="preserve"> page</w:instrText>
    </w:r>
    <w:r w:rsidRPr="000C34AA">
      <w:fldChar w:fldCharType="separate"/>
    </w:r>
    <w:r w:rsidRPr="000C34AA">
      <w:instrText>28</w:instrText>
    </w:r>
    <w:r w:rsidRPr="000C34AA">
      <w:fldChar w:fldCharType="end"/>
    </w:r>
    <w:r w:rsidRPr="000C34AA">
      <w:instrText xml:space="preserve">/2 </w:instrText>
    </w:r>
    <w:r w:rsidRPr="000C34AA">
      <w:fldChar w:fldCharType="separate"/>
    </w:r>
    <w:r w:rsidRPr="000C34AA">
      <w:instrText>14</w:instrText>
    </w:r>
    <w:r w:rsidRPr="000C34AA">
      <w:fldChar w:fldCharType="end"/>
    </w:r>
    <w:r w:rsidRPr="000C34AA">
      <w:instrText xml:space="preserve"> - </w:instrText>
    </w:r>
    <w:r w:rsidRPr="000C34AA">
      <w:fldChar w:fldCharType="begin" w:fldLock="1"/>
    </w:r>
    <w:r w:rsidRPr="000C34AA">
      <w:instrText xml:space="preserve"> = int(</w:instrText>
    </w:r>
    <w:r w:rsidRPr="000C34AA">
      <w:fldChar w:fldCharType="begin" w:fldLock="1"/>
    </w:r>
    <w:r w:rsidRPr="000C34AA">
      <w:instrText xml:space="preserve"> page</w:instrText>
    </w:r>
    <w:r w:rsidRPr="000C34AA">
      <w:fldChar w:fldCharType="separate"/>
    </w:r>
    <w:r w:rsidRPr="000C34AA">
      <w:instrText>28</w:instrText>
    </w:r>
    <w:r w:rsidRPr="000C34AA">
      <w:fldChar w:fldCharType="end"/>
    </w:r>
    <w:r w:rsidRPr="000C34AA">
      <w:instrText xml:space="preserve">/2) </w:instrText>
    </w:r>
    <w:r w:rsidRPr="000C34AA">
      <w:fldChar w:fldCharType="separate"/>
    </w:r>
    <w:r w:rsidRPr="000C34AA">
      <w:instrText>14</w:instrText>
    </w:r>
    <w:r w:rsidRPr="000C34AA">
      <w:fldChar w:fldCharType="end"/>
    </w:r>
    <w:r w:rsidRPr="000C34AA">
      <w:fldChar w:fldCharType="separate"/>
    </w:r>
    <w:r w:rsidRPr="000C34AA">
      <w:instrText>0</w:instrText>
    </w:r>
    <w:r w:rsidRPr="000C34AA">
      <w:fldChar w:fldCharType="end"/>
    </w:r>
    <w:r w:rsidRPr="000C34AA">
      <w:instrText xml:space="preserve"> = 0 "</w:instrText>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instrText>28</w:instrText>
    </w:r>
    <w:r w:rsidRPr="000C34AA">
      <w:fldChar w:fldCharType="end"/>
    </w:r>
  </w:p>
  <w:p w:rsidR="009C332F" w:rsidRPr="000C34AA" w:rsidRDefault="009C332F">
    <w:pPr>
      <w:pStyle w:val="SidfotV"/>
      <w:framePr w:w="8732" w:h="284" w:hRule="exact" w:hSpace="0" w:vSpace="0" w:wrap="around" w:xAlign="inside" w:y="13042" w:anchorLock="0"/>
    </w:pPr>
    <w:r w:rsidRPr="000C34AA">
      <w:instrText>""</w:instrText>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instrText>27</w:instrText>
    </w:r>
    <w:r w:rsidRPr="000C34AA">
      <w:fldChar w:fldCharType="end"/>
    </w:r>
    <w:r w:rsidRPr="000C34AA">
      <w:instrText>"</w:instrText>
    </w:r>
    <w:r w:rsidRPr="000C34AA">
      <w:fldChar w:fldCharType="separate"/>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28</w:t>
    </w:r>
    <w:r w:rsidRPr="000C34AA">
      <w:fldChar w:fldCharType="end"/>
    </w:r>
  </w:p>
  <w:p w:rsidR="009C332F" w:rsidRPr="000C34AA" w:rsidRDefault="009C332F">
    <w:pPr>
      <w:pStyle w:val="SidfotH"/>
      <w:framePr w:w="8732" w:h="284" w:hRule="exact" w:hSpace="0" w:vSpace="0" w:wrap="around" w:xAlign="inside" w:y="13042" w:anchorLock="0"/>
    </w:pPr>
    <w:r w:rsidRPr="000C34AA">
      <w:fldChar w:fldCharType="end"/>
    </w:r>
  </w:p>
  <w:p w:rsidR="009C332F" w:rsidRPr="000C34AA" w:rsidRDefault="009C332F">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V"/>
      <w:framePr w:w="8732" w:h="284" w:hRule="exact" w:hSpace="0" w:vSpace="0" w:wrap="around" w:xAlign="inside" w:y="13042" w:anchorLock="0"/>
    </w:pP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34</w:t>
    </w:r>
    <w:r w:rsidRPr="000C34AA">
      <w:fldChar w:fldCharType="end"/>
    </w:r>
  </w:p>
  <w:p w:rsidR="009C332F" w:rsidRPr="000C34AA" w:rsidRDefault="009C332F">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H"/>
      <w:framePr w:w="8732" w:h="284" w:hRule="exact" w:hSpace="0" w:vSpace="0" w:wrap="around" w:xAlign="inside" w:y="13042" w:anchorLock="0"/>
    </w:pP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33</w:t>
    </w:r>
    <w:r w:rsidRPr="000C34AA">
      <w:fldChar w:fldCharType="end"/>
    </w:r>
  </w:p>
  <w:p w:rsidR="009C332F" w:rsidRPr="000C34AA" w:rsidRDefault="009C332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V"/>
      <w:framePr w:w="8732" w:h="284" w:hRule="exact" w:hSpace="0" w:vSpace="0" w:wrap="around" w:xAlign="inside" w:y="13042" w:anchorLock="0"/>
    </w:pPr>
    <w:r w:rsidRPr="000C34AA">
      <w:fldChar w:fldCharType="begin" w:fldLock="1"/>
    </w:r>
    <w:r w:rsidRPr="000C34AA">
      <w:instrText xml:space="preserve"> if </w:instrText>
    </w:r>
    <w:r w:rsidRPr="000C34AA">
      <w:fldChar w:fldCharType="begin" w:fldLock="1"/>
    </w:r>
    <w:r w:rsidRPr="000C34AA">
      <w:instrText xml:space="preserve"> = </w:instrText>
    </w:r>
    <w:r w:rsidRPr="000C34AA">
      <w:fldChar w:fldCharType="begin" w:fldLock="1"/>
    </w:r>
    <w:r w:rsidRPr="000C34AA">
      <w:instrText xml:space="preserve"> = </w:instrText>
    </w:r>
    <w:r w:rsidRPr="000C34AA">
      <w:fldChar w:fldCharType="begin" w:fldLock="1"/>
    </w:r>
    <w:r w:rsidRPr="000C34AA">
      <w:instrText xml:space="preserve"> page</w:instrText>
    </w:r>
    <w:r w:rsidRPr="000C34AA">
      <w:fldChar w:fldCharType="separate"/>
    </w:r>
    <w:r w:rsidR="000C34AA">
      <w:rPr>
        <w:noProof/>
      </w:rPr>
      <w:instrText>1</w:instrText>
    </w:r>
    <w:r w:rsidRPr="000C34AA">
      <w:fldChar w:fldCharType="end"/>
    </w:r>
    <w:r w:rsidRPr="000C34AA">
      <w:instrText xml:space="preserve">/2 </w:instrText>
    </w:r>
    <w:r w:rsidRPr="000C34AA">
      <w:fldChar w:fldCharType="separate"/>
    </w:r>
    <w:r w:rsidR="000C34AA">
      <w:rPr>
        <w:noProof/>
      </w:rPr>
      <w:instrText>0,5</w:instrText>
    </w:r>
    <w:r w:rsidRPr="000C34AA">
      <w:fldChar w:fldCharType="end"/>
    </w:r>
    <w:r w:rsidRPr="000C34AA">
      <w:instrText xml:space="preserve"> - </w:instrText>
    </w:r>
    <w:r w:rsidRPr="000C34AA">
      <w:fldChar w:fldCharType="begin" w:fldLock="1"/>
    </w:r>
    <w:r w:rsidRPr="000C34AA">
      <w:instrText xml:space="preserve"> = int(</w:instrText>
    </w:r>
    <w:r w:rsidRPr="000C34AA">
      <w:fldChar w:fldCharType="begin" w:fldLock="1"/>
    </w:r>
    <w:r w:rsidRPr="000C34AA">
      <w:instrText xml:space="preserve"> page</w:instrText>
    </w:r>
    <w:r w:rsidRPr="000C34AA">
      <w:fldChar w:fldCharType="separate"/>
    </w:r>
    <w:r w:rsidR="000C34AA">
      <w:rPr>
        <w:noProof/>
      </w:rPr>
      <w:instrText>1</w:instrText>
    </w:r>
    <w:r w:rsidRPr="000C34AA">
      <w:fldChar w:fldCharType="end"/>
    </w:r>
    <w:r w:rsidRPr="000C34AA">
      <w:instrText xml:space="preserve">/2) </w:instrText>
    </w:r>
    <w:r w:rsidRPr="000C34AA">
      <w:fldChar w:fldCharType="separate"/>
    </w:r>
    <w:r w:rsidR="000C34AA">
      <w:rPr>
        <w:noProof/>
      </w:rPr>
      <w:instrText>0</w:instrText>
    </w:r>
    <w:r w:rsidRPr="000C34AA">
      <w:fldChar w:fldCharType="end"/>
    </w:r>
    <w:r w:rsidRPr="000C34AA">
      <w:fldChar w:fldCharType="separate"/>
    </w:r>
    <w:r w:rsidR="000C34AA">
      <w:rPr>
        <w:noProof/>
      </w:rPr>
      <w:instrText>0,5</w:instrText>
    </w:r>
    <w:r w:rsidRPr="000C34AA">
      <w:fldChar w:fldCharType="end"/>
    </w:r>
    <w:r w:rsidRPr="000C34AA">
      <w:instrText xml:space="preserve"> = 0 "</w:instrText>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instrText>14</w:instrText>
    </w:r>
    <w:r w:rsidRPr="000C34AA">
      <w:fldChar w:fldCharType="end"/>
    </w:r>
  </w:p>
  <w:p w:rsidR="009C332F" w:rsidRPr="000C34AA" w:rsidRDefault="009C332F">
    <w:pPr>
      <w:pStyle w:val="SidfotH"/>
      <w:framePr w:w="8732" w:h="284" w:hRule="exact" w:hSpace="0" w:vSpace="0" w:wrap="around" w:xAlign="inside" w:y="13042" w:anchorLock="0"/>
    </w:pPr>
    <w:r w:rsidRPr="000C34AA">
      <w:instrText>""</w:instrText>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000C34AA">
      <w:rPr>
        <w:noProof/>
      </w:rPr>
      <w:instrText>1</w:instrText>
    </w:r>
    <w:r w:rsidRPr="000C34AA">
      <w:fldChar w:fldCharType="end"/>
    </w:r>
    <w:r w:rsidRPr="000C34AA">
      <w:instrText>"</w:instrText>
    </w:r>
    <w:r w:rsidRPr="000C34AA">
      <w:fldChar w:fldCharType="separate"/>
    </w:r>
    <w:r w:rsidR="000C34AA">
      <w:rPr>
        <w:noProof/>
      </w:rPr>
      <w:t>1</w:t>
    </w:r>
    <w:r w:rsidRPr="000C34AA">
      <w:fldChar w:fldCharType="end"/>
    </w:r>
  </w:p>
  <w:p w:rsidR="009C332F" w:rsidRPr="000C34AA" w:rsidRDefault="009C332F">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V"/>
      <w:framePr w:w="8732" w:h="284" w:hRule="exact" w:hSpace="0" w:vSpace="0" w:wrap="around" w:xAlign="inside" w:y="13042" w:anchorLock="0"/>
    </w:pPr>
    <w:r w:rsidRPr="000C34AA">
      <w:fldChar w:fldCharType="begin" w:fldLock="1"/>
    </w:r>
    <w:r w:rsidRPr="000C34AA">
      <w:instrText xml:space="preserve"> if </w:instrText>
    </w:r>
    <w:r w:rsidRPr="000C34AA">
      <w:fldChar w:fldCharType="begin" w:fldLock="1"/>
    </w:r>
    <w:r w:rsidRPr="000C34AA">
      <w:instrText xml:space="preserve"> = </w:instrText>
    </w:r>
    <w:r w:rsidRPr="000C34AA">
      <w:fldChar w:fldCharType="begin" w:fldLock="1"/>
    </w:r>
    <w:r w:rsidRPr="000C34AA">
      <w:instrText xml:space="preserve"> = </w:instrText>
    </w:r>
    <w:r w:rsidRPr="000C34AA">
      <w:fldChar w:fldCharType="begin" w:fldLock="1"/>
    </w:r>
    <w:r w:rsidRPr="000C34AA">
      <w:instrText xml:space="preserve"> page</w:instrText>
    </w:r>
    <w:r w:rsidRPr="000C34AA">
      <w:fldChar w:fldCharType="separate"/>
    </w:r>
    <w:r w:rsidRPr="000C34AA">
      <w:instrText>32</w:instrText>
    </w:r>
    <w:r w:rsidRPr="000C34AA">
      <w:fldChar w:fldCharType="end"/>
    </w:r>
    <w:r w:rsidRPr="000C34AA">
      <w:instrText xml:space="preserve">/2 </w:instrText>
    </w:r>
    <w:r w:rsidRPr="000C34AA">
      <w:fldChar w:fldCharType="separate"/>
    </w:r>
    <w:r w:rsidRPr="000C34AA">
      <w:instrText>16</w:instrText>
    </w:r>
    <w:r w:rsidRPr="000C34AA">
      <w:fldChar w:fldCharType="end"/>
    </w:r>
    <w:r w:rsidRPr="000C34AA">
      <w:instrText xml:space="preserve"> - </w:instrText>
    </w:r>
    <w:r w:rsidRPr="000C34AA">
      <w:fldChar w:fldCharType="begin" w:fldLock="1"/>
    </w:r>
    <w:r w:rsidRPr="000C34AA">
      <w:instrText xml:space="preserve"> = int(</w:instrText>
    </w:r>
    <w:r w:rsidRPr="000C34AA">
      <w:fldChar w:fldCharType="begin" w:fldLock="1"/>
    </w:r>
    <w:r w:rsidRPr="000C34AA">
      <w:instrText xml:space="preserve"> page</w:instrText>
    </w:r>
    <w:r w:rsidRPr="000C34AA">
      <w:fldChar w:fldCharType="separate"/>
    </w:r>
    <w:r w:rsidRPr="000C34AA">
      <w:instrText>32</w:instrText>
    </w:r>
    <w:r w:rsidRPr="000C34AA">
      <w:fldChar w:fldCharType="end"/>
    </w:r>
    <w:r w:rsidRPr="000C34AA">
      <w:instrText xml:space="preserve">/2) </w:instrText>
    </w:r>
    <w:r w:rsidRPr="000C34AA">
      <w:fldChar w:fldCharType="separate"/>
    </w:r>
    <w:r w:rsidRPr="000C34AA">
      <w:instrText>16</w:instrText>
    </w:r>
    <w:r w:rsidRPr="000C34AA">
      <w:fldChar w:fldCharType="end"/>
    </w:r>
    <w:r w:rsidRPr="000C34AA">
      <w:fldChar w:fldCharType="separate"/>
    </w:r>
    <w:r w:rsidRPr="000C34AA">
      <w:instrText>0</w:instrText>
    </w:r>
    <w:r w:rsidRPr="000C34AA">
      <w:fldChar w:fldCharType="end"/>
    </w:r>
    <w:r w:rsidRPr="000C34AA">
      <w:instrText xml:space="preserve"> = 0 "</w:instrText>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instrText>32</w:instrText>
    </w:r>
    <w:r w:rsidRPr="000C34AA">
      <w:fldChar w:fldCharType="end"/>
    </w:r>
  </w:p>
  <w:p w:rsidR="009C332F" w:rsidRPr="000C34AA" w:rsidRDefault="009C332F">
    <w:pPr>
      <w:pStyle w:val="SidfotV"/>
      <w:framePr w:w="8732" w:h="284" w:hRule="exact" w:hSpace="0" w:vSpace="0" w:wrap="around" w:xAlign="inside" w:y="13042" w:anchorLock="0"/>
    </w:pPr>
    <w:r w:rsidRPr="000C34AA">
      <w:instrText>""</w:instrText>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instrText>33</w:instrText>
    </w:r>
    <w:r w:rsidRPr="000C34AA">
      <w:fldChar w:fldCharType="end"/>
    </w:r>
    <w:r w:rsidRPr="000C34AA">
      <w:instrText>"</w:instrText>
    </w:r>
    <w:r w:rsidRPr="000C34AA">
      <w:fldChar w:fldCharType="separate"/>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32</w:t>
    </w:r>
    <w:r w:rsidRPr="000C34AA">
      <w:fldChar w:fldCharType="end"/>
    </w:r>
  </w:p>
  <w:p w:rsidR="009C332F" w:rsidRPr="000C34AA" w:rsidRDefault="009C332F">
    <w:pPr>
      <w:pStyle w:val="SidfotH"/>
      <w:framePr w:w="8732" w:h="284" w:hRule="exact" w:hSpace="0" w:vSpace="0" w:wrap="around" w:xAlign="inside" w:y="13042" w:anchorLock="0"/>
    </w:pPr>
    <w:r w:rsidRPr="000C34AA">
      <w:fldChar w:fldCharType="end"/>
    </w:r>
  </w:p>
  <w:p w:rsidR="009C332F" w:rsidRPr="000C34AA" w:rsidRDefault="009C332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V"/>
      <w:framePr w:w="8732" w:h="284" w:hRule="exact" w:hSpace="0" w:vSpace="0" w:wrap="around" w:xAlign="inside" w:y="13042" w:anchorLock="0"/>
    </w:pP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4</w:t>
    </w:r>
    <w:r w:rsidRPr="000C34AA">
      <w:fldChar w:fldCharType="end"/>
    </w:r>
  </w:p>
  <w:p w:rsidR="009C332F" w:rsidRPr="000C34AA" w:rsidRDefault="009C332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H"/>
      <w:framePr w:w="8732" w:h="284" w:hRule="exact" w:hSpace="0" w:vSpace="0" w:wrap="around" w:xAlign="inside" w:y="13042" w:anchorLock="0"/>
    </w:pP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3</w:t>
    </w:r>
    <w:r w:rsidRPr="000C34AA">
      <w:fldChar w:fldCharType="end"/>
    </w:r>
  </w:p>
  <w:p w:rsidR="009C332F" w:rsidRPr="000C34AA" w:rsidRDefault="009C332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V"/>
      <w:framePr w:w="8732" w:h="284" w:hRule="exact" w:hSpace="0" w:vSpace="0" w:wrap="around" w:xAlign="inside" w:y="13042" w:anchorLock="0"/>
    </w:pPr>
    <w:r w:rsidRPr="000C34AA">
      <w:fldChar w:fldCharType="begin" w:fldLock="1"/>
    </w:r>
    <w:r w:rsidRPr="000C34AA">
      <w:instrText xml:space="preserve"> if </w:instrText>
    </w:r>
    <w:r w:rsidRPr="000C34AA">
      <w:fldChar w:fldCharType="begin" w:fldLock="1"/>
    </w:r>
    <w:r w:rsidRPr="000C34AA">
      <w:instrText xml:space="preserve"> = </w:instrText>
    </w:r>
    <w:r w:rsidRPr="000C34AA">
      <w:fldChar w:fldCharType="begin" w:fldLock="1"/>
    </w:r>
    <w:r w:rsidRPr="000C34AA">
      <w:instrText xml:space="preserve"> = </w:instrText>
    </w:r>
    <w:r w:rsidRPr="000C34AA">
      <w:fldChar w:fldCharType="begin" w:fldLock="1"/>
    </w:r>
    <w:r w:rsidRPr="000C34AA">
      <w:instrText xml:space="preserve"> page</w:instrText>
    </w:r>
    <w:r w:rsidRPr="000C34AA">
      <w:fldChar w:fldCharType="separate"/>
    </w:r>
    <w:r w:rsidRPr="000C34AA">
      <w:instrText>2</w:instrText>
    </w:r>
    <w:r w:rsidRPr="000C34AA">
      <w:fldChar w:fldCharType="end"/>
    </w:r>
    <w:r w:rsidRPr="000C34AA">
      <w:instrText xml:space="preserve">/2 </w:instrText>
    </w:r>
    <w:r w:rsidRPr="000C34AA">
      <w:fldChar w:fldCharType="separate"/>
    </w:r>
    <w:r w:rsidRPr="000C34AA">
      <w:instrText>1</w:instrText>
    </w:r>
    <w:r w:rsidRPr="000C34AA">
      <w:fldChar w:fldCharType="end"/>
    </w:r>
    <w:r w:rsidRPr="000C34AA">
      <w:instrText xml:space="preserve"> - </w:instrText>
    </w:r>
    <w:r w:rsidRPr="000C34AA">
      <w:fldChar w:fldCharType="begin" w:fldLock="1"/>
    </w:r>
    <w:r w:rsidRPr="000C34AA">
      <w:instrText xml:space="preserve"> = int(</w:instrText>
    </w:r>
    <w:r w:rsidRPr="000C34AA">
      <w:fldChar w:fldCharType="begin" w:fldLock="1"/>
    </w:r>
    <w:r w:rsidRPr="000C34AA">
      <w:instrText xml:space="preserve"> page</w:instrText>
    </w:r>
    <w:r w:rsidRPr="000C34AA">
      <w:fldChar w:fldCharType="separate"/>
    </w:r>
    <w:r w:rsidRPr="000C34AA">
      <w:instrText>2</w:instrText>
    </w:r>
    <w:r w:rsidRPr="000C34AA">
      <w:fldChar w:fldCharType="end"/>
    </w:r>
    <w:r w:rsidRPr="000C34AA">
      <w:instrText xml:space="preserve">/2) </w:instrText>
    </w:r>
    <w:r w:rsidRPr="000C34AA">
      <w:fldChar w:fldCharType="separate"/>
    </w:r>
    <w:r w:rsidRPr="000C34AA">
      <w:instrText>1</w:instrText>
    </w:r>
    <w:r w:rsidRPr="000C34AA">
      <w:fldChar w:fldCharType="end"/>
    </w:r>
    <w:r w:rsidRPr="000C34AA">
      <w:fldChar w:fldCharType="separate"/>
    </w:r>
    <w:r w:rsidRPr="000C34AA">
      <w:instrText>0</w:instrText>
    </w:r>
    <w:r w:rsidRPr="000C34AA">
      <w:fldChar w:fldCharType="end"/>
    </w:r>
    <w:r w:rsidRPr="000C34AA">
      <w:instrText xml:space="preserve"> = 0 "</w:instrText>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instrText>2</w:instrText>
    </w:r>
    <w:r w:rsidRPr="000C34AA">
      <w:fldChar w:fldCharType="end"/>
    </w:r>
  </w:p>
  <w:p w:rsidR="009C332F" w:rsidRPr="000C34AA" w:rsidRDefault="009C332F">
    <w:pPr>
      <w:pStyle w:val="SidfotV"/>
      <w:framePr w:w="8732" w:h="284" w:hRule="exact" w:hSpace="0" w:vSpace="0" w:wrap="around" w:xAlign="inside" w:y="13042" w:anchorLock="0"/>
    </w:pPr>
    <w:r w:rsidRPr="000C34AA">
      <w:instrText>""</w:instrText>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instrText>3</w:instrText>
    </w:r>
    <w:r w:rsidRPr="000C34AA">
      <w:fldChar w:fldCharType="end"/>
    </w:r>
    <w:r w:rsidRPr="000C34AA">
      <w:instrText>"</w:instrText>
    </w:r>
    <w:r w:rsidRPr="000C34AA">
      <w:fldChar w:fldCharType="separate"/>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2</w:t>
    </w:r>
    <w:r w:rsidRPr="000C34AA">
      <w:fldChar w:fldCharType="end"/>
    </w:r>
  </w:p>
  <w:p w:rsidR="009C332F" w:rsidRPr="000C34AA" w:rsidRDefault="009C332F">
    <w:pPr>
      <w:pStyle w:val="SidfotH"/>
      <w:framePr w:w="8732" w:h="284" w:hRule="exact" w:hSpace="0" w:vSpace="0" w:wrap="around" w:xAlign="inside" w:y="13042" w:anchorLock="0"/>
    </w:pPr>
    <w:r w:rsidRPr="000C34AA">
      <w:fldChar w:fldCharType="end"/>
    </w:r>
  </w:p>
  <w:p w:rsidR="009C332F" w:rsidRPr="000C34AA" w:rsidRDefault="009C332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V"/>
      <w:framePr w:w="8732" w:h="284" w:hRule="exact" w:hSpace="0" w:vSpace="0" w:wrap="around" w:xAlign="inside" w:y="13042" w:anchorLock="0"/>
    </w:pP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2</w:t>
    </w:r>
    <w:r w:rsidRPr="000C34AA">
      <w:fldChar w:fldCharType="end"/>
    </w:r>
  </w:p>
  <w:p w:rsidR="009C332F" w:rsidRPr="000C34AA" w:rsidRDefault="009C332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H"/>
      <w:framePr w:w="8732" w:h="284" w:hRule="exact" w:hSpace="0" w:vSpace="0" w:wrap="around" w:xAlign="inside" w:y="13042" w:anchorLock="0"/>
    </w:pP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3</w:t>
    </w:r>
    <w:r w:rsidRPr="000C34AA">
      <w:fldChar w:fldCharType="end"/>
    </w:r>
  </w:p>
  <w:p w:rsidR="009C332F" w:rsidRPr="000C34AA" w:rsidRDefault="009C332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fotV"/>
      <w:framePr w:w="8732" w:h="284" w:hRule="exact" w:hSpace="0" w:vSpace="0" w:wrap="around" w:xAlign="inside" w:y="13042" w:anchorLock="0"/>
    </w:pPr>
    <w:r w:rsidRPr="000C34AA">
      <w:fldChar w:fldCharType="begin" w:fldLock="1"/>
    </w:r>
    <w:r w:rsidRPr="000C34AA">
      <w:instrText xml:space="preserve"> if </w:instrText>
    </w:r>
    <w:r w:rsidRPr="000C34AA">
      <w:fldChar w:fldCharType="begin" w:fldLock="1"/>
    </w:r>
    <w:r w:rsidRPr="000C34AA">
      <w:instrText xml:space="preserve"> = </w:instrText>
    </w:r>
    <w:r w:rsidRPr="000C34AA">
      <w:fldChar w:fldCharType="begin" w:fldLock="1"/>
    </w:r>
    <w:r w:rsidRPr="000C34AA">
      <w:instrText xml:space="preserve"> = </w:instrText>
    </w:r>
    <w:r w:rsidRPr="000C34AA">
      <w:fldChar w:fldCharType="begin" w:fldLock="1"/>
    </w:r>
    <w:r w:rsidRPr="000C34AA">
      <w:instrText xml:space="preserve"> page</w:instrText>
    </w:r>
    <w:r w:rsidRPr="000C34AA">
      <w:fldChar w:fldCharType="separate"/>
    </w:r>
    <w:r w:rsidRPr="000C34AA">
      <w:instrText>4</w:instrText>
    </w:r>
    <w:r w:rsidRPr="000C34AA">
      <w:fldChar w:fldCharType="end"/>
    </w:r>
    <w:r w:rsidRPr="000C34AA">
      <w:instrText xml:space="preserve">/2 </w:instrText>
    </w:r>
    <w:r w:rsidRPr="000C34AA">
      <w:fldChar w:fldCharType="separate"/>
    </w:r>
    <w:r w:rsidRPr="000C34AA">
      <w:instrText>2</w:instrText>
    </w:r>
    <w:r w:rsidRPr="000C34AA">
      <w:fldChar w:fldCharType="end"/>
    </w:r>
    <w:r w:rsidRPr="000C34AA">
      <w:instrText xml:space="preserve"> - </w:instrText>
    </w:r>
    <w:r w:rsidRPr="000C34AA">
      <w:fldChar w:fldCharType="begin" w:fldLock="1"/>
    </w:r>
    <w:r w:rsidRPr="000C34AA">
      <w:instrText xml:space="preserve"> = int(</w:instrText>
    </w:r>
    <w:r w:rsidRPr="000C34AA">
      <w:fldChar w:fldCharType="begin" w:fldLock="1"/>
    </w:r>
    <w:r w:rsidRPr="000C34AA">
      <w:instrText xml:space="preserve"> page</w:instrText>
    </w:r>
    <w:r w:rsidRPr="000C34AA">
      <w:fldChar w:fldCharType="separate"/>
    </w:r>
    <w:r w:rsidRPr="000C34AA">
      <w:instrText>4</w:instrText>
    </w:r>
    <w:r w:rsidRPr="000C34AA">
      <w:fldChar w:fldCharType="end"/>
    </w:r>
    <w:r w:rsidRPr="000C34AA">
      <w:instrText xml:space="preserve">/2) </w:instrText>
    </w:r>
    <w:r w:rsidRPr="000C34AA">
      <w:fldChar w:fldCharType="separate"/>
    </w:r>
    <w:r w:rsidRPr="000C34AA">
      <w:instrText>2</w:instrText>
    </w:r>
    <w:r w:rsidRPr="000C34AA">
      <w:fldChar w:fldCharType="end"/>
    </w:r>
    <w:r w:rsidRPr="000C34AA">
      <w:fldChar w:fldCharType="separate"/>
    </w:r>
    <w:r w:rsidRPr="000C34AA">
      <w:instrText>0</w:instrText>
    </w:r>
    <w:r w:rsidRPr="000C34AA">
      <w:fldChar w:fldCharType="end"/>
    </w:r>
    <w:r w:rsidRPr="000C34AA">
      <w:instrText xml:space="preserve"> = 0 "</w:instrText>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instrText>4</w:instrText>
    </w:r>
    <w:r w:rsidRPr="000C34AA">
      <w:fldChar w:fldCharType="end"/>
    </w:r>
  </w:p>
  <w:p w:rsidR="009C332F" w:rsidRPr="000C34AA" w:rsidRDefault="009C332F">
    <w:pPr>
      <w:pStyle w:val="SidfotV"/>
      <w:framePr w:w="8732" w:h="284" w:hRule="exact" w:hSpace="0" w:vSpace="0" w:wrap="around" w:xAlign="inside" w:y="13042" w:anchorLock="0"/>
    </w:pPr>
    <w:r w:rsidRPr="000C34AA">
      <w:instrText>""</w:instrText>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instrText>5</w:instrText>
    </w:r>
    <w:r w:rsidRPr="000C34AA">
      <w:fldChar w:fldCharType="end"/>
    </w:r>
    <w:r w:rsidRPr="000C34AA">
      <w:instrText>"</w:instrText>
    </w:r>
    <w:r w:rsidRPr="000C34AA">
      <w:fldChar w:fldCharType="separate"/>
    </w:r>
    <w:r w:rsidRPr="000C34AA">
      <w:fldChar w:fldCharType="begin" w:fldLock="1"/>
    </w:r>
    <w:r w:rsidRPr="000C34AA">
      <w:instrText xml:space="preserve"> P</w:instrText>
    </w:r>
    <w:r w:rsidRPr="000C34AA">
      <w:instrText>A</w:instrText>
    </w:r>
    <w:r w:rsidRPr="000C34AA">
      <w:instrText xml:space="preserve">GE </w:instrText>
    </w:r>
    <w:r w:rsidRPr="000C34AA">
      <w:fldChar w:fldCharType="separate"/>
    </w:r>
    <w:r w:rsidRPr="000C34AA">
      <w:t>4</w:t>
    </w:r>
    <w:r w:rsidRPr="000C34AA">
      <w:fldChar w:fldCharType="end"/>
    </w:r>
  </w:p>
  <w:p w:rsidR="009C332F" w:rsidRPr="000C34AA" w:rsidRDefault="009C332F">
    <w:pPr>
      <w:pStyle w:val="SidfotH"/>
      <w:framePr w:w="8732" w:h="284" w:hRule="exact" w:hSpace="0" w:vSpace="0" w:wrap="around" w:xAlign="inside" w:y="13042" w:anchorLock="0"/>
    </w:pPr>
    <w:r w:rsidRPr="000C34AA">
      <w:fldChar w:fldCharType="end"/>
    </w:r>
  </w:p>
  <w:p w:rsidR="009C332F" w:rsidRPr="000C34AA" w:rsidRDefault="009C33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332F" w:rsidRPr="000C34AA" w:rsidRDefault="009C332F">
      <w:pPr>
        <w:pStyle w:val="Sidfot"/>
      </w:pPr>
    </w:p>
  </w:footnote>
  <w:footnote w:type="continuationSeparator" w:id="0">
    <w:p w:rsidR="009C332F" w:rsidRPr="000C34AA" w:rsidRDefault="009C332F">
      <w:pPr>
        <w:spacing w:before="0" w:line="240" w:lineRule="auto"/>
      </w:pPr>
      <w:r w:rsidRPr="000C34AA">
        <w:continuationSeparator/>
      </w:r>
    </w:p>
  </w:footnote>
  <w:footnote w:id="1">
    <w:p w:rsidR="009C332F" w:rsidRPr="000C34AA" w:rsidRDefault="009C332F">
      <w:pPr>
        <w:pStyle w:val="Fotnotstext"/>
      </w:pPr>
      <w:r w:rsidRPr="000C34AA">
        <w:rPr>
          <w:rStyle w:val="Fotnotsreferens"/>
        </w:rPr>
        <w:footnoteRef/>
      </w:r>
      <w:r w:rsidRPr="000C34AA">
        <w:t xml:space="preserve"> Lagen har tryckts om 1992:1474.</w:t>
      </w:r>
    </w:p>
  </w:footnote>
  <w:footnote w:id="2">
    <w:p w:rsidR="009C332F" w:rsidRPr="000C34AA" w:rsidRDefault="009C332F">
      <w:pPr>
        <w:pStyle w:val="Fotnotstext"/>
      </w:pPr>
      <w:r w:rsidRPr="000C34AA">
        <w:rPr>
          <w:rStyle w:val="Fotnotsreferens"/>
        </w:rPr>
        <w:footnoteRef/>
      </w:r>
      <w:r w:rsidRPr="000C34AA">
        <w:t xml:space="preserve"> Senaste lydelse 2000:428.</w:t>
      </w:r>
    </w:p>
  </w:footnote>
  <w:footnote w:id="3">
    <w:p w:rsidR="009C332F" w:rsidRPr="000C34AA" w:rsidRDefault="009C332F">
      <w:pPr>
        <w:pStyle w:val="Fotnotstext"/>
      </w:pPr>
      <w:r w:rsidRPr="000C34AA">
        <w:rPr>
          <w:rStyle w:val="Fotnotsreferens"/>
        </w:rPr>
        <w:footnoteRef/>
      </w:r>
      <w:r w:rsidRPr="000C34AA">
        <w:t xml:space="preserve"> Senaste lydelse 2000:432.</w:t>
      </w:r>
    </w:p>
  </w:footnote>
  <w:footnote w:id="4">
    <w:p w:rsidR="009C332F" w:rsidRPr="000C34AA" w:rsidRDefault="009C332F">
      <w:pPr>
        <w:pStyle w:val="Fotnotstext"/>
      </w:pPr>
      <w:r w:rsidRPr="000C34AA">
        <w:rPr>
          <w:rStyle w:val="Fotnotsreferens"/>
        </w:rPr>
        <w:footnoteRef/>
      </w:r>
      <w:r w:rsidRPr="000C34AA">
        <w:t xml:space="preserve"> Senaste lydelse 2001:1001.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Jmn"/>
      <w:framePr w:w="8732" w:h="567" w:hRule="exact" w:vSpace="0" w:wrap="around" w:vAnchor="page" w:y="341" w:anchorLock="0"/>
    </w:pPr>
    <w:r w:rsidRPr="000C34AA">
      <w:rPr>
        <w:rStyle w:val="SidhuvudUtskott"/>
      </w:rPr>
      <w:fldChar w:fldCharType="begin" w:fldLock="1"/>
    </w:r>
    <w:r w:rsidRPr="000C34AA">
      <w:rPr>
        <w:rStyle w:val="SidhuvudUtskott"/>
      </w:rPr>
      <w:instrText xml:space="preserve"> DOCPROPERTY BetänkandeÅr</w:instrText>
    </w:r>
    <w:r w:rsidRPr="000C34AA">
      <w:rPr>
        <w:rStyle w:val="SidhuvudUtskott"/>
      </w:rPr>
      <w:fldChar w:fldCharType="separate"/>
    </w:r>
    <w:r w:rsidRPr="000C34AA">
      <w:rPr>
        <w:rStyle w:val="SidhuvudUtskott"/>
      </w:rPr>
      <w:t>2001/02</w:t>
    </w:r>
    <w:r w:rsidRPr="000C34AA">
      <w:rPr>
        <w:rStyle w:val="SidhuvudUtskott"/>
      </w:rPr>
      <w:fldChar w:fldCharType="end"/>
    </w:r>
    <w:r w:rsidRPr="000C34AA">
      <w:rPr>
        <w:rStyle w:val="SidhuvudUtskott"/>
      </w:rPr>
      <w:t>:</w:t>
    </w:r>
    <w:r w:rsidRPr="000C34AA">
      <w:rPr>
        <w:rStyle w:val="SidhuvudUtskott"/>
      </w:rPr>
      <w:fldChar w:fldCharType="begin" w:fldLock="1"/>
    </w:r>
    <w:r w:rsidRPr="000C34AA">
      <w:rPr>
        <w:rStyle w:val="SidhuvudUtskott"/>
      </w:rPr>
      <w:instrText xml:space="preserve"> DOCPROPERTY Utskott</w:instrText>
    </w:r>
    <w:r w:rsidRPr="000C34AA">
      <w:rPr>
        <w:rStyle w:val="SidhuvudUtskott"/>
      </w:rPr>
      <w:fldChar w:fldCharType="separate"/>
    </w:r>
    <w:r w:rsidRPr="000C34AA">
      <w:rPr>
        <w:rStyle w:val="SidhuvudUtskott"/>
      </w:rPr>
      <w:t>RS</w:t>
    </w:r>
    <w:r w:rsidRPr="000C34AA">
      <w:rPr>
        <w:rStyle w:val="SidhuvudUtskott"/>
      </w:rPr>
      <w:fldChar w:fldCharType="end"/>
    </w:r>
    <w:r w:rsidRPr="000C34AA">
      <w:rPr>
        <w:rStyle w:val="SidhuvudUtskott"/>
      </w:rPr>
      <w:fldChar w:fldCharType="begin" w:fldLock="1"/>
    </w:r>
    <w:r w:rsidRPr="000C34AA">
      <w:rPr>
        <w:rStyle w:val="SidhuvudUtskott"/>
      </w:rPr>
      <w:instrText xml:space="preserve"> DOCPROPERTY BetänkandeNr</w:instrText>
    </w:r>
    <w:r w:rsidRPr="000C34AA">
      <w:rPr>
        <w:rStyle w:val="SidhuvudUtskott"/>
      </w:rPr>
      <w:fldChar w:fldCharType="separate"/>
    </w:r>
    <w:r w:rsidRPr="000C34AA">
      <w:rPr>
        <w:rStyle w:val="SidhuvudUtskott"/>
      </w:rPr>
      <w:t>3</w:t>
    </w:r>
    <w:r w:rsidRPr="000C34AA">
      <w:rPr>
        <w:rStyle w:val="SidhuvudUtskott"/>
      </w:rPr>
      <w:fldChar w:fldCharType="end"/>
    </w:r>
    <w:r w:rsidRPr="000C34AA">
      <w:t xml:space="preserve">     </w:t>
    </w:r>
    <w:r w:rsidRPr="000C34AA">
      <w:rPr>
        <w:rStyle w:val="SidhuvudBilaga"/>
      </w:rPr>
      <w:t xml:space="preserve"> </w:t>
    </w:r>
    <w:r w:rsidRPr="000C34AA">
      <w:rPr>
        <w:rStyle w:val="SidhuvudRubrikReferens"/>
      </w:rPr>
      <w:fldChar w:fldCharType="begin" w:fldLock="1"/>
    </w:r>
    <w:r w:rsidRPr="000C34AA">
      <w:rPr>
        <w:rStyle w:val="SidhuvudRubrikReferens"/>
      </w:rPr>
      <w:instrText xml:space="preserve"> StyleREF "Rubrik 1" </w:instrText>
    </w:r>
    <w:r w:rsidRPr="000C34AA">
      <w:rPr>
        <w:rStyle w:val="SidhuvudRubrikReferens"/>
      </w:rPr>
      <w:fldChar w:fldCharType="separate"/>
    </w:r>
    <w:r w:rsidRPr="000C34AA">
      <w:rPr>
        <w:rStyle w:val="SidhuvudRubrikReferens"/>
      </w:rPr>
      <w:t>Sammanfattning</w:t>
    </w:r>
    <w:r w:rsidRPr="000C34AA">
      <w:rPr>
        <w:rStyle w:val="SidhuvudRubrikReferens"/>
      </w:rPr>
      <w:fldChar w:fldCharType="end"/>
    </w:r>
  </w:p>
  <w:p w:rsidR="009C332F" w:rsidRPr="000C34AA" w:rsidRDefault="009C332F">
    <w:pPr>
      <w:pStyle w:val="SidhuvudKantJmn"/>
      <w:framePr w:w="8732" w:h="567" w:hRule="exact" w:vSpace="0" w:wrap="around" w:vAnchor="page" w:y="341" w:anchorLock="0"/>
    </w:pPr>
    <w:r w:rsidRPr="000C34AA">
      <w:rPr>
        <w:rStyle w:val="SidhuvudUtskott"/>
      </w:rPr>
      <w:fldChar w:fldCharType="begin" w:fldLock="1"/>
    </w:r>
    <w:r w:rsidRPr="000C34AA">
      <w:rPr>
        <w:rStyle w:val="SidhuvudUtskott"/>
      </w:rPr>
      <w:instrText xml:space="preserve"> DOCPROPERTY Status</w:instrText>
    </w:r>
    <w:r w:rsidRPr="000C34AA">
      <w:rPr>
        <w:rStyle w:val="SidhuvudUtskott"/>
      </w:rPr>
      <w:fldChar w:fldCharType="end"/>
    </w:r>
    <w:r w:rsidRPr="000C34AA">
      <w:rPr>
        <w:rStyle w:val="SidhuvudUtskott"/>
      </w:rPr>
      <w:fldChar w:fldCharType="begin" w:fldLock="1"/>
    </w:r>
    <w:r w:rsidRPr="000C34AA">
      <w:rPr>
        <w:rStyle w:val="SidhuvudUtskott"/>
      </w:rPr>
      <w:instrText xml:space="preserve"> if </w:instrText>
    </w:r>
    <w:r w:rsidRPr="000C34AA">
      <w:rPr>
        <w:rStyle w:val="SidhuvudUtskott"/>
      </w:rPr>
      <w:fldChar w:fldCharType="begin" w:fldLock="1"/>
    </w:r>
    <w:r w:rsidRPr="000C34AA">
      <w:rPr>
        <w:rStyle w:val="SidhuvudUtskott"/>
      </w:rPr>
      <w:instrText xml:space="preserve"> DOCPROPERTY "UtkastDatum"</w:instrText>
    </w:r>
    <w:r w:rsidRPr="000C34AA">
      <w:rPr>
        <w:rStyle w:val="SidhuvudUtskott"/>
      </w:rPr>
      <w:fldChar w:fldCharType="separate"/>
    </w:r>
    <w:r w:rsidRPr="000C34AA">
      <w:rPr>
        <w:rStyle w:val="SidhuvudUtskott"/>
      </w:rPr>
      <w:instrText>Nej</w:instrText>
    </w:r>
    <w:r w:rsidRPr="000C34AA">
      <w:rPr>
        <w:rStyle w:val="SidhuvudUtskott"/>
      </w:rPr>
      <w:fldChar w:fldCharType="end"/>
    </w:r>
    <w:r w:rsidRPr="000C34AA">
      <w:rPr>
        <w:rStyle w:val="SidhuvudUtskott"/>
      </w:rPr>
      <w:instrText xml:space="preserve"> = "Ja" "    </w:instrText>
    </w:r>
    <w:r w:rsidRPr="000C34AA">
      <w:rPr>
        <w:rStyle w:val="SidhuvudUtskott"/>
      </w:rPr>
      <w:fldChar w:fldCharType="begin" w:fldLock="1"/>
    </w:r>
    <w:r w:rsidRPr="000C34AA">
      <w:rPr>
        <w:rStyle w:val="SidhuvudUtskott"/>
      </w:rPr>
      <w:instrText xml:space="preserve"> PRINTDATE \@ "yyyy-MM-dd HH.mm" </w:instrText>
    </w:r>
    <w:r w:rsidRPr="000C34AA">
      <w:rPr>
        <w:rStyle w:val="SidhuvudUtskott"/>
      </w:rPr>
      <w:fldChar w:fldCharType="separate"/>
    </w:r>
    <w:r w:rsidRPr="000C34AA">
      <w:rPr>
        <w:rStyle w:val="SidhuvudUtskott"/>
      </w:rPr>
      <w:instrText>2000-08-11 16.42</w:instrText>
    </w:r>
    <w:r w:rsidRPr="000C34AA">
      <w:rPr>
        <w:rStyle w:val="SidhuvudUtskott"/>
      </w:rPr>
      <w:fldChar w:fldCharType="end"/>
    </w:r>
    <w:r w:rsidRPr="000C34AA">
      <w:rPr>
        <w:rStyle w:val="SidhuvudUtskott"/>
      </w:rPr>
      <w:instrText xml:space="preserve">" </w:instrText>
    </w:r>
    <w:r w:rsidRPr="000C34AA">
      <w:rPr>
        <w:rStyle w:val="SidhuvudUtskott"/>
      </w:rPr>
      <w:fldChar w:fldCharType="end"/>
    </w:r>
  </w:p>
  <w:p w:rsidR="009C332F" w:rsidRPr="000C34AA" w:rsidRDefault="009C332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Jmn"/>
      <w:framePr w:w="8732" w:h="567" w:hRule="exact" w:vSpace="0" w:wrap="around" w:vAnchor="page" w:y="341" w:anchorLock="0"/>
    </w:pPr>
    <w:r w:rsidRPr="000C34AA">
      <w:rPr>
        <w:rStyle w:val="SidhuvudUtskott"/>
      </w:rPr>
      <w:fldChar w:fldCharType="begin" w:fldLock="1"/>
    </w:r>
    <w:r w:rsidRPr="000C34AA">
      <w:rPr>
        <w:rStyle w:val="SidhuvudUtskott"/>
      </w:rPr>
      <w:instrText xml:space="preserve"> DOCPROPERTY BetänkandeÅr</w:instrText>
    </w:r>
    <w:r w:rsidRPr="000C34AA">
      <w:rPr>
        <w:rStyle w:val="SidhuvudUtskott"/>
      </w:rPr>
      <w:fldChar w:fldCharType="separate"/>
    </w:r>
    <w:r w:rsidRPr="000C34AA">
      <w:rPr>
        <w:rStyle w:val="SidhuvudUtskott"/>
      </w:rPr>
      <w:t>2001/02</w:t>
    </w:r>
    <w:r w:rsidRPr="000C34AA">
      <w:rPr>
        <w:rStyle w:val="SidhuvudUtskott"/>
      </w:rPr>
      <w:fldChar w:fldCharType="end"/>
    </w:r>
    <w:r w:rsidRPr="000C34AA">
      <w:rPr>
        <w:rStyle w:val="SidhuvudUtskott"/>
      </w:rPr>
      <w:t>:</w:t>
    </w:r>
    <w:r w:rsidRPr="000C34AA">
      <w:rPr>
        <w:rStyle w:val="SidhuvudUtskott"/>
      </w:rPr>
      <w:fldChar w:fldCharType="begin" w:fldLock="1"/>
    </w:r>
    <w:r w:rsidRPr="000C34AA">
      <w:rPr>
        <w:rStyle w:val="SidhuvudUtskott"/>
      </w:rPr>
      <w:instrText xml:space="preserve"> DOCPROPERTY Utskott</w:instrText>
    </w:r>
    <w:r w:rsidRPr="000C34AA">
      <w:rPr>
        <w:rStyle w:val="SidhuvudUtskott"/>
      </w:rPr>
      <w:fldChar w:fldCharType="separate"/>
    </w:r>
    <w:r w:rsidRPr="000C34AA">
      <w:rPr>
        <w:rStyle w:val="SidhuvudUtskott"/>
      </w:rPr>
      <w:t>RS</w:t>
    </w:r>
    <w:r w:rsidRPr="000C34AA">
      <w:rPr>
        <w:rStyle w:val="SidhuvudUtskott"/>
      </w:rPr>
      <w:fldChar w:fldCharType="end"/>
    </w:r>
    <w:r w:rsidRPr="000C34AA">
      <w:rPr>
        <w:rStyle w:val="SidhuvudUtskott"/>
      </w:rPr>
      <w:fldChar w:fldCharType="begin" w:fldLock="1"/>
    </w:r>
    <w:r w:rsidRPr="000C34AA">
      <w:rPr>
        <w:rStyle w:val="SidhuvudUtskott"/>
      </w:rPr>
      <w:instrText xml:space="preserve"> DOCPROPERTY BetänkandeNr</w:instrText>
    </w:r>
    <w:r w:rsidRPr="000C34AA">
      <w:rPr>
        <w:rStyle w:val="SidhuvudUtskott"/>
      </w:rPr>
      <w:fldChar w:fldCharType="separate"/>
    </w:r>
    <w:r w:rsidRPr="000C34AA">
      <w:rPr>
        <w:rStyle w:val="SidhuvudUtskott"/>
      </w:rPr>
      <w:t>3</w:t>
    </w:r>
    <w:r w:rsidRPr="000C34AA">
      <w:rPr>
        <w:rStyle w:val="SidhuvudUtskott"/>
      </w:rPr>
      <w:fldChar w:fldCharType="end"/>
    </w:r>
    <w:r w:rsidRPr="000C34AA">
      <w:t xml:space="preserve">     </w:t>
    </w:r>
    <w:r w:rsidRPr="000C34AA">
      <w:rPr>
        <w:rStyle w:val="SidhuvudBilaga"/>
      </w:rPr>
      <w:t xml:space="preserve"> </w:t>
    </w:r>
    <w:r w:rsidRPr="000C34AA">
      <w:rPr>
        <w:rStyle w:val="SidhuvudRubrikReferens"/>
      </w:rPr>
      <w:fldChar w:fldCharType="begin" w:fldLock="1"/>
    </w:r>
    <w:r w:rsidRPr="000C34AA">
      <w:rPr>
        <w:rStyle w:val="SidhuvudRubrikReferens"/>
      </w:rPr>
      <w:instrText xml:space="preserve"> StyleREF "Rubrik 1" </w:instrText>
    </w:r>
    <w:r w:rsidRPr="000C34AA">
      <w:rPr>
        <w:rStyle w:val="SidhuvudRubrikReferens"/>
      </w:rPr>
      <w:fldChar w:fldCharType="separate"/>
    </w:r>
    <w:r w:rsidRPr="000C34AA">
      <w:rPr>
        <w:rStyle w:val="SidhuvudRubrikReferens"/>
      </w:rPr>
      <w:t>Riksdagsstyrelsens förslag till riksdagsbeslut</w:t>
    </w:r>
    <w:r w:rsidRPr="000C34AA">
      <w:rPr>
        <w:rStyle w:val="SidhuvudRubrikReferens"/>
      </w:rPr>
      <w:fldChar w:fldCharType="end"/>
    </w:r>
  </w:p>
  <w:p w:rsidR="009C332F" w:rsidRPr="000C34AA" w:rsidRDefault="009C332F">
    <w:pPr>
      <w:pStyle w:val="SidhuvudKantJmn"/>
      <w:framePr w:w="8732" w:h="567" w:hRule="exact" w:vSpace="0" w:wrap="around" w:vAnchor="page" w:y="341" w:anchorLock="0"/>
    </w:pPr>
    <w:r w:rsidRPr="000C34AA">
      <w:rPr>
        <w:rStyle w:val="SidhuvudUtskott"/>
      </w:rPr>
      <w:fldChar w:fldCharType="begin" w:fldLock="1"/>
    </w:r>
    <w:r w:rsidRPr="000C34AA">
      <w:rPr>
        <w:rStyle w:val="SidhuvudUtskott"/>
      </w:rPr>
      <w:instrText xml:space="preserve"> DOCPROPERTY Status</w:instrText>
    </w:r>
    <w:r w:rsidRPr="000C34AA">
      <w:rPr>
        <w:rStyle w:val="SidhuvudUtskott"/>
      </w:rPr>
      <w:fldChar w:fldCharType="end"/>
    </w:r>
    <w:r w:rsidRPr="000C34AA">
      <w:rPr>
        <w:rStyle w:val="SidhuvudUtskott"/>
      </w:rPr>
      <w:fldChar w:fldCharType="begin" w:fldLock="1"/>
    </w:r>
    <w:r w:rsidRPr="000C34AA">
      <w:rPr>
        <w:rStyle w:val="SidhuvudUtskott"/>
      </w:rPr>
      <w:instrText xml:space="preserve"> if </w:instrText>
    </w:r>
    <w:r w:rsidRPr="000C34AA">
      <w:rPr>
        <w:rStyle w:val="SidhuvudUtskott"/>
      </w:rPr>
      <w:fldChar w:fldCharType="begin" w:fldLock="1"/>
    </w:r>
    <w:r w:rsidRPr="000C34AA">
      <w:rPr>
        <w:rStyle w:val="SidhuvudUtskott"/>
      </w:rPr>
      <w:instrText xml:space="preserve"> DOCPROPERTY "UtkastDatum"</w:instrText>
    </w:r>
    <w:r w:rsidRPr="000C34AA">
      <w:rPr>
        <w:rStyle w:val="SidhuvudUtskott"/>
      </w:rPr>
      <w:fldChar w:fldCharType="separate"/>
    </w:r>
    <w:r w:rsidRPr="000C34AA">
      <w:rPr>
        <w:rStyle w:val="SidhuvudUtskott"/>
      </w:rPr>
      <w:instrText>Nej</w:instrText>
    </w:r>
    <w:r w:rsidRPr="000C34AA">
      <w:rPr>
        <w:rStyle w:val="SidhuvudUtskott"/>
      </w:rPr>
      <w:fldChar w:fldCharType="end"/>
    </w:r>
    <w:r w:rsidRPr="000C34AA">
      <w:rPr>
        <w:rStyle w:val="SidhuvudUtskott"/>
      </w:rPr>
      <w:instrText xml:space="preserve"> = "Ja" "    </w:instrText>
    </w:r>
    <w:r w:rsidRPr="000C34AA">
      <w:rPr>
        <w:rStyle w:val="SidhuvudUtskott"/>
      </w:rPr>
      <w:fldChar w:fldCharType="begin" w:fldLock="1"/>
    </w:r>
    <w:r w:rsidRPr="000C34AA">
      <w:rPr>
        <w:rStyle w:val="SidhuvudUtskott"/>
      </w:rPr>
      <w:instrText xml:space="preserve"> PRINTDATE \@ "yyyy-MM-dd HH.mm" </w:instrText>
    </w:r>
    <w:r w:rsidRPr="000C34AA">
      <w:rPr>
        <w:rStyle w:val="SidhuvudUtskott"/>
      </w:rPr>
      <w:fldChar w:fldCharType="separate"/>
    </w:r>
    <w:r w:rsidRPr="000C34AA">
      <w:rPr>
        <w:rStyle w:val="SidhuvudUtskott"/>
      </w:rPr>
      <w:instrText>2000-08-11 16.42</w:instrText>
    </w:r>
    <w:r w:rsidRPr="000C34AA">
      <w:rPr>
        <w:rStyle w:val="SidhuvudUtskott"/>
      </w:rPr>
      <w:fldChar w:fldCharType="end"/>
    </w:r>
    <w:r w:rsidRPr="000C34AA">
      <w:rPr>
        <w:rStyle w:val="SidhuvudUtskott"/>
      </w:rPr>
      <w:instrText xml:space="preserve">" </w:instrText>
    </w:r>
    <w:r w:rsidRPr="000C34AA">
      <w:rPr>
        <w:rStyle w:val="SidhuvudUtskott"/>
      </w:rPr>
      <w:fldChar w:fldCharType="end"/>
    </w:r>
  </w:p>
  <w:p w:rsidR="009C332F" w:rsidRPr="000C34AA" w:rsidRDefault="009C332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Udda"/>
      <w:framePr w:w="8732" w:h="567" w:hRule="exact" w:vSpace="0" w:wrap="around" w:vAnchor="page" w:y="341" w:anchorLock="0"/>
    </w:pPr>
    <w:r w:rsidRPr="000C34AA">
      <w:rPr>
        <w:rStyle w:val="SidhuvudRubrikReferens"/>
      </w:rPr>
      <w:fldChar w:fldCharType="begin" w:fldLock="1"/>
    </w:r>
    <w:r w:rsidRPr="000C34AA">
      <w:rPr>
        <w:rStyle w:val="SidhuvudRubrikReferens"/>
      </w:rPr>
      <w:instrText xml:space="preserve"> StyleREF "Rubrik 1" </w:instrText>
    </w:r>
    <w:r w:rsidRPr="000C34AA">
      <w:rPr>
        <w:rStyle w:val="SidhuvudRubrikReferens"/>
      </w:rPr>
      <w:fldChar w:fldCharType="separate"/>
    </w:r>
    <w:r w:rsidRPr="000C34AA">
      <w:rPr>
        <w:rStyle w:val="SidhuvudRubrikReferens"/>
      </w:rPr>
      <w:t>Riksdagsstyrelsens förslag till riksdagsbeslut</w:t>
    </w:r>
    <w:r w:rsidRPr="000C34AA">
      <w:rPr>
        <w:rStyle w:val="SidhuvudRubrikReferens"/>
      </w:rPr>
      <w:fldChar w:fldCharType="end"/>
    </w:r>
    <w:r w:rsidRPr="000C34AA">
      <w:rPr>
        <w:rStyle w:val="SidhuvudBilaga"/>
      </w:rPr>
      <w:t xml:space="preserve"> </w:t>
    </w:r>
    <w:r w:rsidRPr="000C34AA">
      <w:t xml:space="preserve">     </w:t>
    </w:r>
    <w:r w:rsidRPr="000C34AA">
      <w:rPr>
        <w:rStyle w:val="SidhuvudUtskott"/>
      </w:rPr>
      <w:fldChar w:fldCharType="begin" w:fldLock="1"/>
    </w:r>
    <w:r w:rsidRPr="000C34AA">
      <w:rPr>
        <w:rStyle w:val="SidhuvudUtskott"/>
      </w:rPr>
      <w:instrText xml:space="preserve"> DOCPROPERTY BetänkandeÅr</w:instrText>
    </w:r>
    <w:r w:rsidRPr="000C34AA">
      <w:rPr>
        <w:rStyle w:val="SidhuvudUtskott"/>
      </w:rPr>
      <w:fldChar w:fldCharType="separate"/>
    </w:r>
    <w:r w:rsidRPr="000C34AA">
      <w:rPr>
        <w:rStyle w:val="SidhuvudUtskott"/>
      </w:rPr>
      <w:t>2001/02</w:t>
    </w:r>
    <w:r w:rsidRPr="000C34AA">
      <w:rPr>
        <w:rStyle w:val="SidhuvudUtskott"/>
      </w:rPr>
      <w:fldChar w:fldCharType="end"/>
    </w:r>
    <w:r w:rsidRPr="000C34AA">
      <w:rPr>
        <w:rStyle w:val="SidhuvudUtskott"/>
      </w:rPr>
      <w:t>:</w:t>
    </w:r>
    <w:r w:rsidRPr="000C34AA">
      <w:rPr>
        <w:rStyle w:val="SidhuvudUtskott"/>
      </w:rPr>
      <w:fldChar w:fldCharType="begin" w:fldLock="1"/>
    </w:r>
    <w:r w:rsidRPr="000C34AA">
      <w:rPr>
        <w:rStyle w:val="SidhuvudUtskott"/>
      </w:rPr>
      <w:instrText xml:space="preserve"> DOCPROPERTY</w:instrText>
    </w:r>
    <w:r w:rsidRPr="000C34AA">
      <w:instrText xml:space="preserve"> </w:instrText>
    </w:r>
    <w:r w:rsidRPr="000C34AA">
      <w:rPr>
        <w:rStyle w:val="SidhuvudUtskott"/>
      </w:rPr>
      <w:instrText>Utskott</w:instrText>
    </w:r>
    <w:r w:rsidRPr="000C34AA">
      <w:rPr>
        <w:rStyle w:val="SidhuvudUtskott"/>
      </w:rPr>
      <w:fldChar w:fldCharType="separate"/>
    </w:r>
    <w:r w:rsidRPr="000C34AA">
      <w:rPr>
        <w:rStyle w:val="SidhuvudUtskott"/>
      </w:rPr>
      <w:t>RS</w:t>
    </w:r>
    <w:r w:rsidRPr="000C34AA">
      <w:rPr>
        <w:rStyle w:val="SidhuvudUtskott"/>
      </w:rPr>
      <w:fldChar w:fldCharType="end"/>
    </w:r>
    <w:r w:rsidRPr="000C34AA">
      <w:rPr>
        <w:rStyle w:val="SidhuvudUtskott"/>
      </w:rPr>
      <w:fldChar w:fldCharType="begin" w:fldLock="1"/>
    </w:r>
    <w:r w:rsidRPr="000C34AA">
      <w:rPr>
        <w:rStyle w:val="SidhuvudUtskott"/>
      </w:rPr>
      <w:instrText xml:space="preserve"> DOCPROPERTY Betä</w:instrText>
    </w:r>
    <w:r w:rsidRPr="000C34AA">
      <w:rPr>
        <w:rStyle w:val="SidhuvudUtskott"/>
      </w:rPr>
      <w:instrText>n</w:instrText>
    </w:r>
    <w:r w:rsidRPr="000C34AA">
      <w:rPr>
        <w:rStyle w:val="SidhuvudUtskott"/>
      </w:rPr>
      <w:instrText>kandeNr</w:instrText>
    </w:r>
    <w:r w:rsidRPr="000C34AA">
      <w:rPr>
        <w:rStyle w:val="SidhuvudUtskott"/>
      </w:rPr>
      <w:fldChar w:fldCharType="separate"/>
    </w:r>
    <w:r w:rsidRPr="000C34AA">
      <w:rPr>
        <w:rStyle w:val="SidhuvudUtskott"/>
      </w:rPr>
      <w:t>3</w:t>
    </w:r>
    <w:r w:rsidRPr="000C34AA">
      <w:rPr>
        <w:rStyle w:val="SidhuvudUtskott"/>
      </w:rPr>
      <w:fldChar w:fldCharType="end"/>
    </w:r>
  </w:p>
  <w:p w:rsidR="009C332F" w:rsidRPr="000C34AA" w:rsidRDefault="009C332F">
    <w:pPr>
      <w:pStyle w:val="SidhuvudKantUdda"/>
      <w:framePr w:w="8732" w:h="567" w:hRule="exact" w:vSpace="0" w:wrap="around" w:vAnchor="page" w:y="341" w:anchorLock="0"/>
    </w:pPr>
    <w:r w:rsidRPr="000C34AA">
      <w:rPr>
        <w:rStyle w:val="SidhuvudUtskott"/>
      </w:rPr>
      <w:fldChar w:fldCharType="begin" w:fldLock="1"/>
    </w:r>
    <w:r w:rsidRPr="000C34AA">
      <w:rPr>
        <w:rStyle w:val="SidhuvudUtskott"/>
      </w:rPr>
      <w:instrText xml:space="preserve"> if </w:instrText>
    </w:r>
    <w:r w:rsidRPr="000C34AA">
      <w:rPr>
        <w:rStyle w:val="SidhuvudUtskott"/>
      </w:rPr>
      <w:fldChar w:fldCharType="begin" w:fldLock="1"/>
    </w:r>
    <w:r w:rsidRPr="000C34AA">
      <w:rPr>
        <w:rStyle w:val="SidhuvudUtskott"/>
      </w:rPr>
      <w:instrText xml:space="preserve"> DOCPROPERTY "UtkastDatum"</w:instrText>
    </w:r>
    <w:r w:rsidRPr="000C34AA">
      <w:rPr>
        <w:rStyle w:val="SidhuvudUtskott"/>
      </w:rPr>
      <w:fldChar w:fldCharType="separate"/>
    </w:r>
    <w:r w:rsidRPr="000C34AA">
      <w:rPr>
        <w:rStyle w:val="SidhuvudUtskott"/>
      </w:rPr>
      <w:instrText>Nej</w:instrText>
    </w:r>
    <w:r w:rsidRPr="000C34AA">
      <w:rPr>
        <w:rStyle w:val="SidhuvudUtskott"/>
      </w:rPr>
      <w:fldChar w:fldCharType="end"/>
    </w:r>
    <w:r w:rsidRPr="000C34AA">
      <w:rPr>
        <w:rStyle w:val="SidhuvudUtskott"/>
      </w:rPr>
      <w:instrText xml:space="preserve"> = "Ja" "</w:instrText>
    </w:r>
    <w:r w:rsidRPr="000C34AA">
      <w:rPr>
        <w:rStyle w:val="SidhuvudUtskott"/>
      </w:rPr>
      <w:fldChar w:fldCharType="begin" w:fldLock="1"/>
    </w:r>
    <w:r w:rsidRPr="000C34AA">
      <w:rPr>
        <w:rStyle w:val="SidhuvudUtskott"/>
      </w:rPr>
      <w:instrText xml:space="preserve"> PRINTDATE \@ "yyyy-MM-dd HH.mm    " </w:instrText>
    </w:r>
    <w:r w:rsidRPr="000C34AA">
      <w:rPr>
        <w:rStyle w:val="SidhuvudUtskott"/>
      </w:rPr>
      <w:fldChar w:fldCharType="separate"/>
    </w:r>
    <w:r w:rsidRPr="000C34AA">
      <w:rPr>
        <w:rStyle w:val="SidhuvudUtskott"/>
      </w:rPr>
      <w:instrText>2000-08-11 16.42</w:instrText>
    </w:r>
    <w:r w:rsidRPr="000C34AA">
      <w:rPr>
        <w:rStyle w:val="SidhuvudUtskott"/>
      </w:rPr>
      <w:fldChar w:fldCharType="end"/>
    </w:r>
    <w:r w:rsidRPr="000C34AA">
      <w:rPr>
        <w:rStyle w:val="SidhuvudUtskott"/>
      </w:rPr>
      <w:instrText xml:space="preserve">" </w:instrText>
    </w:r>
    <w:r w:rsidRPr="000C34AA">
      <w:rPr>
        <w:rStyle w:val="SidhuvudUtskott"/>
      </w:rPr>
      <w:fldChar w:fldCharType="end"/>
    </w:r>
    <w:r w:rsidRPr="000C34AA">
      <w:rPr>
        <w:rStyle w:val="SidhuvudUtskott"/>
      </w:rPr>
      <w:fldChar w:fldCharType="begin" w:fldLock="1"/>
    </w:r>
    <w:r w:rsidRPr="000C34AA">
      <w:rPr>
        <w:rStyle w:val="SidhuvudUtskott"/>
      </w:rPr>
      <w:instrText xml:space="preserve"> DOCPR</w:instrText>
    </w:r>
    <w:r w:rsidRPr="000C34AA">
      <w:rPr>
        <w:rStyle w:val="SidhuvudUtskott"/>
      </w:rPr>
      <w:instrText>O</w:instrText>
    </w:r>
    <w:r w:rsidRPr="000C34AA">
      <w:rPr>
        <w:rStyle w:val="SidhuvudUtskott"/>
      </w:rPr>
      <w:instrText>PERTY Status</w:instrText>
    </w:r>
    <w:r w:rsidRPr="000C34AA">
      <w:rPr>
        <w:rStyle w:val="SidhuvudUtskott"/>
      </w:rPr>
      <w:fldChar w:fldCharType="end"/>
    </w:r>
  </w:p>
  <w:p w:rsidR="009C332F" w:rsidRPr="000C34AA" w:rsidRDefault="009C332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Udda"/>
      <w:framePr w:w="8732" w:h="567" w:hRule="exact" w:vSpace="0" w:wrap="around" w:vAnchor="page" w:y="341" w:anchorLock="0"/>
    </w:pPr>
    <w:r w:rsidRPr="000C34AA">
      <w:t xml:space="preserve">  </w:t>
    </w:r>
    <w:r w:rsidRPr="000C34AA">
      <w:rPr>
        <w:rStyle w:val="SidhuvudUtskott"/>
      </w:rPr>
      <w:t>2001/02:RS3</w:t>
    </w:r>
  </w:p>
  <w:p w:rsidR="009C332F" w:rsidRPr="000C34AA" w:rsidRDefault="009C332F">
    <w:pPr>
      <w:pStyle w:val="SidhuvudKantUdda"/>
      <w:framePr w:w="8732" w:h="567" w:hRule="exact" w:vSpace="0" w:wrap="around" w:vAnchor="page" w:y="341" w:anchorLock="0"/>
    </w:pPr>
  </w:p>
  <w:p w:rsidR="009C332F" w:rsidRPr="000C34AA" w:rsidRDefault="009C332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Jmn"/>
      <w:framePr w:w="8732" w:h="567" w:hRule="exact" w:vSpace="0" w:wrap="around" w:vAnchor="page" w:y="341" w:anchorLock="0"/>
    </w:pPr>
    <w:r w:rsidRPr="000C34AA">
      <w:rPr>
        <w:rStyle w:val="SidhuvudUtskott"/>
      </w:rPr>
      <w:t>2001/02:RS3</w:t>
    </w:r>
    <w:r w:rsidRPr="000C34AA">
      <w:t xml:space="preserve">     </w:t>
    </w:r>
    <w:r w:rsidRPr="000C34AA">
      <w:rPr>
        <w:rStyle w:val="SidhuvudBilaga"/>
      </w:rPr>
      <w:t xml:space="preserve"> </w:t>
    </w:r>
    <w:r w:rsidRPr="000C34AA">
      <w:rPr>
        <w:rStyle w:val="SidhuvudRubrikReferens"/>
      </w:rPr>
      <w:t>2 Det nuvarande systemet</w:t>
    </w:r>
  </w:p>
  <w:p w:rsidR="009C332F" w:rsidRPr="000C34AA" w:rsidRDefault="009C332F">
    <w:pPr>
      <w:pStyle w:val="SidhuvudKantJmn"/>
      <w:framePr w:w="8732" w:h="567" w:hRule="exact" w:vSpace="0" w:wrap="around" w:vAnchor="page" w:y="341" w:anchorLock="0"/>
    </w:pPr>
  </w:p>
  <w:p w:rsidR="009C332F" w:rsidRPr="000C34AA" w:rsidRDefault="009C332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Udda"/>
      <w:framePr w:w="8732" w:h="567" w:hRule="exact" w:vSpace="0" w:wrap="around" w:vAnchor="page" w:y="341" w:anchorLock="0"/>
    </w:pPr>
    <w:r w:rsidRPr="000C34AA">
      <w:rPr>
        <w:rStyle w:val="SidhuvudRubrikReferens"/>
      </w:rPr>
      <w:t>2 Det nuvarande systemet</w:t>
    </w:r>
    <w:r w:rsidRPr="000C34AA">
      <w:rPr>
        <w:rStyle w:val="SidhuvudBilaga"/>
      </w:rPr>
      <w:t xml:space="preserve"> </w:t>
    </w:r>
    <w:r w:rsidRPr="000C34AA">
      <w:t xml:space="preserve">     </w:t>
    </w:r>
    <w:r w:rsidRPr="000C34AA">
      <w:rPr>
        <w:rStyle w:val="SidhuvudUtskott"/>
      </w:rPr>
      <w:t>2001/02:RS3</w:t>
    </w:r>
  </w:p>
  <w:p w:rsidR="009C332F" w:rsidRPr="000C34AA" w:rsidRDefault="009C332F">
    <w:pPr>
      <w:pStyle w:val="SidhuvudKantUdda"/>
      <w:framePr w:w="8732" w:h="567" w:hRule="exact" w:vSpace="0" w:wrap="around" w:vAnchor="page" w:y="341" w:anchorLock="0"/>
    </w:pPr>
  </w:p>
  <w:p w:rsidR="009C332F" w:rsidRPr="000C34AA" w:rsidRDefault="009C332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Jmn"/>
      <w:framePr w:w="8732" w:h="567" w:hRule="exact" w:vSpace="0" w:wrap="around" w:vAnchor="page" w:y="341" w:anchorLock="0"/>
    </w:pPr>
    <w:r w:rsidRPr="000C34AA">
      <w:rPr>
        <w:rStyle w:val="SidhuvudUtskott"/>
      </w:rPr>
      <w:t>2001/02:RS3</w:t>
    </w:r>
    <w:r w:rsidRPr="000C34AA">
      <w:t xml:space="preserve">    </w:t>
    </w:r>
  </w:p>
  <w:p w:rsidR="009C332F" w:rsidRPr="000C34AA" w:rsidRDefault="009C332F">
    <w:pPr>
      <w:pStyle w:val="SidhuvudKantJmn"/>
      <w:framePr w:w="8732" w:h="567" w:hRule="exact" w:vSpace="0" w:wrap="around" w:vAnchor="page" w:y="341" w:anchorLock="0"/>
    </w:pPr>
  </w:p>
  <w:p w:rsidR="009C332F" w:rsidRPr="000C34AA" w:rsidRDefault="009C332F">
    <w:pPr>
      <w:pStyle w:val="SidhuvudKantUdda"/>
      <w:framePr w:w="8732" w:h="567" w:hRule="exact" w:vSpace="0" w:wrap="around" w:vAnchor="page" w:y="341" w:anchorLock="0"/>
    </w:pPr>
    <w:r w:rsidRPr="000C34AA">
      <w:rPr>
        <w:rStyle w:val="SidhuvudRubrikReferens"/>
        <w:smallCaps w:val="0"/>
        <w:spacing w:val="0"/>
        <w:sz w:val="19"/>
      </w:rPr>
      <w:t xml:space="preserve"> </w:t>
    </w:r>
  </w:p>
  <w:p w:rsidR="009C332F" w:rsidRPr="000C34AA" w:rsidRDefault="009C332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Jmn"/>
      <w:framePr w:w="8732" w:h="567" w:hRule="exact" w:vSpace="0" w:wrap="around" w:vAnchor="page" w:y="341" w:anchorLock="0"/>
    </w:pPr>
    <w:r w:rsidRPr="000C34AA">
      <w:rPr>
        <w:rStyle w:val="SidhuvudUtskott"/>
      </w:rPr>
      <w:fldChar w:fldCharType="begin" w:fldLock="1"/>
    </w:r>
    <w:r w:rsidRPr="000C34AA">
      <w:rPr>
        <w:rStyle w:val="SidhuvudUtskott"/>
      </w:rPr>
      <w:instrText xml:space="preserve"> DOCPROPERTY BetänkandeÅr</w:instrText>
    </w:r>
    <w:r w:rsidRPr="000C34AA">
      <w:rPr>
        <w:rStyle w:val="SidhuvudUtskott"/>
      </w:rPr>
      <w:fldChar w:fldCharType="separate"/>
    </w:r>
    <w:r w:rsidRPr="000C34AA">
      <w:rPr>
        <w:rStyle w:val="SidhuvudUtskott"/>
      </w:rPr>
      <w:t>2001/02</w:t>
    </w:r>
    <w:r w:rsidRPr="000C34AA">
      <w:rPr>
        <w:rStyle w:val="SidhuvudUtskott"/>
      </w:rPr>
      <w:fldChar w:fldCharType="end"/>
    </w:r>
    <w:r w:rsidRPr="000C34AA">
      <w:rPr>
        <w:rStyle w:val="SidhuvudUtskott"/>
      </w:rPr>
      <w:t>:</w:t>
    </w:r>
    <w:r w:rsidRPr="000C34AA">
      <w:rPr>
        <w:rStyle w:val="SidhuvudUtskott"/>
      </w:rPr>
      <w:fldChar w:fldCharType="begin" w:fldLock="1"/>
    </w:r>
    <w:r w:rsidRPr="000C34AA">
      <w:rPr>
        <w:rStyle w:val="SidhuvudUtskott"/>
      </w:rPr>
      <w:instrText xml:space="preserve"> DOCPROPERTY Utskott</w:instrText>
    </w:r>
    <w:r w:rsidRPr="000C34AA">
      <w:rPr>
        <w:rStyle w:val="SidhuvudUtskott"/>
      </w:rPr>
      <w:fldChar w:fldCharType="separate"/>
    </w:r>
    <w:r w:rsidRPr="000C34AA">
      <w:rPr>
        <w:rStyle w:val="SidhuvudUtskott"/>
      </w:rPr>
      <w:t>RS</w:t>
    </w:r>
    <w:r w:rsidRPr="000C34AA">
      <w:rPr>
        <w:rStyle w:val="SidhuvudUtskott"/>
      </w:rPr>
      <w:fldChar w:fldCharType="end"/>
    </w:r>
    <w:r w:rsidRPr="000C34AA">
      <w:rPr>
        <w:rStyle w:val="SidhuvudUtskott"/>
      </w:rPr>
      <w:fldChar w:fldCharType="begin" w:fldLock="1"/>
    </w:r>
    <w:r w:rsidRPr="000C34AA">
      <w:rPr>
        <w:rStyle w:val="SidhuvudUtskott"/>
      </w:rPr>
      <w:instrText xml:space="preserve"> DOCPROPERTY BetänkandeNr</w:instrText>
    </w:r>
    <w:r w:rsidRPr="000C34AA">
      <w:rPr>
        <w:rStyle w:val="SidhuvudUtskott"/>
      </w:rPr>
      <w:fldChar w:fldCharType="separate"/>
    </w:r>
    <w:r w:rsidRPr="000C34AA">
      <w:rPr>
        <w:rStyle w:val="SidhuvudUtskott"/>
      </w:rPr>
      <w:t>3</w:t>
    </w:r>
    <w:r w:rsidRPr="000C34AA">
      <w:rPr>
        <w:rStyle w:val="SidhuvudUtskott"/>
      </w:rPr>
      <w:fldChar w:fldCharType="end"/>
    </w:r>
    <w:r w:rsidRPr="000C34AA">
      <w:t xml:space="preserve">     </w:t>
    </w:r>
    <w:r w:rsidRPr="000C34AA">
      <w:rPr>
        <w:rStyle w:val="SidhuvudBilaga"/>
      </w:rPr>
      <w:t xml:space="preserve"> </w:t>
    </w:r>
    <w:r w:rsidRPr="000C34AA">
      <w:rPr>
        <w:rStyle w:val="SidhuvudRubrikReferens"/>
      </w:rPr>
      <w:fldChar w:fldCharType="begin" w:fldLock="1"/>
    </w:r>
    <w:r w:rsidRPr="000C34AA">
      <w:rPr>
        <w:rStyle w:val="SidhuvudRubrikReferens"/>
      </w:rPr>
      <w:instrText xml:space="preserve"> StyleREF "Rubrik 1" </w:instrText>
    </w:r>
    <w:r w:rsidRPr="000C34AA">
      <w:rPr>
        <w:rStyle w:val="SidhuvudRubrikReferens"/>
      </w:rPr>
      <w:fldChar w:fldCharType="separate"/>
    </w:r>
    <w:r w:rsidRPr="000C34AA">
      <w:rPr>
        <w:rStyle w:val="SidhuvudRubrikReferens"/>
      </w:rPr>
      <w:t>2 Det nuvarande systemet</w:t>
    </w:r>
    <w:r w:rsidRPr="000C34AA">
      <w:rPr>
        <w:rStyle w:val="SidhuvudRubrikReferens"/>
      </w:rPr>
      <w:fldChar w:fldCharType="end"/>
    </w:r>
  </w:p>
  <w:p w:rsidR="009C332F" w:rsidRPr="000C34AA" w:rsidRDefault="009C332F">
    <w:pPr>
      <w:pStyle w:val="SidhuvudKantJmn"/>
      <w:framePr w:w="8732" w:h="567" w:hRule="exact" w:vSpace="0" w:wrap="around" w:vAnchor="page" w:y="341" w:anchorLock="0"/>
    </w:pPr>
    <w:r w:rsidRPr="000C34AA">
      <w:rPr>
        <w:rStyle w:val="SidhuvudUtskott"/>
      </w:rPr>
      <w:fldChar w:fldCharType="begin" w:fldLock="1"/>
    </w:r>
    <w:r w:rsidRPr="000C34AA">
      <w:rPr>
        <w:rStyle w:val="SidhuvudUtskott"/>
      </w:rPr>
      <w:instrText xml:space="preserve"> DOCPROPERTY Status</w:instrText>
    </w:r>
    <w:r w:rsidRPr="000C34AA">
      <w:rPr>
        <w:rStyle w:val="SidhuvudUtskott"/>
      </w:rPr>
      <w:fldChar w:fldCharType="end"/>
    </w:r>
    <w:r w:rsidRPr="000C34AA">
      <w:rPr>
        <w:rStyle w:val="SidhuvudUtskott"/>
      </w:rPr>
      <w:fldChar w:fldCharType="begin" w:fldLock="1"/>
    </w:r>
    <w:r w:rsidRPr="000C34AA">
      <w:rPr>
        <w:rStyle w:val="SidhuvudUtskott"/>
      </w:rPr>
      <w:instrText xml:space="preserve"> if </w:instrText>
    </w:r>
    <w:r w:rsidRPr="000C34AA">
      <w:rPr>
        <w:rStyle w:val="SidhuvudUtskott"/>
      </w:rPr>
      <w:fldChar w:fldCharType="begin" w:fldLock="1"/>
    </w:r>
    <w:r w:rsidRPr="000C34AA">
      <w:rPr>
        <w:rStyle w:val="SidhuvudUtskott"/>
      </w:rPr>
      <w:instrText xml:space="preserve"> DOCPROPERTY "UtkastDatum"</w:instrText>
    </w:r>
    <w:r w:rsidRPr="000C34AA">
      <w:rPr>
        <w:rStyle w:val="SidhuvudUtskott"/>
      </w:rPr>
      <w:fldChar w:fldCharType="separate"/>
    </w:r>
    <w:r w:rsidRPr="000C34AA">
      <w:rPr>
        <w:rStyle w:val="SidhuvudUtskott"/>
      </w:rPr>
      <w:instrText>Nej</w:instrText>
    </w:r>
    <w:r w:rsidRPr="000C34AA">
      <w:rPr>
        <w:rStyle w:val="SidhuvudUtskott"/>
      </w:rPr>
      <w:fldChar w:fldCharType="end"/>
    </w:r>
    <w:r w:rsidRPr="000C34AA">
      <w:rPr>
        <w:rStyle w:val="SidhuvudUtskott"/>
      </w:rPr>
      <w:instrText xml:space="preserve"> = "Ja" "    </w:instrText>
    </w:r>
    <w:r w:rsidRPr="000C34AA">
      <w:rPr>
        <w:rStyle w:val="SidhuvudUtskott"/>
      </w:rPr>
      <w:fldChar w:fldCharType="begin" w:fldLock="1"/>
    </w:r>
    <w:r w:rsidRPr="000C34AA">
      <w:rPr>
        <w:rStyle w:val="SidhuvudUtskott"/>
      </w:rPr>
      <w:instrText xml:space="preserve"> PRINTDATE \@ "yyyy-MM-dd HH.mm" </w:instrText>
    </w:r>
    <w:r w:rsidRPr="000C34AA">
      <w:rPr>
        <w:rStyle w:val="SidhuvudUtskott"/>
      </w:rPr>
      <w:fldChar w:fldCharType="separate"/>
    </w:r>
    <w:r w:rsidRPr="000C34AA">
      <w:rPr>
        <w:rStyle w:val="SidhuvudUtskott"/>
      </w:rPr>
      <w:instrText>2000-08-11 16.42</w:instrText>
    </w:r>
    <w:r w:rsidRPr="000C34AA">
      <w:rPr>
        <w:rStyle w:val="SidhuvudUtskott"/>
      </w:rPr>
      <w:fldChar w:fldCharType="end"/>
    </w:r>
    <w:r w:rsidRPr="000C34AA">
      <w:rPr>
        <w:rStyle w:val="SidhuvudUtskott"/>
      </w:rPr>
      <w:instrText xml:space="preserve">" </w:instrText>
    </w:r>
    <w:r w:rsidRPr="000C34AA">
      <w:rPr>
        <w:rStyle w:val="SidhuvudUtskott"/>
      </w:rPr>
      <w:fldChar w:fldCharType="end"/>
    </w:r>
  </w:p>
  <w:p w:rsidR="009C332F" w:rsidRPr="000C34AA" w:rsidRDefault="009C332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Udda"/>
      <w:framePr w:w="8732" w:h="567" w:hRule="exact" w:vSpace="0" w:wrap="around" w:vAnchor="page" w:y="341" w:anchorLock="0"/>
    </w:pPr>
    <w:r w:rsidRPr="000C34AA">
      <w:rPr>
        <w:rStyle w:val="SidhuvudRubrikReferens"/>
      </w:rPr>
      <w:fldChar w:fldCharType="begin" w:fldLock="1"/>
    </w:r>
    <w:r w:rsidRPr="000C34AA">
      <w:rPr>
        <w:rStyle w:val="SidhuvudRubrikReferens"/>
      </w:rPr>
      <w:instrText xml:space="preserve"> StyleREF "Rubrik 1" </w:instrText>
    </w:r>
    <w:r w:rsidRPr="000C34AA">
      <w:rPr>
        <w:rStyle w:val="SidhuvudRubrikReferens"/>
      </w:rPr>
      <w:fldChar w:fldCharType="separate"/>
    </w:r>
    <w:r w:rsidRPr="000C34AA">
      <w:rPr>
        <w:rStyle w:val="SidhuvudRubrikReferens"/>
      </w:rPr>
      <w:t>2 Det nuvarande systemet</w:t>
    </w:r>
    <w:r w:rsidRPr="000C34AA">
      <w:rPr>
        <w:rStyle w:val="SidhuvudRubrikReferens"/>
      </w:rPr>
      <w:fldChar w:fldCharType="end"/>
    </w:r>
    <w:r w:rsidRPr="000C34AA">
      <w:rPr>
        <w:rStyle w:val="SidhuvudBilaga"/>
      </w:rPr>
      <w:t xml:space="preserve"> </w:t>
    </w:r>
    <w:r w:rsidRPr="000C34AA">
      <w:t xml:space="preserve">     </w:t>
    </w:r>
    <w:r w:rsidRPr="000C34AA">
      <w:rPr>
        <w:rStyle w:val="SidhuvudUtskott"/>
      </w:rPr>
      <w:fldChar w:fldCharType="begin" w:fldLock="1"/>
    </w:r>
    <w:r w:rsidRPr="000C34AA">
      <w:rPr>
        <w:rStyle w:val="SidhuvudUtskott"/>
      </w:rPr>
      <w:instrText xml:space="preserve"> DOCPROPERTY BetänkandeÅr</w:instrText>
    </w:r>
    <w:r w:rsidRPr="000C34AA">
      <w:rPr>
        <w:rStyle w:val="SidhuvudUtskott"/>
      </w:rPr>
      <w:fldChar w:fldCharType="separate"/>
    </w:r>
    <w:r w:rsidRPr="000C34AA">
      <w:rPr>
        <w:rStyle w:val="SidhuvudUtskott"/>
      </w:rPr>
      <w:t>2001/02</w:t>
    </w:r>
    <w:r w:rsidRPr="000C34AA">
      <w:rPr>
        <w:rStyle w:val="SidhuvudUtskott"/>
      </w:rPr>
      <w:fldChar w:fldCharType="end"/>
    </w:r>
    <w:r w:rsidRPr="000C34AA">
      <w:rPr>
        <w:rStyle w:val="SidhuvudUtskott"/>
      </w:rPr>
      <w:t>:</w:t>
    </w:r>
    <w:r w:rsidRPr="000C34AA">
      <w:rPr>
        <w:rStyle w:val="SidhuvudUtskott"/>
      </w:rPr>
      <w:fldChar w:fldCharType="begin" w:fldLock="1"/>
    </w:r>
    <w:r w:rsidRPr="000C34AA">
      <w:rPr>
        <w:rStyle w:val="SidhuvudUtskott"/>
      </w:rPr>
      <w:instrText xml:space="preserve"> DOCPROPERTY</w:instrText>
    </w:r>
    <w:r w:rsidRPr="000C34AA">
      <w:instrText xml:space="preserve"> </w:instrText>
    </w:r>
    <w:r w:rsidRPr="000C34AA">
      <w:rPr>
        <w:rStyle w:val="SidhuvudUtskott"/>
      </w:rPr>
      <w:instrText>Utskott</w:instrText>
    </w:r>
    <w:r w:rsidRPr="000C34AA">
      <w:rPr>
        <w:rStyle w:val="SidhuvudUtskott"/>
      </w:rPr>
      <w:fldChar w:fldCharType="separate"/>
    </w:r>
    <w:r w:rsidRPr="000C34AA">
      <w:rPr>
        <w:rStyle w:val="SidhuvudUtskott"/>
      </w:rPr>
      <w:t>RS</w:t>
    </w:r>
    <w:r w:rsidRPr="000C34AA">
      <w:rPr>
        <w:rStyle w:val="SidhuvudUtskott"/>
      </w:rPr>
      <w:fldChar w:fldCharType="end"/>
    </w:r>
    <w:r w:rsidRPr="000C34AA">
      <w:rPr>
        <w:rStyle w:val="SidhuvudUtskott"/>
      </w:rPr>
      <w:fldChar w:fldCharType="begin" w:fldLock="1"/>
    </w:r>
    <w:r w:rsidRPr="000C34AA">
      <w:rPr>
        <w:rStyle w:val="SidhuvudUtskott"/>
      </w:rPr>
      <w:instrText xml:space="preserve"> DOCPROPERTY Betä</w:instrText>
    </w:r>
    <w:r w:rsidRPr="000C34AA">
      <w:rPr>
        <w:rStyle w:val="SidhuvudUtskott"/>
      </w:rPr>
      <w:instrText>n</w:instrText>
    </w:r>
    <w:r w:rsidRPr="000C34AA">
      <w:rPr>
        <w:rStyle w:val="SidhuvudUtskott"/>
      </w:rPr>
      <w:instrText>kandeNr</w:instrText>
    </w:r>
    <w:r w:rsidRPr="000C34AA">
      <w:rPr>
        <w:rStyle w:val="SidhuvudUtskott"/>
      </w:rPr>
      <w:fldChar w:fldCharType="separate"/>
    </w:r>
    <w:r w:rsidRPr="000C34AA">
      <w:rPr>
        <w:rStyle w:val="SidhuvudUtskott"/>
      </w:rPr>
      <w:t>3</w:t>
    </w:r>
    <w:r w:rsidRPr="000C34AA">
      <w:rPr>
        <w:rStyle w:val="SidhuvudUtskott"/>
      </w:rPr>
      <w:fldChar w:fldCharType="end"/>
    </w:r>
  </w:p>
  <w:p w:rsidR="009C332F" w:rsidRPr="000C34AA" w:rsidRDefault="009C332F">
    <w:pPr>
      <w:pStyle w:val="SidhuvudKantUdda"/>
      <w:framePr w:w="8732" w:h="567" w:hRule="exact" w:vSpace="0" w:wrap="around" w:vAnchor="page" w:y="341" w:anchorLock="0"/>
    </w:pPr>
    <w:r w:rsidRPr="000C34AA">
      <w:rPr>
        <w:rStyle w:val="SidhuvudUtskott"/>
      </w:rPr>
      <w:fldChar w:fldCharType="begin" w:fldLock="1"/>
    </w:r>
    <w:r w:rsidRPr="000C34AA">
      <w:rPr>
        <w:rStyle w:val="SidhuvudUtskott"/>
      </w:rPr>
      <w:instrText xml:space="preserve"> if </w:instrText>
    </w:r>
    <w:r w:rsidRPr="000C34AA">
      <w:rPr>
        <w:rStyle w:val="SidhuvudUtskott"/>
      </w:rPr>
      <w:fldChar w:fldCharType="begin" w:fldLock="1"/>
    </w:r>
    <w:r w:rsidRPr="000C34AA">
      <w:rPr>
        <w:rStyle w:val="SidhuvudUtskott"/>
      </w:rPr>
      <w:instrText xml:space="preserve"> DOCPROPERTY "UtkastDatum"</w:instrText>
    </w:r>
    <w:r w:rsidRPr="000C34AA">
      <w:rPr>
        <w:rStyle w:val="SidhuvudUtskott"/>
      </w:rPr>
      <w:fldChar w:fldCharType="separate"/>
    </w:r>
    <w:r w:rsidRPr="000C34AA">
      <w:rPr>
        <w:rStyle w:val="SidhuvudUtskott"/>
      </w:rPr>
      <w:instrText>Nej</w:instrText>
    </w:r>
    <w:r w:rsidRPr="000C34AA">
      <w:rPr>
        <w:rStyle w:val="SidhuvudUtskott"/>
      </w:rPr>
      <w:fldChar w:fldCharType="end"/>
    </w:r>
    <w:r w:rsidRPr="000C34AA">
      <w:rPr>
        <w:rStyle w:val="SidhuvudUtskott"/>
      </w:rPr>
      <w:instrText xml:space="preserve"> = "Ja" "</w:instrText>
    </w:r>
    <w:r w:rsidRPr="000C34AA">
      <w:rPr>
        <w:rStyle w:val="SidhuvudUtskott"/>
      </w:rPr>
      <w:fldChar w:fldCharType="begin" w:fldLock="1"/>
    </w:r>
    <w:r w:rsidRPr="000C34AA">
      <w:rPr>
        <w:rStyle w:val="SidhuvudUtskott"/>
      </w:rPr>
      <w:instrText xml:space="preserve"> PRINTDATE \@ "yyyy-MM-dd HH.mm    " </w:instrText>
    </w:r>
    <w:r w:rsidRPr="000C34AA">
      <w:rPr>
        <w:rStyle w:val="SidhuvudUtskott"/>
      </w:rPr>
      <w:fldChar w:fldCharType="separate"/>
    </w:r>
    <w:r w:rsidRPr="000C34AA">
      <w:rPr>
        <w:rStyle w:val="SidhuvudUtskott"/>
      </w:rPr>
      <w:instrText>2000-08-11 16.42</w:instrText>
    </w:r>
    <w:r w:rsidRPr="000C34AA">
      <w:rPr>
        <w:rStyle w:val="SidhuvudUtskott"/>
      </w:rPr>
      <w:fldChar w:fldCharType="end"/>
    </w:r>
    <w:r w:rsidRPr="000C34AA">
      <w:rPr>
        <w:rStyle w:val="SidhuvudUtskott"/>
      </w:rPr>
      <w:instrText xml:space="preserve">" </w:instrText>
    </w:r>
    <w:r w:rsidRPr="000C34AA">
      <w:rPr>
        <w:rStyle w:val="SidhuvudUtskott"/>
      </w:rPr>
      <w:fldChar w:fldCharType="end"/>
    </w:r>
    <w:r w:rsidRPr="000C34AA">
      <w:rPr>
        <w:rStyle w:val="SidhuvudUtskott"/>
      </w:rPr>
      <w:fldChar w:fldCharType="begin" w:fldLock="1"/>
    </w:r>
    <w:r w:rsidRPr="000C34AA">
      <w:rPr>
        <w:rStyle w:val="SidhuvudUtskott"/>
      </w:rPr>
      <w:instrText xml:space="preserve"> DOCPR</w:instrText>
    </w:r>
    <w:r w:rsidRPr="000C34AA">
      <w:rPr>
        <w:rStyle w:val="SidhuvudUtskott"/>
      </w:rPr>
      <w:instrText>O</w:instrText>
    </w:r>
    <w:r w:rsidRPr="000C34AA">
      <w:rPr>
        <w:rStyle w:val="SidhuvudUtskott"/>
      </w:rPr>
      <w:instrText>PERTY Status</w:instrText>
    </w:r>
    <w:r w:rsidRPr="000C34AA">
      <w:rPr>
        <w:rStyle w:val="SidhuvudUtskott"/>
      </w:rPr>
      <w:fldChar w:fldCharType="end"/>
    </w:r>
  </w:p>
  <w:p w:rsidR="009C332F" w:rsidRPr="000C34AA" w:rsidRDefault="009C332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Jmn"/>
      <w:framePr w:w="8732" w:h="567" w:hRule="exact" w:vSpace="0" w:wrap="around" w:vAnchor="page" w:y="341" w:anchorLock="0"/>
    </w:pPr>
    <w:r w:rsidRPr="000C34AA">
      <w:rPr>
        <w:rStyle w:val="SidhuvudUtskott"/>
      </w:rPr>
      <w:t>2001/02:RS3</w:t>
    </w:r>
    <w:r w:rsidRPr="000C34AA">
      <w:t xml:space="preserve">    </w:t>
    </w:r>
  </w:p>
  <w:p w:rsidR="009C332F" w:rsidRPr="000C34AA" w:rsidRDefault="009C332F">
    <w:pPr>
      <w:pStyle w:val="SidhuvudKantJmn"/>
      <w:framePr w:w="8732" w:h="567" w:hRule="exact" w:vSpace="0" w:wrap="around" w:vAnchor="page" w:y="341" w:anchorLock="0"/>
    </w:pPr>
  </w:p>
  <w:p w:rsidR="009C332F" w:rsidRPr="000C34AA" w:rsidRDefault="009C332F">
    <w:pPr>
      <w:pStyle w:val="SidhuvudKantUdda"/>
      <w:framePr w:w="8732" w:h="567" w:hRule="exact" w:vSpace="0" w:wrap="around" w:vAnchor="page" w:y="341" w:anchorLock="0"/>
    </w:pPr>
    <w:r w:rsidRPr="000C34AA">
      <w:rPr>
        <w:rStyle w:val="SidhuvudRubrikReferens"/>
        <w:smallCaps w:val="0"/>
        <w:spacing w:val="0"/>
        <w:sz w:val="19"/>
      </w:rPr>
      <w:t xml:space="preserve"> </w:t>
    </w:r>
  </w:p>
  <w:p w:rsidR="009C332F" w:rsidRPr="000C34AA" w:rsidRDefault="009C332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Jmn"/>
      <w:framePr w:w="8732" w:h="567" w:hRule="exact" w:vSpace="0" w:wrap="around" w:vAnchor="page" w:y="341" w:anchorLock="0"/>
    </w:pPr>
    <w:r w:rsidRPr="000C34AA">
      <w:rPr>
        <w:rStyle w:val="SidhuvudUtskott"/>
      </w:rPr>
      <w:t>2001/02:RS3</w:t>
    </w:r>
    <w:r w:rsidRPr="000C34AA">
      <w:t xml:space="preserve">     </w:t>
    </w:r>
    <w:r w:rsidRPr="000C34AA">
      <w:rPr>
        <w:rStyle w:val="SidhuvudBilaga"/>
      </w:rPr>
      <w:t xml:space="preserve"> </w:t>
    </w:r>
    <w:r w:rsidRPr="000C34AA">
      <w:rPr>
        <w:rStyle w:val="SidhuvudRubrikReferens"/>
      </w:rPr>
      <w:t>4 Riksdagsrevisorernas rapport och förslag</w:t>
    </w:r>
  </w:p>
  <w:p w:rsidR="009C332F" w:rsidRPr="000C34AA" w:rsidRDefault="009C332F">
    <w:pPr>
      <w:pStyle w:val="SidhuvudKantJmn"/>
      <w:framePr w:w="8732" w:h="567" w:hRule="exact" w:vSpace="0" w:wrap="around" w:vAnchor="page" w:y="341" w:anchorLock="0"/>
    </w:pPr>
  </w:p>
  <w:p w:rsidR="009C332F" w:rsidRPr="000C34AA" w:rsidRDefault="009C332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Udda"/>
      <w:framePr w:w="8732" w:h="567" w:hRule="exact" w:vSpace="0" w:wrap="around" w:vAnchor="page" w:y="341" w:anchorLock="0"/>
    </w:pPr>
    <w:r w:rsidRPr="000C34AA">
      <w:rPr>
        <w:rStyle w:val="SidhuvudRubrikReferens"/>
      </w:rPr>
      <w:fldChar w:fldCharType="begin" w:fldLock="1"/>
    </w:r>
    <w:r w:rsidRPr="000C34AA">
      <w:rPr>
        <w:rStyle w:val="SidhuvudRubrikReferens"/>
      </w:rPr>
      <w:instrText xml:space="preserve"> StyleREF "Rubrik 1" </w:instrText>
    </w:r>
    <w:r w:rsidRPr="000C34AA">
      <w:rPr>
        <w:rStyle w:val="SidhuvudRubrikReferens"/>
      </w:rPr>
      <w:fldChar w:fldCharType="separate"/>
    </w:r>
    <w:r w:rsidRPr="000C34AA">
      <w:rPr>
        <w:rStyle w:val="SidhuvudRubrikReferens"/>
      </w:rPr>
      <w:t>Sammanfattning</w:t>
    </w:r>
    <w:r w:rsidRPr="000C34AA">
      <w:rPr>
        <w:rStyle w:val="SidhuvudRubrikReferens"/>
      </w:rPr>
      <w:fldChar w:fldCharType="end"/>
    </w:r>
    <w:r w:rsidRPr="000C34AA">
      <w:rPr>
        <w:rStyle w:val="SidhuvudBilaga"/>
      </w:rPr>
      <w:t xml:space="preserve"> </w:t>
    </w:r>
    <w:r w:rsidRPr="000C34AA">
      <w:t xml:space="preserve">     </w:t>
    </w:r>
    <w:r w:rsidRPr="000C34AA">
      <w:rPr>
        <w:rStyle w:val="SidhuvudUtskott"/>
      </w:rPr>
      <w:fldChar w:fldCharType="begin" w:fldLock="1"/>
    </w:r>
    <w:r w:rsidRPr="000C34AA">
      <w:rPr>
        <w:rStyle w:val="SidhuvudUtskott"/>
      </w:rPr>
      <w:instrText xml:space="preserve"> DOCPROPERTY BetänkandeÅr</w:instrText>
    </w:r>
    <w:r w:rsidRPr="000C34AA">
      <w:rPr>
        <w:rStyle w:val="SidhuvudUtskott"/>
      </w:rPr>
      <w:fldChar w:fldCharType="separate"/>
    </w:r>
    <w:r w:rsidRPr="000C34AA">
      <w:rPr>
        <w:rStyle w:val="SidhuvudUtskott"/>
      </w:rPr>
      <w:t>2001/02</w:t>
    </w:r>
    <w:r w:rsidRPr="000C34AA">
      <w:rPr>
        <w:rStyle w:val="SidhuvudUtskott"/>
      </w:rPr>
      <w:fldChar w:fldCharType="end"/>
    </w:r>
    <w:r w:rsidRPr="000C34AA">
      <w:rPr>
        <w:rStyle w:val="SidhuvudUtskott"/>
      </w:rPr>
      <w:t>:</w:t>
    </w:r>
    <w:r w:rsidRPr="000C34AA">
      <w:rPr>
        <w:rStyle w:val="SidhuvudUtskott"/>
      </w:rPr>
      <w:fldChar w:fldCharType="begin" w:fldLock="1"/>
    </w:r>
    <w:r w:rsidRPr="000C34AA">
      <w:rPr>
        <w:rStyle w:val="SidhuvudUtskott"/>
      </w:rPr>
      <w:instrText xml:space="preserve"> DOCPROPERTY</w:instrText>
    </w:r>
    <w:r w:rsidRPr="000C34AA">
      <w:instrText xml:space="preserve"> </w:instrText>
    </w:r>
    <w:r w:rsidRPr="000C34AA">
      <w:rPr>
        <w:rStyle w:val="SidhuvudUtskott"/>
      </w:rPr>
      <w:instrText>Utskott</w:instrText>
    </w:r>
    <w:r w:rsidRPr="000C34AA">
      <w:rPr>
        <w:rStyle w:val="SidhuvudUtskott"/>
      </w:rPr>
      <w:fldChar w:fldCharType="separate"/>
    </w:r>
    <w:r w:rsidRPr="000C34AA">
      <w:rPr>
        <w:rStyle w:val="SidhuvudUtskott"/>
      </w:rPr>
      <w:t>RS</w:t>
    </w:r>
    <w:r w:rsidRPr="000C34AA">
      <w:rPr>
        <w:rStyle w:val="SidhuvudUtskott"/>
      </w:rPr>
      <w:fldChar w:fldCharType="end"/>
    </w:r>
    <w:r w:rsidRPr="000C34AA">
      <w:rPr>
        <w:rStyle w:val="SidhuvudUtskott"/>
      </w:rPr>
      <w:fldChar w:fldCharType="begin" w:fldLock="1"/>
    </w:r>
    <w:r w:rsidRPr="000C34AA">
      <w:rPr>
        <w:rStyle w:val="SidhuvudUtskott"/>
      </w:rPr>
      <w:instrText xml:space="preserve"> DOCPROPERTY Betä</w:instrText>
    </w:r>
    <w:r w:rsidRPr="000C34AA">
      <w:rPr>
        <w:rStyle w:val="SidhuvudUtskott"/>
      </w:rPr>
      <w:instrText>n</w:instrText>
    </w:r>
    <w:r w:rsidRPr="000C34AA">
      <w:rPr>
        <w:rStyle w:val="SidhuvudUtskott"/>
      </w:rPr>
      <w:instrText>kandeNr</w:instrText>
    </w:r>
    <w:r w:rsidRPr="000C34AA">
      <w:rPr>
        <w:rStyle w:val="SidhuvudUtskott"/>
      </w:rPr>
      <w:fldChar w:fldCharType="separate"/>
    </w:r>
    <w:r w:rsidRPr="000C34AA">
      <w:rPr>
        <w:rStyle w:val="SidhuvudUtskott"/>
      </w:rPr>
      <w:t>3</w:t>
    </w:r>
    <w:r w:rsidRPr="000C34AA">
      <w:rPr>
        <w:rStyle w:val="SidhuvudUtskott"/>
      </w:rPr>
      <w:fldChar w:fldCharType="end"/>
    </w:r>
  </w:p>
  <w:p w:rsidR="009C332F" w:rsidRPr="000C34AA" w:rsidRDefault="009C332F">
    <w:pPr>
      <w:pStyle w:val="SidhuvudKantUdda"/>
      <w:framePr w:w="8732" w:h="567" w:hRule="exact" w:vSpace="0" w:wrap="around" w:vAnchor="page" w:y="341" w:anchorLock="0"/>
    </w:pPr>
    <w:r w:rsidRPr="000C34AA">
      <w:rPr>
        <w:rStyle w:val="SidhuvudUtskott"/>
      </w:rPr>
      <w:fldChar w:fldCharType="begin" w:fldLock="1"/>
    </w:r>
    <w:r w:rsidRPr="000C34AA">
      <w:rPr>
        <w:rStyle w:val="SidhuvudUtskott"/>
      </w:rPr>
      <w:instrText xml:space="preserve"> if </w:instrText>
    </w:r>
    <w:r w:rsidRPr="000C34AA">
      <w:rPr>
        <w:rStyle w:val="SidhuvudUtskott"/>
      </w:rPr>
      <w:fldChar w:fldCharType="begin" w:fldLock="1"/>
    </w:r>
    <w:r w:rsidRPr="000C34AA">
      <w:rPr>
        <w:rStyle w:val="SidhuvudUtskott"/>
      </w:rPr>
      <w:instrText xml:space="preserve"> DOCPROPERTY "UtkastDatum"</w:instrText>
    </w:r>
    <w:r w:rsidRPr="000C34AA">
      <w:rPr>
        <w:rStyle w:val="SidhuvudUtskott"/>
      </w:rPr>
      <w:fldChar w:fldCharType="separate"/>
    </w:r>
    <w:r w:rsidRPr="000C34AA">
      <w:rPr>
        <w:rStyle w:val="SidhuvudUtskott"/>
      </w:rPr>
      <w:instrText>Nej</w:instrText>
    </w:r>
    <w:r w:rsidRPr="000C34AA">
      <w:rPr>
        <w:rStyle w:val="SidhuvudUtskott"/>
      </w:rPr>
      <w:fldChar w:fldCharType="end"/>
    </w:r>
    <w:r w:rsidRPr="000C34AA">
      <w:rPr>
        <w:rStyle w:val="SidhuvudUtskott"/>
      </w:rPr>
      <w:instrText xml:space="preserve"> = "Ja" "</w:instrText>
    </w:r>
    <w:r w:rsidRPr="000C34AA">
      <w:rPr>
        <w:rStyle w:val="SidhuvudUtskott"/>
      </w:rPr>
      <w:fldChar w:fldCharType="begin" w:fldLock="1"/>
    </w:r>
    <w:r w:rsidRPr="000C34AA">
      <w:rPr>
        <w:rStyle w:val="SidhuvudUtskott"/>
      </w:rPr>
      <w:instrText xml:space="preserve"> PRINTDATE \@ "yyyy-MM-dd HH.mm    " </w:instrText>
    </w:r>
    <w:r w:rsidRPr="000C34AA">
      <w:rPr>
        <w:rStyle w:val="SidhuvudUtskott"/>
      </w:rPr>
      <w:fldChar w:fldCharType="separate"/>
    </w:r>
    <w:r w:rsidRPr="000C34AA">
      <w:rPr>
        <w:rStyle w:val="SidhuvudUtskott"/>
      </w:rPr>
      <w:instrText>2000-08-11 16.42</w:instrText>
    </w:r>
    <w:r w:rsidRPr="000C34AA">
      <w:rPr>
        <w:rStyle w:val="SidhuvudUtskott"/>
      </w:rPr>
      <w:fldChar w:fldCharType="end"/>
    </w:r>
    <w:r w:rsidRPr="000C34AA">
      <w:rPr>
        <w:rStyle w:val="SidhuvudUtskott"/>
      </w:rPr>
      <w:instrText xml:space="preserve">" </w:instrText>
    </w:r>
    <w:r w:rsidRPr="000C34AA">
      <w:rPr>
        <w:rStyle w:val="SidhuvudUtskott"/>
      </w:rPr>
      <w:fldChar w:fldCharType="end"/>
    </w:r>
    <w:r w:rsidRPr="000C34AA">
      <w:rPr>
        <w:rStyle w:val="SidhuvudUtskott"/>
      </w:rPr>
      <w:fldChar w:fldCharType="begin" w:fldLock="1"/>
    </w:r>
    <w:r w:rsidRPr="000C34AA">
      <w:rPr>
        <w:rStyle w:val="SidhuvudUtskott"/>
      </w:rPr>
      <w:instrText xml:space="preserve"> DOCPR</w:instrText>
    </w:r>
    <w:r w:rsidRPr="000C34AA">
      <w:rPr>
        <w:rStyle w:val="SidhuvudUtskott"/>
      </w:rPr>
      <w:instrText>O</w:instrText>
    </w:r>
    <w:r w:rsidRPr="000C34AA">
      <w:rPr>
        <w:rStyle w:val="SidhuvudUtskott"/>
      </w:rPr>
      <w:instrText>PERTY Status</w:instrText>
    </w:r>
    <w:r w:rsidRPr="000C34AA">
      <w:rPr>
        <w:rStyle w:val="SidhuvudUtskott"/>
      </w:rPr>
      <w:fldChar w:fldCharType="end"/>
    </w:r>
  </w:p>
  <w:p w:rsidR="009C332F" w:rsidRPr="000C34AA" w:rsidRDefault="009C332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Udda"/>
      <w:framePr w:w="8732" w:h="567" w:hRule="exact" w:vSpace="0" w:wrap="around" w:vAnchor="page" w:y="341" w:anchorLock="0"/>
    </w:pPr>
    <w:r w:rsidRPr="000C34AA">
      <w:rPr>
        <w:rStyle w:val="SidhuvudRubrikReferens"/>
      </w:rPr>
      <w:fldChar w:fldCharType="begin" w:fldLock="1"/>
    </w:r>
    <w:r w:rsidRPr="000C34AA">
      <w:rPr>
        <w:rStyle w:val="SidhuvudRubrikReferens"/>
      </w:rPr>
      <w:instrText xml:space="preserve"> StyleREF "Rubrik 1" </w:instrText>
    </w:r>
    <w:r w:rsidRPr="000C34AA">
      <w:rPr>
        <w:rStyle w:val="SidhuvudRubrikReferens"/>
      </w:rPr>
      <w:fldChar w:fldCharType="separate"/>
    </w:r>
    <w:r w:rsidRPr="000C34AA">
      <w:rPr>
        <w:rStyle w:val="SidhuvudRubrikReferens"/>
      </w:rPr>
      <w:t>3 Uppföljning av ettåriga inkomstgarantier efter valet 1998</w:t>
    </w:r>
    <w:r w:rsidRPr="000C34AA">
      <w:rPr>
        <w:rStyle w:val="SidhuvudRubrikReferens"/>
      </w:rPr>
      <w:fldChar w:fldCharType="end"/>
    </w:r>
    <w:r w:rsidRPr="000C34AA">
      <w:rPr>
        <w:rStyle w:val="SidhuvudBilaga"/>
      </w:rPr>
      <w:t xml:space="preserve"> </w:t>
    </w:r>
    <w:r w:rsidRPr="000C34AA">
      <w:t xml:space="preserve">     </w:t>
    </w:r>
    <w:r w:rsidRPr="000C34AA">
      <w:rPr>
        <w:rStyle w:val="SidhuvudUtskott"/>
      </w:rPr>
      <w:fldChar w:fldCharType="begin" w:fldLock="1"/>
    </w:r>
    <w:r w:rsidRPr="000C34AA">
      <w:rPr>
        <w:rStyle w:val="SidhuvudUtskott"/>
      </w:rPr>
      <w:instrText xml:space="preserve"> DOCPROPERTY BetänkandeÅr</w:instrText>
    </w:r>
    <w:r w:rsidRPr="000C34AA">
      <w:rPr>
        <w:rStyle w:val="SidhuvudUtskott"/>
      </w:rPr>
      <w:fldChar w:fldCharType="separate"/>
    </w:r>
    <w:r w:rsidRPr="000C34AA">
      <w:rPr>
        <w:rStyle w:val="SidhuvudUtskott"/>
      </w:rPr>
      <w:t>2001/02</w:t>
    </w:r>
    <w:r w:rsidRPr="000C34AA">
      <w:rPr>
        <w:rStyle w:val="SidhuvudUtskott"/>
      </w:rPr>
      <w:fldChar w:fldCharType="end"/>
    </w:r>
    <w:r w:rsidRPr="000C34AA">
      <w:rPr>
        <w:rStyle w:val="SidhuvudUtskott"/>
      </w:rPr>
      <w:t>:</w:t>
    </w:r>
    <w:r w:rsidRPr="000C34AA">
      <w:rPr>
        <w:rStyle w:val="SidhuvudUtskott"/>
      </w:rPr>
      <w:fldChar w:fldCharType="begin" w:fldLock="1"/>
    </w:r>
    <w:r w:rsidRPr="000C34AA">
      <w:rPr>
        <w:rStyle w:val="SidhuvudUtskott"/>
      </w:rPr>
      <w:instrText xml:space="preserve"> DOCPROPERTY</w:instrText>
    </w:r>
    <w:r w:rsidRPr="000C34AA">
      <w:instrText xml:space="preserve"> </w:instrText>
    </w:r>
    <w:r w:rsidRPr="000C34AA">
      <w:rPr>
        <w:rStyle w:val="SidhuvudUtskott"/>
      </w:rPr>
      <w:instrText>Utskott</w:instrText>
    </w:r>
    <w:r w:rsidRPr="000C34AA">
      <w:rPr>
        <w:rStyle w:val="SidhuvudUtskott"/>
      </w:rPr>
      <w:fldChar w:fldCharType="separate"/>
    </w:r>
    <w:r w:rsidRPr="000C34AA">
      <w:rPr>
        <w:rStyle w:val="SidhuvudUtskott"/>
      </w:rPr>
      <w:t>RS</w:t>
    </w:r>
    <w:r w:rsidRPr="000C34AA">
      <w:rPr>
        <w:rStyle w:val="SidhuvudUtskott"/>
      </w:rPr>
      <w:fldChar w:fldCharType="end"/>
    </w:r>
    <w:r w:rsidRPr="000C34AA">
      <w:rPr>
        <w:rStyle w:val="SidhuvudUtskott"/>
      </w:rPr>
      <w:fldChar w:fldCharType="begin" w:fldLock="1"/>
    </w:r>
    <w:r w:rsidRPr="000C34AA">
      <w:rPr>
        <w:rStyle w:val="SidhuvudUtskott"/>
      </w:rPr>
      <w:instrText xml:space="preserve"> DOCPROPERTY Betä</w:instrText>
    </w:r>
    <w:r w:rsidRPr="000C34AA">
      <w:rPr>
        <w:rStyle w:val="SidhuvudUtskott"/>
      </w:rPr>
      <w:instrText>n</w:instrText>
    </w:r>
    <w:r w:rsidRPr="000C34AA">
      <w:rPr>
        <w:rStyle w:val="SidhuvudUtskott"/>
      </w:rPr>
      <w:instrText>kandeNr</w:instrText>
    </w:r>
    <w:r w:rsidRPr="000C34AA">
      <w:rPr>
        <w:rStyle w:val="SidhuvudUtskott"/>
      </w:rPr>
      <w:fldChar w:fldCharType="separate"/>
    </w:r>
    <w:r w:rsidRPr="000C34AA">
      <w:rPr>
        <w:rStyle w:val="SidhuvudUtskott"/>
      </w:rPr>
      <w:t>3</w:t>
    </w:r>
    <w:r w:rsidRPr="000C34AA">
      <w:rPr>
        <w:rStyle w:val="SidhuvudUtskott"/>
      </w:rPr>
      <w:fldChar w:fldCharType="end"/>
    </w:r>
  </w:p>
  <w:p w:rsidR="009C332F" w:rsidRPr="000C34AA" w:rsidRDefault="009C332F">
    <w:pPr>
      <w:pStyle w:val="SidhuvudKantUdda"/>
      <w:framePr w:w="8732" w:h="567" w:hRule="exact" w:vSpace="0" w:wrap="around" w:vAnchor="page" w:y="341" w:anchorLock="0"/>
    </w:pPr>
    <w:r w:rsidRPr="000C34AA">
      <w:rPr>
        <w:rStyle w:val="SidhuvudUtskott"/>
      </w:rPr>
      <w:fldChar w:fldCharType="begin" w:fldLock="1"/>
    </w:r>
    <w:r w:rsidRPr="000C34AA">
      <w:rPr>
        <w:rStyle w:val="SidhuvudUtskott"/>
      </w:rPr>
      <w:instrText xml:space="preserve"> if </w:instrText>
    </w:r>
    <w:r w:rsidRPr="000C34AA">
      <w:rPr>
        <w:rStyle w:val="SidhuvudUtskott"/>
      </w:rPr>
      <w:fldChar w:fldCharType="begin" w:fldLock="1"/>
    </w:r>
    <w:r w:rsidRPr="000C34AA">
      <w:rPr>
        <w:rStyle w:val="SidhuvudUtskott"/>
      </w:rPr>
      <w:instrText xml:space="preserve"> DOCPROPERTY "UtkastDatum"</w:instrText>
    </w:r>
    <w:r w:rsidRPr="000C34AA">
      <w:rPr>
        <w:rStyle w:val="SidhuvudUtskott"/>
      </w:rPr>
      <w:fldChar w:fldCharType="separate"/>
    </w:r>
    <w:r w:rsidRPr="000C34AA">
      <w:rPr>
        <w:rStyle w:val="SidhuvudUtskott"/>
      </w:rPr>
      <w:instrText>Nej</w:instrText>
    </w:r>
    <w:r w:rsidRPr="000C34AA">
      <w:rPr>
        <w:rStyle w:val="SidhuvudUtskott"/>
      </w:rPr>
      <w:fldChar w:fldCharType="end"/>
    </w:r>
    <w:r w:rsidRPr="000C34AA">
      <w:rPr>
        <w:rStyle w:val="SidhuvudUtskott"/>
      </w:rPr>
      <w:instrText xml:space="preserve"> = "Ja" "</w:instrText>
    </w:r>
    <w:r w:rsidRPr="000C34AA">
      <w:rPr>
        <w:rStyle w:val="SidhuvudUtskott"/>
      </w:rPr>
      <w:fldChar w:fldCharType="begin" w:fldLock="1"/>
    </w:r>
    <w:r w:rsidRPr="000C34AA">
      <w:rPr>
        <w:rStyle w:val="SidhuvudUtskott"/>
      </w:rPr>
      <w:instrText xml:space="preserve"> PRINTDATE \@ "yyyy-MM-dd HH.mm    " </w:instrText>
    </w:r>
    <w:r w:rsidRPr="000C34AA">
      <w:rPr>
        <w:rStyle w:val="SidhuvudUtskott"/>
      </w:rPr>
      <w:fldChar w:fldCharType="separate"/>
    </w:r>
    <w:r w:rsidRPr="000C34AA">
      <w:rPr>
        <w:rStyle w:val="SidhuvudUtskott"/>
      </w:rPr>
      <w:instrText>2000-08-11 16.42</w:instrText>
    </w:r>
    <w:r w:rsidRPr="000C34AA">
      <w:rPr>
        <w:rStyle w:val="SidhuvudUtskott"/>
      </w:rPr>
      <w:fldChar w:fldCharType="end"/>
    </w:r>
    <w:r w:rsidRPr="000C34AA">
      <w:rPr>
        <w:rStyle w:val="SidhuvudUtskott"/>
      </w:rPr>
      <w:instrText xml:space="preserve">" </w:instrText>
    </w:r>
    <w:r w:rsidRPr="000C34AA">
      <w:rPr>
        <w:rStyle w:val="SidhuvudUtskott"/>
      </w:rPr>
      <w:fldChar w:fldCharType="end"/>
    </w:r>
    <w:r w:rsidRPr="000C34AA">
      <w:rPr>
        <w:rStyle w:val="SidhuvudUtskott"/>
      </w:rPr>
      <w:fldChar w:fldCharType="begin" w:fldLock="1"/>
    </w:r>
    <w:r w:rsidRPr="000C34AA">
      <w:rPr>
        <w:rStyle w:val="SidhuvudUtskott"/>
      </w:rPr>
      <w:instrText xml:space="preserve"> DOCPR</w:instrText>
    </w:r>
    <w:r w:rsidRPr="000C34AA">
      <w:rPr>
        <w:rStyle w:val="SidhuvudUtskott"/>
      </w:rPr>
      <w:instrText>O</w:instrText>
    </w:r>
    <w:r w:rsidRPr="000C34AA">
      <w:rPr>
        <w:rStyle w:val="SidhuvudUtskott"/>
      </w:rPr>
      <w:instrText>PERTY Status</w:instrText>
    </w:r>
    <w:r w:rsidRPr="000C34AA">
      <w:rPr>
        <w:rStyle w:val="SidhuvudUtskott"/>
      </w:rPr>
      <w:fldChar w:fldCharType="end"/>
    </w:r>
  </w:p>
  <w:p w:rsidR="009C332F" w:rsidRPr="000C34AA" w:rsidRDefault="009C332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Udda"/>
      <w:framePr w:w="8732" w:h="567" w:hRule="exact" w:vSpace="0" w:wrap="around" w:vAnchor="page" w:y="341" w:anchorLock="0"/>
    </w:pPr>
    <w:r w:rsidRPr="000C34AA">
      <w:t xml:space="preserve">  </w:t>
    </w:r>
    <w:r w:rsidRPr="000C34AA">
      <w:rPr>
        <w:rStyle w:val="SidhuvudUtskott"/>
      </w:rPr>
      <w:t>2001/02:RS3</w:t>
    </w:r>
  </w:p>
  <w:p w:rsidR="009C332F" w:rsidRPr="000C34AA" w:rsidRDefault="009C332F">
    <w:pPr>
      <w:pStyle w:val="SidhuvudKantUdda"/>
      <w:framePr w:w="8732" w:h="567" w:hRule="exact" w:vSpace="0" w:wrap="around" w:vAnchor="page" w:y="341" w:anchorLock="0"/>
    </w:pPr>
  </w:p>
  <w:p w:rsidR="009C332F" w:rsidRPr="000C34AA" w:rsidRDefault="009C332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Jmn"/>
      <w:framePr w:w="8732" w:h="567" w:hRule="exact" w:vSpace="0" w:wrap="around" w:vAnchor="page" w:y="341" w:anchorLock="0"/>
    </w:pPr>
    <w:r w:rsidRPr="000C34AA">
      <w:rPr>
        <w:rStyle w:val="SidhuvudUtskott"/>
      </w:rPr>
      <w:t>2001/02:RS3</w:t>
    </w:r>
    <w:r w:rsidRPr="000C34AA">
      <w:t xml:space="preserve">     </w:t>
    </w:r>
    <w:r w:rsidRPr="000C34AA">
      <w:rPr>
        <w:rStyle w:val="SidhuvudBilaga"/>
      </w:rPr>
      <w:t xml:space="preserve"> </w:t>
    </w:r>
    <w:r w:rsidRPr="000C34AA">
      <w:rPr>
        <w:rStyle w:val="SidhuvudRubrikReferens"/>
      </w:rPr>
      <w:t>5 Riksdagsstyrelsens överväganden</w:t>
    </w:r>
  </w:p>
  <w:p w:rsidR="009C332F" w:rsidRPr="000C34AA" w:rsidRDefault="009C332F">
    <w:pPr>
      <w:pStyle w:val="SidhuvudKantJmn"/>
      <w:framePr w:w="8732" w:h="567" w:hRule="exact" w:vSpace="0" w:wrap="around" w:vAnchor="page" w:y="341" w:anchorLock="0"/>
    </w:pPr>
  </w:p>
  <w:p w:rsidR="009C332F" w:rsidRPr="000C34AA" w:rsidRDefault="009C332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Udda"/>
      <w:framePr w:w="8732" w:h="567" w:hRule="exact" w:vSpace="0" w:wrap="around" w:vAnchor="page" w:y="341" w:anchorLock="0"/>
    </w:pPr>
    <w:r w:rsidRPr="000C34AA">
      <w:rPr>
        <w:rStyle w:val="SidhuvudRubrikReferens"/>
      </w:rPr>
      <w:t>5 Riksdagsstyrelsens överväganden</w:t>
    </w:r>
    <w:r w:rsidRPr="000C34AA">
      <w:rPr>
        <w:rStyle w:val="SidhuvudBilaga"/>
      </w:rPr>
      <w:t xml:space="preserve"> </w:t>
    </w:r>
    <w:r w:rsidRPr="000C34AA">
      <w:t xml:space="preserve">     </w:t>
    </w:r>
    <w:r w:rsidRPr="000C34AA">
      <w:rPr>
        <w:rStyle w:val="SidhuvudUtskott"/>
      </w:rPr>
      <w:t>2001/02:RS3</w:t>
    </w:r>
  </w:p>
  <w:p w:rsidR="009C332F" w:rsidRPr="000C34AA" w:rsidRDefault="009C332F">
    <w:pPr>
      <w:pStyle w:val="SidhuvudKantUdda"/>
      <w:framePr w:w="8732" w:h="567" w:hRule="exact" w:vSpace="0" w:wrap="around" w:vAnchor="page" w:y="341" w:anchorLock="0"/>
    </w:pPr>
  </w:p>
  <w:p w:rsidR="009C332F" w:rsidRPr="000C34AA" w:rsidRDefault="009C332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Udda"/>
      <w:framePr w:w="8732" w:h="567" w:hRule="exact" w:vSpace="0" w:wrap="around" w:vAnchor="page" w:y="341" w:anchorLock="0"/>
    </w:pPr>
    <w:r w:rsidRPr="000C34AA">
      <w:t xml:space="preserve">  </w:t>
    </w:r>
    <w:r w:rsidRPr="000C34AA">
      <w:rPr>
        <w:rStyle w:val="SidhuvudUtskott"/>
      </w:rPr>
      <w:t>2001/02:RS3</w:t>
    </w:r>
  </w:p>
  <w:p w:rsidR="009C332F" w:rsidRPr="000C34AA" w:rsidRDefault="009C332F">
    <w:pPr>
      <w:pStyle w:val="SidhuvudKantUdda"/>
      <w:framePr w:w="8732" w:h="567" w:hRule="exact" w:vSpace="0" w:wrap="around" w:vAnchor="page" w:y="341" w:anchorLock="0"/>
    </w:pPr>
  </w:p>
  <w:p w:rsidR="009C332F" w:rsidRPr="000C34AA" w:rsidRDefault="009C332F">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Jmn"/>
      <w:framePr w:w="8732" w:h="567" w:hRule="exact" w:vSpace="0" w:wrap="around" w:vAnchor="page" w:y="341" w:anchorLock="0"/>
    </w:pPr>
    <w:r w:rsidRPr="000C34AA">
      <w:rPr>
        <w:rStyle w:val="SidhuvudUtskott"/>
      </w:rPr>
      <w:t>2001/02:RS3</w:t>
    </w:r>
    <w:r w:rsidRPr="000C34AA">
      <w:t xml:space="preserve">     </w:t>
    </w:r>
    <w:r w:rsidRPr="000C34AA">
      <w:rPr>
        <w:rStyle w:val="SidhuvudBilaga"/>
      </w:rPr>
      <w:t xml:space="preserve"> </w:t>
    </w:r>
    <w:r w:rsidRPr="000C34AA">
      <w:rPr>
        <w:rStyle w:val="SidhuvudRubrikReferens"/>
      </w:rPr>
      <w:t>6 Författningskommentar</w:t>
    </w:r>
  </w:p>
  <w:p w:rsidR="009C332F" w:rsidRPr="000C34AA" w:rsidRDefault="009C332F">
    <w:pPr>
      <w:pStyle w:val="SidhuvudKantJmn"/>
      <w:framePr w:w="8732" w:h="567" w:hRule="exact" w:vSpace="0" w:wrap="around" w:vAnchor="page" w:y="341" w:anchorLock="0"/>
    </w:pPr>
  </w:p>
  <w:p w:rsidR="009C332F" w:rsidRPr="000C34AA" w:rsidRDefault="009C332F">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Udda"/>
      <w:framePr w:w="8732" w:h="567" w:hRule="exact" w:vSpace="0" w:wrap="around" w:vAnchor="page" w:y="341" w:anchorLock="0"/>
    </w:pPr>
    <w:r w:rsidRPr="000C34AA">
      <w:rPr>
        <w:rStyle w:val="SidhuvudRubrikReferens"/>
      </w:rPr>
      <w:t>6 Författningskommentar</w:t>
    </w:r>
    <w:r w:rsidRPr="000C34AA">
      <w:rPr>
        <w:rStyle w:val="SidhuvudBilaga"/>
      </w:rPr>
      <w:t xml:space="preserve"> </w:t>
    </w:r>
    <w:r w:rsidRPr="000C34AA">
      <w:t xml:space="preserve">     </w:t>
    </w:r>
    <w:r w:rsidRPr="000C34AA">
      <w:rPr>
        <w:rStyle w:val="SidhuvudUtskott"/>
      </w:rPr>
      <w:t>2001/02:RS3</w:t>
    </w:r>
  </w:p>
  <w:p w:rsidR="009C332F" w:rsidRPr="000C34AA" w:rsidRDefault="009C332F">
    <w:pPr>
      <w:pStyle w:val="SidhuvudKantUdda"/>
      <w:framePr w:w="8732" w:h="567" w:hRule="exact" w:vSpace="0" w:wrap="around" w:vAnchor="page" w:y="341" w:anchorLock="0"/>
    </w:pPr>
  </w:p>
  <w:p w:rsidR="009C332F" w:rsidRPr="000C34AA" w:rsidRDefault="009C332F">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Jmn"/>
      <w:framePr w:w="8732" w:h="567" w:hRule="exact" w:vSpace="0" w:wrap="around" w:vAnchor="page" w:y="341" w:anchorLock="0"/>
    </w:pPr>
    <w:r w:rsidRPr="000C34AA">
      <w:rPr>
        <w:rStyle w:val="SidhuvudUtskott"/>
      </w:rPr>
      <w:t>2001/02:RS3</w:t>
    </w:r>
    <w:r w:rsidRPr="000C34AA">
      <w:t xml:space="preserve">    </w:t>
    </w:r>
  </w:p>
  <w:p w:rsidR="009C332F" w:rsidRPr="000C34AA" w:rsidRDefault="009C332F">
    <w:pPr>
      <w:pStyle w:val="SidhuvudKantJmn"/>
      <w:framePr w:w="8732" w:h="567" w:hRule="exact" w:vSpace="0" w:wrap="around" w:vAnchor="page" w:y="341" w:anchorLock="0"/>
    </w:pPr>
  </w:p>
  <w:p w:rsidR="009C332F" w:rsidRPr="000C34AA" w:rsidRDefault="009C332F">
    <w:pPr>
      <w:pStyle w:val="SidhuvudKantUdda"/>
      <w:framePr w:w="8732" w:h="567" w:hRule="exact" w:vSpace="0" w:wrap="around" w:vAnchor="page" w:y="341" w:anchorLock="0"/>
    </w:pPr>
    <w:r w:rsidRPr="000C34AA">
      <w:rPr>
        <w:rStyle w:val="SidhuvudRubrikReferens"/>
        <w:smallCaps w:val="0"/>
        <w:spacing w:val="0"/>
        <w:sz w:val="19"/>
      </w:rPr>
      <w:t xml:space="preserve"> </w:t>
    </w:r>
  </w:p>
  <w:p w:rsidR="009C332F" w:rsidRPr="000C34AA" w:rsidRDefault="009C332F">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Jmn"/>
      <w:framePr w:w="8732" w:h="567" w:hRule="exact" w:vSpace="0" w:wrap="around" w:vAnchor="page" w:y="341" w:anchorLock="0"/>
    </w:pPr>
    <w:r w:rsidRPr="000C34AA">
      <w:rPr>
        <w:rStyle w:val="SidhuvudUtskott"/>
      </w:rPr>
      <w:t>2001/02:RS3</w:t>
    </w:r>
    <w:r w:rsidRPr="000C34AA">
      <w:t xml:space="preserve">     </w:t>
    </w:r>
    <w:r w:rsidRPr="000C34AA">
      <w:rPr>
        <w:rStyle w:val="SidhuvudBilaga"/>
      </w:rPr>
      <w:t xml:space="preserve"> </w:t>
    </w:r>
    <w:r w:rsidRPr="000C34AA">
      <w:rPr>
        <w:rStyle w:val="SidhuvudRubrikReferens"/>
      </w:rPr>
      <w:t>7 Riksdagsstyrelsens lagförslag</w:t>
    </w:r>
  </w:p>
  <w:p w:rsidR="009C332F" w:rsidRPr="000C34AA" w:rsidRDefault="009C332F">
    <w:pPr>
      <w:pStyle w:val="SidhuvudKantJmn"/>
      <w:framePr w:w="8732" w:h="567" w:hRule="exact" w:vSpace="0" w:wrap="around" w:vAnchor="page" w:y="341" w:anchorLock="0"/>
    </w:pPr>
  </w:p>
  <w:p w:rsidR="009C332F" w:rsidRPr="000C34AA" w:rsidRDefault="009C332F">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Udda"/>
      <w:framePr w:w="8732" w:h="567" w:hRule="exact" w:vSpace="0" w:wrap="around" w:vAnchor="page" w:y="341" w:anchorLock="0"/>
    </w:pPr>
    <w:r w:rsidRPr="000C34AA">
      <w:rPr>
        <w:rStyle w:val="SidhuvudRubrikReferens"/>
      </w:rPr>
      <w:t>7 Riksdagsstyrelsens lagförslag</w:t>
    </w:r>
    <w:r w:rsidRPr="000C34AA">
      <w:rPr>
        <w:rStyle w:val="SidhuvudBilaga"/>
      </w:rPr>
      <w:t xml:space="preserve"> </w:t>
    </w:r>
    <w:r w:rsidRPr="000C34AA">
      <w:t xml:space="preserve">     </w:t>
    </w:r>
    <w:r w:rsidRPr="000C34AA">
      <w:rPr>
        <w:rStyle w:val="SidhuvudUtskott"/>
      </w:rPr>
      <w:t>2001/02:RS3</w:t>
    </w:r>
  </w:p>
  <w:p w:rsidR="009C332F" w:rsidRPr="000C34AA" w:rsidRDefault="009C332F">
    <w:pPr>
      <w:pStyle w:val="SidhuvudKantUdda"/>
      <w:framePr w:w="8732" w:h="567" w:hRule="exact" w:vSpace="0" w:wrap="around" w:vAnchor="page" w:y="341" w:anchorLock="0"/>
    </w:pPr>
  </w:p>
  <w:p w:rsidR="009C332F" w:rsidRPr="000C34AA" w:rsidRDefault="009C332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Udda"/>
      <w:framePr w:w="8732" w:h="567" w:hRule="exact" w:vSpace="0" w:wrap="around" w:vAnchor="page" w:y="341" w:anchorLock="0"/>
    </w:pPr>
    <w:r w:rsidRPr="000C34AA">
      <w:t xml:space="preserve"> </w:t>
    </w:r>
  </w:p>
  <w:p w:rsidR="009C332F" w:rsidRPr="000C34AA" w:rsidRDefault="009C332F">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Jmn"/>
      <w:framePr w:w="8732" w:h="567" w:hRule="exact" w:vSpace="0" w:wrap="around" w:vAnchor="page" w:y="341" w:anchorLock="0"/>
    </w:pPr>
    <w:r w:rsidRPr="000C34AA">
      <w:rPr>
        <w:rStyle w:val="SidhuvudUtskott"/>
      </w:rPr>
      <w:t>2001/02:RS3</w:t>
    </w:r>
    <w:r w:rsidRPr="000C34AA">
      <w:t xml:space="preserve">    </w:t>
    </w:r>
  </w:p>
  <w:p w:rsidR="009C332F" w:rsidRPr="000C34AA" w:rsidRDefault="009C332F">
    <w:pPr>
      <w:pStyle w:val="SidhuvudKantJmn"/>
      <w:framePr w:w="8732" w:h="567" w:hRule="exact" w:vSpace="0" w:wrap="around" w:vAnchor="page" w:y="341" w:anchorLock="0"/>
    </w:pPr>
  </w:p>
  <w:p w:rsidR="009C332F" w:rsidRPr="000C34AA" w:rsidRDefault="009C332F">
    <w:pPr>
      <w:pStyle w:val="SidhuvudKantUdda"/>
      <w:framePr w:w="8732" w:h="567" w:hRule="exact" w:vSpace="0" w:wrap="around" w:vAnchor="page" w:y="341" w:anchorLock="0"/>
    </w:pPr>
    <w:r w:rsidRPr="000C34AA">
      <w:rPr>
        <w:rStyle w:val="SidhuvudRubrikReferens"/>
        <w:smallCaps w:val="0"/>
        <w:spacing w:val="0"/>
        <w:sz w:val="19"/>
      </w:rPr>
      <w:t xml:space="preserve"> </w:t>
    </w:r>
  </w:p>
  <w:p w:rsidR="009C332F" w:rsidRPr="000C34AA" w:rsidRDefault="009C332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Jmn"/>
      <w:framePr w:w="8732" w:h="567" w:hRule="exact" w:vSpace="0" w:wrap="around" w:vAnchor="page" w:y="341" w:anchorLock="0"/>
    </w:pPr>
    <w:r w:rsidRPr="000C34AA">
      <w:rPr>
        <w:rStyle w:val="SidhuvudUtskott"/>
      </w:rPr>
      <w:fldChar w:fldCharType="begin" w:fldLock="1"/>
    </w:r>
    <w:r w:rsidRPr="000C34AA">
      <w:rPr>
        <w:rStyle w:val="SidhuvudUtskott"/>
      </w:rPr>
      <w:instrText xml:space="preserve"> DOCPROPERTY BetänkandeÅr</w:instrText>
    </w:r>
    <w:r w:rsidRPr="000C34AA">
      <w:rPr>
        <w:rStyle w:val="SidhuvudUtskott"/>
      </w:rPr>
      <w:fldChar w:fldCharType="separate"/>
    </w:r>
    <w:r w:rsidRPr="000C34AA">
      <w:rPr>
        <w:rStyle w:val="SidhuvudUtskott"/>
      </w:rPr>
      <w:t>2001/02</w:t>
    </w:r>
    <w:r w:rsidRPr="000C34AA">
      <w:rPr>
        <w:rStyle w:val="SidhuvudUtskott"/>
      </w:rPr>
      <w:fldChar w:fldCharType="end"/>
    </w:r>
    <w:r w:rsidRPr="000C34AA">
      <w:rPr>
        <w:rStyle w:val="SidhuvudUtskott"/>
      </w:rPr>
      <w:t>:</w:t>
    </w:r>
    <w:r w:rsidRPr="000C34AA">
      <w:rPr>
        <w:rStyle w:val="SidhuvudUtskott"/>
      </w:rPr>
      <w:fldChar w:fldCharType="begin" w:fldLock="1"/>
    </w:r>
    <w:r w:rsidRPr="000C34AA">
      <w:rPr>
        <w:rStyle w:val="SidhuvudUtskott"/>
      </w:rPr>
      <w:instrText xml:space="preserve"> DOCPROPERTY Utskott</w:instrText>
    </w:r>
    <w:r w:rsidRPr="000C34AA">
      <w:rPr>
        <w:rStyle w:val="SidhuvudUtskott"/>
      </w:rPr>
      <w:fldChar w:fldCharType="separate"/>
    </w:r>
    <w:r w:rsidRPr="000C34AA">
      <w:rPr>
        <w:rStyle w:val="SidhuvudUtskott"/>
      </w:rPr>
      <w:t>RS</w:t>
    </w:r>
    <w:r w:rsidRPr="000C34AA">
      <w:rPr>
        <w:rStyle w:val="SidhuvudUtskott"/>
      </w:rPr>
      <w:fldChar w:fldCharType="end"/>
    </w:r>
    <w:r w:rsidRPr="000C34AA">
      <w:rPr>
        <w:rStyle w:val="SidhuvudUtskott"/>
      </w:rPr>
      <w:fldChar w:fldCharType="begin" w:fldLock="1"/>
    </w:r>
    <w:r w:rsidRPr="000C34AA">
      <w:rPr>
        <w:rStyle w:val="SidhuvudUtskott"/>
      </w:rPr>
      <w:instrText xml:space="preserve"> DOCPROPERTY BetänkandeNr</w:instrText>
    </w:r>
    <w:r w:rsidRPr="000C34AA">
      <w:rPr>
        <w:rStyle w:val="SidhuvudUtskott"/>
      </w:rPr>
      <w:fldChar w:fldCharType="separate"/>
    </w:r>
    <w:r w:rsidRPr="000C34AA">
      <w:rPr>
        <w:rStyle w:val="SidhuvudUtskott"/>
      </w:rPr>
      <w:t>3</w:t>
    </w:r>
    <w:r w:rsidRPr="000C34AA">
      <w:rPr>
        <w:rStyle w:val="SidhuvudUtskott"/>
      </w:rPr>
      <w:fldChar w:fldCharType="end"/>
    </w:r>
    <w:r w:rsidRPr="000C34AA">
      <w:t xml:space="preserve">     </w:t>
    </w:r>
    <w:r w:rsidRPr="000C34AA">
      <w:rPr>
        <w:rStyle w:val="SidhuvudBilaga"/>
      </w:rPr>
      <w:t xml:space="preserve"> </w:t>
    </w:r>
    <w:r w:rsidRPr="000C34AA">
      <w:rPr>
        <w:rStyle w:val="SidhuvudRubrikReferens"/>
      </w:rPr>
      <w:fldChar w:fldCharType="begin" w:fldLock="1"/>
    </w:r>
    <w:r w:rsidRPr="000C34AA">
      <w:rPr>
        <w:rStyle w:val="SidhuvudRubrikReferens"/>
      </w:rPr>
      <w:instrText xml:space="preserve"> StyleREF "Rubrik 1" </w:instrText>
    </w:r>
    <w:r w:rsidRPr="000C34AA">
      <w:rPr>
        <w:rStyle w:val="SidhuvudRubrikReferens"/>
      </w:rPr>
      <w:fldChar w:fldCharType="separate"/>
    </w:r>
    <w:r w:rsidRPr="000C34AA">
      <w:rPr>
        <w:rStyle w:val="SidhuvudRubrikReferens"/>
      </w:rPr>
      <w:t>Sammanfattning</w:t>
    </w:r>
    <w:r w:rsidRPr="000C34AA">
      <w:rPr>
        <w:rStyle w:val="SidhuvudRubrikReferens"/>
      </w:rPr>
      <w:fldChar w:fldCharType="end"/>
    </w:r>
  </w:p>
  <w:p w:rsidR="009C332F" w:rsidRPr="000C34AA" w:rsidRDefault="009C332F">
    <w:pPr>
      <w:pStyle w:val="SidhuvudKantJmn"/>
      <w:framePr w:w="8732" w:h="567" w:hRule="exact" w:vSpace="0" w:wrap="around" w:vAnchor="page" w:y="341" w:anchorLock="0"/>
    </w:pPr>
    <w:r w:rsidRPr="000C34AA">
      <w:rPr>
        <w:rStyle w:val="SidhuvudUtskott"/>
      </w:rPr>
      <w:fldChar w:fldCharType="begin" w:fldLock="1"/>
    </w:r>
    <w:r w:rsidRPr="000C34AA">
      <w:rPr>
        <w:rStyle w:val="SidhuvudUtskott"/>
      </w:rPr>
      <w:instrText xml:space="preserve"> DOCPROPERTY Status</w:instrText>
    </w:r>
    <w:r w:rsidRPr="000C34AA">
      <w:rPr>
        <w:rStyle w:val="SidhuvudUtskott"/>
      </w:rPr>
      <w:fldChar w:fldCharType="end"/>
    </w:r>
    <w:r w:rsidRPr="000C34AA">
      <w:rPr>
        <w:rStyle w:val="SidhuvudUtskott"/>
      </w:rPr>
      <w:fldChar w:fldCharType="begin" w:fldLock="1"/>
    </w:r>
    <w:r w:rsidRPr="000C34AA">
      <w:rPr>
        <w:rStyle w:val="SidhuvudUtskott"/>
      </w:rPr>
      <w:instrText xml:space="preserve"> if </w:instrText>
    </w:r>
    <w:r w:rsidRPr="000C34AA">
      <w:rPr>
        <w:rStyle w:val="SidhuvudUtskott"/>
      </w:rPr>
      <w:fldChar w:fldCharType="begin" w:fldLock="1"/>
    </w:r>
    <w:r w:rsidRPr="000C34AA">
      <w:rPr>
        <w:rStyle w:val="SidhuvudUtskott"/>
      </w:rPr>
      <w:instrText xml:space="preserve"> DOCPROPERTY "UtkastDatum"</w:instrText>
    </w:r>
    <w:r w:rsidRPr="000C34AA">
      <w:rPr>
        <w:rStyle w:val="SidhuvudUtskott"/>
      </w:rPr>
      <w:fldChar w:fldCharType="separate"/>
    </w:r>
    <w:r w:rsidRPr="000C34AA">
      <w:rPr>
        <w:rStyle w:val="SidhuvudUtskott"/>
      </w:rPr>
      <w:instrText>Nej</w:instrText>
    </w:r>
    <w:r w:rsidRPr="000C34AA">
      <w:rPr>
        <w:rStyle w:val="SidhuvudUtskott"/>
      </w:rPr>
      <w:fldChar w:fldCharType="end"/>
    </w:r>
    <w:r w:rsidRPr="000C34AA">
      <w:rPr>
        <w:rStyle w:val="SidhuvudUtskott"/>
      </w:rPr>
      <w:instrText xml:space="preserve"> = "Ja" "    </w:instrText>
    </w:r>
    <w:r w:rsidRPr="000C34AA">
      <w:rPr>
        <w:rStyle w:val="SidhuvudUtskott"/>
      </w:rPr>
      <w:fldChar w:fldCharType="begin" w:fldLock="1"/>
    </w:r>
    <w:r w:rsidRPr="000C34AA">
      <w:rPr>
        <w:rStyle w:val="SidhuvudUtskott"/>
      </w:rPr>
      <w:instrText xml:space="preserve"> PRINTDATE \@ "yyyy-MM-dd HH.mm" </w:instrText>
    </w:r>
    <w:r w:rsidRPr="000C34AA">
      <w:rPr>
        <w:rStyle w:val="SidhuvudUtskott"/>
      </w:rPr>
      <w:fldChar w:fldCharType="separate"/>
    </w:r>
    <w:r w:rsidRPr="000C34AA">
      <w:rPr>
        <w:rStyle w:val="SidhuvudUtskott"/>
      </w:rPr>
      <w:instrText>2000-08-11 16.42</w:instrText>
    </w:r>
    <w:r w:rsidRPr="000C34AA">
      <w:rPr>
        <w:rStyle w:val="SidhuvudUtskott"/>
      </w:rPr>
      <w:fldChar w:fldCharType="end"/>
    </w:r>
    <w:r w:rsidRPr="000C34AA">
      <w:rPr>
        <w:rStyle w:val="SidhuvudUtskott"/>
      </w:rPr>
      <w:instrText xml:space="preserve">" </w:instrText>
    </w:r>
    <w:r w:rsidRPr="000C34AA">
      <w:rPr>
        <w:rStyle w:val="SidhuvudUtskott"/>
      </w:rPr>
      <w:fldChar w:fldCharType="end"/>
    </w:r>
  </w:p>
  <w:p w:rsidR="009C332F" w:rsidRPr="000C34AA" w:rsidRDefault="009C332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Udda"/>
      <w:framePr w:w="8732" w:h="567" w:hRule="exact" w:vSpace="0" w:wrap="around" w:vAnchor="page" w:y="341" w:anchorLock="0"/>
    </w:pPr>
    <w:r w:rsidRPr="000C34AA">
      <w:rPr>
        <w:rStyle w:val="SidhuvudRubrikReferens"/>
      </w:rPr>
      <w:t>Innehållsförteckning</w:t>
    </w:r>
    <w:r w:rsidRPr="000C34AA">
      <w:rPr>
        <w:rStyle w:val="SidhuvudBilaga"/>
      </w:rPr>
      <w:t xml:space="preserve"> </w:t>
    </w:r>
    <w:r w:rsidRPr="000C34AA">
      <w:t xml:space="preserve">     </w:t>
    </w:r>
    <w:r w:rsidRPr="000C34AA">
      <w:rPr>
        <w:rStyle w:val="SidhuvudUtskott"/>
      </w:rPr>
      <w:t>2001/02:RS3</w:t>
    </w:r>
  </w:p>
  <w:p w:rsidR="009C332F" w:rsidRPr="000C34AA" w:rsidRDefault="009C332F">
    <w:pPr>
      <w:pStyle w:val="SidhuvudKantUdda"/>
      <w:framePr w:w="8732" w:h="567" w:hRule="exact" w:vSpace="0" w:wrap="around" w:vAnchor="page" w:y="341" w:anchorLock="0"/>
    </w:pPr>
  </w:p>
  <w:p w:rsidR="009C332F" w:rsidRPr="000C34AA" w:rsidRDefault="009C332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Jmn"/>
      <w:framePr w:w="8732" w:h="567" w:hRule="exact" w:vSpace="0" w:wrap="around" w:vAnchor="page" w:y="341" w:anchorLock="0"/>
    </w:pPr>
    <w:r w:rsidRPr="000C34AA">
      <w:rPr>
        <w:rStyle w:val="SidhuvudUtskott"/>
      </w:rPr>
      <w:t>2001/02:RS3</w:t>
    </w:r>
    <w:r w:rsidRPr="000C34AA">
      <w:t xml:space="preserve">    </w:t>
    </w:r>
  </w:p>
  <w:p w:rsidR="009C332F" w:rsidRPr="000C34AA" w:rsidRDefault="009C332F">
    <w:pPr>
      <w:pStyle w:val="SidhuvudKantJmn"/>
      <w:framePr w:w="8732" w:h="567" w:hRule="exact" w:vSpace="0" w:wrap="around" w:vAnchor="page" w:y="341" w:anchorLock="0"/>
    </w:pPr>
  </w:p>
  <w:p w:rsidR="009C332F" w:rsidRPr="000C34AA" w:rsidRDefault="009C332F">
    <w:pPr>
      <w:pStyle w:val="SidhuvudKantUdda"/>
      <w:framePr w:w="8732" w:h="567" w:hRule="exact" w:vSpace="0" w:wrap="around" w:vAnchor="page" w:y="341" w:anchorLock="0"/>
    </w:pPr>
    <w:r w:rsidRPr="000C34AA">
      <w:rPr>
        <w:rStyle w:val="SidhuvudRubrikReferens"/>
        <w:smallCaps w:val="0"/>
        <w:spacing w:val="0"/>
        <w:sz w:val="19"/>
      </w:rPr>
      <w:t xml:space="preserve"> </w:t>
    </w:r>
  </w:p>
  <w:p w:rsidR="009C332F" w:rsidRPr="000C34AA" w:rsidRDefault="009C332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Jmn"/>
      <w:framePr w:w="8732" w:h="567" w:hRule="exact" w:vSpace="0" w:wrap="around" w:vAnchor="page" w:y="341" w:anchorLock="0"/>
    </w:pPr>
    <w:r w:rsidRPr="000C34AA">
      <w:rPr>
        <w:rStyle w:val="SidhuvudUtskott"/>
      </w:rPr>
      <w:fldChar w:fldCharType="begin" w:fldLock="1"/>
    </w:r>
    <w:r w:rsidRPr="000C34AA">
      <w:rPr>
        <w:rStyle w:val="SidhuvudUtskott"/>
      </w:rPr>
      <w:instrText xml:space="preserve"> DOCPROPERTY BetänkandeÅr</w:instrText>
    </w:r>
    <w:r w:rsidRPr="000C34AA">
      <w:rPr>
        <w:rStyle w:val="SidhuvudUtskott"/>
      </w:rPr>
      <w:fldChar w:fldCharType="separate"/>
    </w:r>
    <w:r w:rsidRPr="000C34AA">
      <w:rPr>
        <w:rStyle w:val="SidhuvudUtskott"/>
      </w:rPr>
      <w:t>2001/02</w:t>
    </w:r>
    <w:r w:rsidRPr="000C34AA">
      <w:rPr>
        <w:rStyle w:val="SidhuvudUtskott"/>
      </w:rPr>
      <w:fldChar w:fldCharType="end"/>
    </w:r>
    <w:r w:rsidRPr="000C34AA">
      <w:rPr>
        <w:rStyle w:val="SidhuvudUtskott"/>
      </w:rPr>
      <w:t>:</w:t>
    </w:r>
    <w:r w:rsidRPr="000C34AA">
      <w:rPr>
        <w:rStyle w:val="SidhuvudUtskott"/>
      </w:rPr>
      <w:fldChar w:fldCharType="begin" w:fldLock="1"/>
    </w:r>
    <w:r w:rsidRPr="000C34AA">
      <w:rPr>
        <w:rStyle w:val="SidhuvudUtskott"/>
      </w:rPr>
      <w:instrText xml:space="preserve"> DOCPROPERTY Utskott</w:instrText>
    </w:r>
    <w:r w:rsidRPr="000C34AA">
      <w:rPr>
        <w:rStyle w:val="SidhuvudUtskott"/>
      </w:rPr>
      <w:fldChar w:fldCharType="separate"/>
    </w:r>
    <w:r w:rsidRPr="000C34AA">
      <w:rPr>
        <w:rStyle w:val="SidhuvudUtskott"/>
      </w:rPr>
      <w:t>RS</w:t>
    </w:r>
    <w:r w:rsidRPr="000C34AA">
      <w:rPr>
        <w:rStyle w:val="SidhuvudUtskott"/>
      </w:rPr>
      <w:fldChar w:fldCharType="end"/>
    </w:r>
    <w:r w:rsidRPr="000C34AA">
      <w:rPr>
        <w:rStyle w:val="SidhuvudUtskott"/>
      </w:rPr>
      <w:fldChar w:fldCharType="begin" w:fldLock="1"/>
    </w:r>
    <w:r w:rsidRPr="000C34AA">
      <w:rPr>
        <w:rStyle w:val="SidhuvudUtskott"/>
      </w:rPr>
      <w:instrText xml:space="preserve"> DOCPROPERTY BetänkandeNr</w:instrText>
    </w:r>
    <w:r w:rsidRPr="000C34AA">
      <w:rPr>
        <w:rStyle w:val="SidhuvudUtskott"/>
      </w:rPr>
      <w:fldChar w:fldCharType="separate"/>
    </w:r>
    <w:r w:rsidRPr="000C34AA">
      <w:rPr>
        <w:rStyle w:val="SidhuvudUtskott"/>
      </w:rPr>
      <w:t>3</w:t>
    </w:r>
    <w:r w:rsidRPr="000C34AA">
      <w:rPr>
        <w:rStyle w:val="SidhuvudUtskott"/>
      </w:rPr>
      <w:fldChar w:fldCharType="end"/>
    </w:r>
    <w:r w:rsidRPr="000C34AA">
      <w:t xml:space="preserve">     </w:t>
    </w:r>
    <w:r w:rsidRPr="000C34AA">
      <w:rPr>
        <w:rStyle w:val="SidhuvudBilaga"/>
      </w:rPr>
      <w:t xml:space="preserve"> </w:t>
    </w:r>
    <w:r w:rsidRPr="000C34AA">
      <w:rPr>
        <w:rStyle w:val="SidhuvudRubrikReferens"/>
      </w:rPr>
      <w:fldChar w:fldCharType="begin" w:fldLock="1"/>
    </w:r>
    <w:r w:rsidRPr="000C34AA">
      <w:rPr>
        <w:rStyle w:val="SidhuvudRubrikReferens"/>
      </w:rPr>
      <w:instrText xml:space="preserve"> StyleREF "Rubrik 1" </w:instrText>
    </w:r>
    <w:r w:rsidRPr="000C34AA">
      <w:rPr>
        <w:rStyle w:val="SidhuvudRubrikReferens"/>
      </w:rPr>
      <w:fldChar w:fldCharType="separate"/>
    </w:r>
    <w:r w:rsidRPr="000C34AA">
      <w:rPr>
        <w:rStyle w:val="SidhuvudRubrikReferens"/>
      </w:rPr>
      <w:t>Innehållsförteckning</w:t>
    </w:r>
    <w:r w:rsidRPr="000C34AA">
      <w:rPr>
        <w:rStyle w:val="SidhuvudRubrikReferens"/>
      </w:rPr>
      <w:fldChar w:fldCharType="end"/>
    </w:r>
  </w:p>
  <w:p w:rsidR="009C332F" w:rsidRPr="000C34AA" w:rsidRDefault="009C332F">
    <w:pPr>
      <w:pStyle w:val="SidhuvudKantJmn"/>
      <w:framePr w:w="8732" w:h="567" w:hRule="exact" w:vSpace="0" w:wrap="around" w:vAnchor="page" w:y="341" w:anchorLock="0"/>
    </w:pPr>
    <w:r w:rsidRPr="000C34AA">
      <w:rPr>
        <w:rStyle w:val="SidhuvudUtskott"/>
      </w:rPr>
      <w:fldChar w:fldCharType="begin" w:fldLock="1"/>
    </w:r>
    <w:r w:rsidRPr="000C34AA">
      <w:rPr>
        <w:rStyle w:val="SidhuvudUtskott"/>
      </w:rPr>
      <w:instrText xml:space="preserve"> DOCPROPERTY Status</w:instrText>
    </w:r>
    <w:r w:rsidRPr="000C34AA">
      <w:rPr>
        <w:rStyle w:val="SidhuvudUtskott"/>
      </w:rPr>
      <w:fldChar w:fldCharType="end"/>
    </w:r>
    <w:r w:rsidRPr="000C34AA">
      <w:rPr>
        <w:rStyle w:val="SidhuvudUtskott"/>
      </w:rPr>
      <w:fldChar w:fldCharType="begin" w:fldLock="1"/>
    </w:r>
    <w:r w:rsidRPr="000C34AA">
      <w:rPr>
        <w:rStyle w:val="SidhuvudUtskott"/>
      </w:rPr>
      <w:instrText xml:space="preserve"> if </w:instrText>
    </w:r>
    <w:r w:rsidRPr="000C34AA">
      <w:rPr>
        <w:rStyle w:val="SidhuvudUtskott"/>
      </w:rPr>
      <w:fldChar w:fldCharType="begin" w:fldLock="1"/>
    </w:r>
    <w:r w:rsidRPr="000C34AA">
      <w:rPr>
        <w:rStyle w:val="SidhuvudUtskott"/>
      </w:rPr>
      <w:instrText xml:space="preserve"> DOCPROPERTY "UtkastDatum"</w:instrText>
    </w:r>
    <w:r w:rsidRPr="000C34AA">
      <w:rPr>
        <w:rStyle w:val="SidhuvudUtskott"/>
      </w:rPr>
      <w:fldChar w:fldCharType="separate"/>
    </w:r>
    <w:r w:rsidRPr="000C34AA">
      <w:rPr>
        <w:rStyle w:val="SidhuvudUtskott"/>
      </w:rPr>
      <w:instrText>Nej</w:instrText>
    </w:r>
    <w:r w:rsidRPr="000C34AA">
      <w:rPr>
        <w:rStyle w:val="SidhuvudUtskott"/>
      </w:rPr>
      <w:fldChar w:fldCharType="end"/>
    </w:r>
    <w:r w:rsidRPr="000C34AA">
      <w:rPr>
        <w:rStyle w:val="SidhuvudUtskott"/>
      </w:rPr>
      <w:instrText xml:space="preserve"> = "Ja" "    </w:instrText>
    </w:r>
    <w:r w:rsidRPr="000C34AA">
      <w:rPr>
        <w:rStyle w:val="SidhuvudUtskott"/>
      </w:rPr>
      <w:fldChar w:fldCharType="begin" w:fldLock="1"/>
    </w:r>
    <w:r w:rsidRPr="000C34AA">
      <w:rPr>
        <w:rStyle w:val="SidhuvudUtskott"/>
      </w:rPr>
      <w:instrText xml:space="preserve"> PRINTDATE \@ "yyyy-MM-dd HH.mm" </w:instrText>
    </w:r>
    <w:r w:rsidRPr="000C34AA">
      <w:rPr>
        <w:rStyle w:val="SidhuvudUtskott"/>
      </w:rPr>
      <w:fldChar w:fldCharType="separate"/>
    </w:r>
    <w:r w:rsidRPr="000C34AA">
      <w:rPr>
        <w:rStyle w:val="SidhuvudUtskott"/>
      </w:rPr>
      <w:instrText>2000-08-11 16.42</w:instrText>
    </w:r>
    <w:r w:rsidRPr="000C34AA">
      <w:rPr>
        <w:rStyle w:val="SidhuvudUtskott"/>
      </w:rPr>
      <w:fldChar w:fldCharType="end"/>
    </w:r>
    <w:r w:rsidRPr="000C34AA">
      <w:rPr>
        <w:rStyle w:val="SidhuvudUtskott"/>
      </w:rPr>
      <w:instrText xml:space="preserve">" </w:instrText>
    </w:r>
    <w:r w:rsidRPr="000C34AA">
      <w:rPr>
        <w:rStyle w:val="SidhuvudUtskott"/>
      </w:rPr>
      <w:fldChar w:fldCharType="end"/>
    </w:r>
  </w:p>
  <w:p w:rsidR="009C332F" w:rsidRPr="000C34AA" w:rsidRDefault="009C332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Udda"/>
      <w:framePr w:w="8732" w:h="567" w:hRule="exact" w:vSpace="0" w:wrap="around" w:vAnchor="page" w:y="341" w:anchorLock="0"/>
    </w:pPr>
    <w:r w:rsidRPr="000C34AA">
      <w:rPr>
        <w:rStyle w:val="SidhuvudRubrikReferens"/>
      </w:rPr>
      <w:fldChar w:fldCharType="begin" w:fldLock="1"/>
    </w:r>
    <w:r w:rsidRPr="000C34AA">
      <w:rPr>
        <w:rStyle w:val="SidhuvudRubrikReferens"/>
      </w:rPr>
      <w:instrText xml:space="preserve"> StyleREF "Rubrik 1" </w:instrText>
    </w:r>
    <w:r w:rsidRPr="000C34AA">
      <w:rPr>
        <w:rStyle w:val="SidhuvudRubrikReferens"/>
      </w:rPr>
      <w:fldChar w:fldCharType="separate"/>
    </w:r>
    <w:r w:rsidRPr="000C34AA">
      <w:rPr>
        <w:rStyle w:val="SidhuvudRubrikReferens"/>
      </w:rPr>
      <w:t>Innehållsförteckning</w:t>
    </w:r>
    <w:r w:rsidRPr="000C34AA">
      <w:rPr>
        <w:rStyle w:val="SidhuvudRubrikReferens"/>
      </w:rPr>
      <w:fldChar w:fldCharType="end"/>
    </w:r>
    <w:r w:rsidRPr="000C34AA">
      <w:rPr>
        <w:rStyle w:val="SidhuvudBilaga"/>
      </w:rPr>
      <w:t xml:space="preserve"> </w:t>
    </w:r>
    <w:r w:rsidRPr="000C34AA">
      <w:t xml:space="preserve">     </w:t>
    </w:r>
    <w:r w:rsidRPr="000C34AA">
      <w:rPr>
        <w:rStyle w:val="SidhuvudUtskott"/>
      </w:rPr>
      <w:fldChar w:fldCharType="begin" w:fldLock="1"/>
    </w:r>
    <w:r w:rsidRPr="000C34AA">
      <w:rPr>
        <w:rStyle w:val="SidhuvudUtskott"/>
      </w:rPr>
      <w:instrText xml:space="preserve"> DOCPROPERTY BetänkandeÅr</w:instrText>
    </w:r>
    <w:r w:rsidRPr="000C34AA">
      <w:rPr>
        <w:rStyle w:val="SidhuvudUtskott"/>
      </w:rPr>
      <w:fldChar w:fldCharType="separate"/>
    </w:r>
    <w:r w:rsidRPr="000C34AA">
      <w:rPr>
        <w:rStyle w:val="SidhuvudUtskott"/>
      </w:rPr>
      <w:t>2001/02</w:t>
    </w:r>
    <w:r w:rsidRPr="000C34AA">
      <w:rPr>
        <w:rStyle w:val="SidhuvudUtskott"/>
      </w:rPr>
      <w:fldChar w:fldCharType="end"/>
    </w:r>
    <w:r w:rsidRPr="000C34AA">
      <w:rPr>
        <w:rStyle w:val="SidhuvudUtskott"/>
      </w:rPr>
      <w:t>:</w:t>
    </w:r>
    <w:r w:rsidRPr="000C34AA">
      <w:rPr>
        <w:rStyle w:val="SidhuvudUtskott"/>
      </w:rPr>
      <w:fldChar w:fldCharType="begin" w:fldLock="1"/>
    </w:r>
    <w:r w:rsidRPr="000C34AA">
      <w:rPr>
        <w:rStyle w:val="SidhuvudUtskott"/>
      </w:rPr>
      <w:instrText xml:space="preserve"> DOCPROPERTY</w:instrText>
    </w:r>
    <w:r w:rsidRPr="000C34AA">
      <w:instrText xml:space="preserve"> </w:instrText>
    </w:r>
    <w:r w:rsidRPr="000C34AA">
      <w:rPr>
        <w:rStyle w:val="SidhuvudUtskott"/>
      </w:rPr>
      <w:instrText>Utskott</w:instrText>
    </w:r>
    <w:r w:rsidRPr="000C34AA">
      <w:rPr>
        <w:rStyle w:val="SidhuvudUtskott"/>
      </w:rPr>
      <w:fldChar w:fldCharType="separate"/>
    </w:r>
    <w:r w:rsidRPr="000C34AA">
      <w:rPr>
        <w:rStyle w:val="SidhuvudUtskott"/>
      </w:rPr>
      <w:t>RS</w:t>
    </w:r>
    <w:r w:rsidRPr="000C34AA">
      <w:rPr>
        <w:rStyle w:val="SidhuvudUtskott"/>
      </w:rPr>
      <w:fldChar w:fldCharType="end"/>
    </w:r>
    <w:r w:rsidRPr="000C34AA">
      <w:rPr>
        <w:rStyle w:val="SidhuvudUtskott"/>
      </w:rPr>
      <w:fldChar w:fldCharType="begin" w:fldLock="1"/>
    </w:r>
    <w:r w:rsidRPr="000C34AA">
      <w:rPr>
        <w:rStyle w:val="SidhuvudUtskott"/>
      </w:rPr>
      <w:instrText xml:space="preserve"> DOCPROPERTY Betä</w:instrText>
    </w:r>
    <w:r w:rsidRPr="000C34AA">
      <w:rPr>
        <w:rStyle w:val="SidhuvudUtskott"/>
      </w:rPr>
      <w:instrText>n</w:instrText>
    </w:r>
    <w:r w:rsidRPr="000C34AA">
      <w:rPr>
        <w:rStyle w:val="SidhuvudUtskott"/>
      </w:rPr>
      <w:instrText>kandeNr</w:instrText>
    </w:r>
    <w:r w:rsidRPr="000C34AA">
      <w:rPr>
        <w:rStyle w:val="SidhuvudUtskott"/>
      </w:rPr>
      <w:fldChar w:fldCharType="separate"/>
    </w:r>
    <w:r w:rsidRPr="000C34AA">
      <w:rPr>
        <w:rStyle w:val="SidhuvudUtskott"/>
      </w:rPr>
      <w:t>3</w:t>
    </w:r>
    <w:r w:rsidRPr="000C34AA">
      <w:rPr>
        <w:rStyle w:val="SidhuvudUtskott"/>
      </w:rPr>
      <w:fldChar w:fldCharType="end"/>
    </w:r>
  </w:p>
  <w:p w:rsidR="009C332F" w:rsidRPr="000C34AA" w:rsidRDefault="009C332F">
    <w:pPr>
      <w:pStyle w:val="SidhuvudKantUdda"/>
      <w:framePr w:w="8732" w:h="567" w:hRule="exact" w:vSpace="0" w:wrap="around" w:vAnchor="page" w:y="341" w:anchorLock="0"/>
    </w:pPr>
    <w:r w:rsidRPr="000C34AA">
      <w:rPr>
        <w:rStyle w:val="SidhuvudUtskott"/>
      </w:rPr>
      <w:fldChar w:fldCharType="begin" w:fldLock="1"/>
    </w:r>
    <w:r w:rsidRPr="000C34AA">
      <w:rPr>
        <w:rStyle w:val="SidhuvudUtskott"/>
      </w:rPr>
      <w:instrText xml:space="preserve"> if </w:instrText>
    </w:r>
    <w:r w:rsidRPr="000C34AA">
      <w:rPr>
        <w:rStyle w:val="SidhuvudUtskott"/>
      </w:rPr>
      <w:fldChar w:fldCharType="begin" w:fldLock="1"/>
    </w:r>
    <w:r w:rsidRPr="000C34AA">
      <w:rPr>
        <w:rStyle w:val="SidhuvudUtskott"/>
      </w:rPr>
      <w:instrText xml:space="preserve"> DOCPROPERTY "UtkastDatum"</w:instrText>
    </w:r>
    <w:r w:rsidRPr="000C34AA">
      <w:rPr>
        <w:rStyle w:val="SidhuvudUtskott"/>
      </w:rPr>
      <w:fldChar w:fldCharType="separate"/>
    </w:r>
    <w:r w:rsidRPr="000C34AA">
      <w:rPr>
        <w:rStyle w:val="SidhuvudUtskott"/>
      </w:rPr>
      <w:instrText>Nej</w:instrText>
    </w:r>
    <w:r w:rsidRPr="000C34AA">
      <w:rPr>
        <w:rStyle w:val="SidhuvudUtskott"/>
      </w:rPr>
      <w:fldChar w:fldCharType="end"/>
    </w:r>
    <w:r w:rsidRPr="000C34AA">
      <w:rPr>
        <w:rStyle w:val="SidhuvudUtskott"/>
      </w:rPr>
      <w:instrText xml:space="preserve"> = "Ja" "</w:instrText>
    </w:r>
    <w:r w:rsidRPr="000C34AA">
      <w:rPr>
        <w:rStyle w:val="SidhuvudUtskott"/>
      </w:rPr>
      <w:fldChar w:fldCharType="begin" w:fldLock="1"/>
    </w:r>
    <w:r w:rsidRPr="000C34AA">
      <w:rPr>
        <w:rStyle w:val="SidhuvudUtskott"/>
      </w:rPr>
      <w:instrText xml:space="preserve"> PRINTDATE \@ "yyyy-MM-dd HH.mm    " </w:instrText>
    </w:r>
    <w:r w:rsidRPr="000C34AA">
      <w:rPr>
        <w:rStyle w:val="SidhuvudUtskott"/>
      </w:rPr>
      <w:fldChar w:fldCharType="separate"/>
    </w:r>
    <w:r w:rsidRPr="000C34AA">
      <w:rPr>
        <w:rStyle w:val="SidhuvudUtskott"/>
      </w:rPr>
      <w:instrText>2000-08-11 16.42</w:instrText>
    </w:r>
    <w:r w:rsidRPr="000C34AA">
      <w:rPr>
        <w:rStyle w:val="SidhuvudUtskott"/>
      </w:rPr>
      <w:fldChar w:fldCharType="end"/>
    </w:r>
    <w:r w:rsidRPr="000C34AA">
      <w:rPr>
        <w:rStyle w:val="SidhuvudUtskott"/>
      </w:rPr>
      <w:instrText xml:space="preserve">" </w:instrText>
    </w:r>
    <w:r w:rsidRPr="000C34AA">
      <w:rPr>
        <w:rStyle w:val="SidhuvudUtskott"/>
      </w:rPr>
      <w:fldChar w:fldCharType="end"/>
    </w:r>
    <w:r w:rsidRPr="000C34AA">
      <w:rPr>
        <w:rStyle w:val="SidhuvudUtskott"/>
      </w:rPr>
      <w:fldChar w:fldCharType="begin" w:fldLock="1"/>
    </w:r>
    <w:r w:rsidRPr="000C34AA">
      <w:rPr>
        <w:rStyle w:val="SidhuvudUtskott"/>
      </w:rPr>
      <w:instrText xml:space="preserve"> DOCPR</w:instrText>
    </w:r>
    <w:r w:rsidRPr="000C34AA">
      <w:rPr>
        <w:rStyle w:val="SidhuvudUtskott"/>
      </w:rPr>
      <w:instrText>O</w:instrText>
    </w:r>
    <w:r w:rsidRPr="000C34AA">
      <w:rPr>
        <w:rStyle w:val="SidhuvudUtskott"/>
      </w:rPr>
      <w:instrText>PERTY Status</w:instrText>
    </w:r>
    <w:r w:rsidRPr="000C34AA">
      <w:rPr>
        <w:rStyle w:val="SidhuvudUtskott"/>
      </w:rPr>
      <w:fldChar w:fldCharType="end"/>
    </w:r>
  </w:p>
  <w:p w:rsidR="009C332F" w:rsidRPr="000C34AA" w:rsidRDefault="009C332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32F" w:rsidRPr="000C34AA" w:rsidRDefault="009C332F">
    <w:pPr>
      <w:pStyle w:val="SidhuvudKantJmn"/>
      <w:framePr w:w="8732" w:h="567" w:hRule="exact" w:vSpace="0" w:wrap="around" w:vAnchor="page" w:y="341" w:anchorLock="0"/>
    </w:pPr>
    <w:r w:rsidRPr="000C34AA">
      <w:rPr>
        <w:rStyle w:val="SidhuvudUtskott"/>
      </w:rPr>
      <w:t>2001/02:RS3</w:t>
    </w:r>
    <w:r w:rsidRPr="000C34AA">
      <w:t xml:space="preserve">    </w:t>
    </w:r>
  </w:p>
  <w:p w:rsidR="009C332F" w:rsidRPr="000C34AA" w:rsidRDefault="009C332F">
    <w:pPr>
      <w:pStyle w:val="SidhuvudKantJmn"/>
      <w:framePr w:w="8732" w:h="567" w:hRule="exact" w:vSpace="0" w:wrap="around" w:vAnchor="page" w:y="341" w:anchorLock="0"/>
    </w:pPr>
  </w:p>
  <w:p w:rsidR="009C332F" w:rsidRPr="000C34AA" w:rsidRDefault="009C332F">
    <w:pPr>
      <w:pStyle w:val="SidhuvudKantUdda"/>
      <w:framePr w:w="8732" w:h="567" w:hRule="exact" w:vSpace="0" w:wrap="around" w:vAnchor="page" w:y="341" w:anchorLock="0"/>
    </w:pPr>
    <w:r w:rsidRPr="000C34AA">
      <w:rPr>
        <w:rStyle w:val="SidhuvudRubrikReferens"/>
        <w:smallCaps w:val="0"/>
        <w:spacing w:val="0"/>
        <w:sz w:val="19"/>
      </w:rPr>
      <w:t xml:space="preserve"> </w:t>
    </w:r>
  </w:p>
  <w:p w:rsidR="009C332F" w:rsidRPr="000C34AA" w:rsidRDefault="009C332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6387CC0"/>
    <w:multiLevelType w:val="singleLevel"/>
    <w:tmpl w:val="26282FD4"/>
    <w:lvl w:ilvl="0">
      <w:numFmt w:val="bullet"/>
      <w:lvlText w:val="-"/>
      <w:lvlJc w:val="left"/>
      <w:pPr>
        <w:tabs>
          <w:tab w:val="num" w:pos="360"/>
        </w:tabs>
        <w:ind w:left="360" w:hanging="360"/>
      </w:pPr>
      <w:rPr>
        <w:rFonts w:hint="default"/>
      </w:rPr>
    </w:lvl>
  </w:abstractNum>
  <w:abstractNum w:abstractNumId="3" w15:restartNumberingAfterBreak="0">
    <w:nsid w:val="3FC407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14A58FB"/>
    <w:multiLevelType w:val="singleLevel"/>
    <w:tmpl w:val="041D000F"/>
    <w:lvl w:ilvl="0">
      <w:start w:val="4"/>
      <w:numFmt w:val="decimal"/>
      <w:lvlText w:val="%1."/>
      <w:lvlJc w:val="left"/>
      <w:pPr>
        <w:tabs>
          <w:tab w:val="num" w:pos="360"/>
        </w:tabs>
        <w:ind w:left="360" w:hanging="360"/>
      </w:pPr>
      <w:rPr>
        <w:rFonts w:hint="default"/>
      </w:rPr>
    </w:lvl>
  </w:abstractNum>
  <w:abstractNum w:abstractNumId="5" w15:restartNumberingAfterBreak="0">
    <w:nsid w:val="545224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2147B7"/>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636A1719"/>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969167634">
    <w:abstractNumId w:val="1"/>
  </w:num>
  <w:num w:numId="2" w16cid:durableId="1913390601">
    <w:abstractNumId w:val="0"/>
  </w:num>
  <w:num w:numId="3" w16cid:durableId="719986107">
    <w:abstractNumId w:val="2"/>
  </w:num>
  <w:num w:numId="4" w16cid:durableId="1205218175">
    <w:abstractNumId w:val="6"/>
  </w:num>
  <w:num w:numId="5" w16cid:durableId="1419598643">
    <w:abstractNumId w:val="4"/>
  </w:num>
  <w:num w:numId="6" w16cid:durableId="266935490">
    <w:abstractNumId w:val="5"/>
  </w:num>
  <w:num w:numId="7" w16cid:durableId="1803578681">
    <w:abstractNumId w:val="3"/>
  </w:num>
  <w:num w:numId="8" w16cid:durableId="114980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102"/>
  </w:docVars>
  <w:rsids>
    <w:rsidRoot w:val="00B73F89"/>
    <w:rsid w:val="000C34AA"/>
    <w:rsid w:val="009C332F"/>
    <w:rsid w:val="00B73F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8C88F2-6819-4640-AD2C-852E0F87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medindrag2">
    <w:name w:val="Body Text Indent 2"/>
    <w:basedOn w:val="Normal"/>
    <w:semiHidden/>
    <w:pPr>
      <w:widowControl w:val="0"/>
      <w:spacing w:before="0" w:line="240" w:lineRule="auto"/>
      <w:ind w:left="3544"/>
      <w:jc w:val="left"/>
    </w:pPr>
    <w:rPr>
      <w:i/>
      <w:sz w:val="24"/>
      <w:lang w:eastAsia="sv-SE"/>
    </w:rPr>
  </w:style>
  <w:style w:type="paragraph" w:styleId="Brdtext">
    <w:name w:val="Body Text"/>
    <w:basedOn w:val="Normal"/>
    <w:semiHidden/>
    <w:pPr>
      <w:widowControl w:val="0"/>
      <w:tabs>
        <w:tab w:val="left" w:pos="5812"/>
      </w:tabs>
      <w:spacing w:before="0" w:line="240" w:lineRule="auto"/>
      <w:ind w:right="-1"/>
      <w:jc w:val="left"/>
    </w:pPr>
    <w:rPr>
      <w:sz w:val="24"/>
      <w:lang w:eastAsia="sv-SE"/>
    </w:rPr>
  </w:style>
  <w:style w:type="paragraph" w:styleId="Brdtext2">
    <w:name w:val="Body Text 2"/>
    <w:basedOn w:val="Normal"/>
    <w:semiHidden/>
    <w:pPr>
      <w:tabs>
        <w:tab w:val="left" w:pos="5812"/>
      </w:tabs>
      <w:ind w:right="-1"/>
    </w:pPr>
  </w:style>
  <w:style w:type="paragraph" w:styleId="Brdtextmedindrag">
    <w:name w:val="Body Text Indent"/>
    <w:basedOn w:val="Normal"/>
    <w:semiHidden/>
    <w:pPr>
      <w:widowControl w:val="0"/>
      <w:spacing w:before="0" w:line="240" w:lineRule="atLeast"/>
      <w:jc w:val="left"/>
    </w:pPr>
    <w:rPr>
      <w:snapToGrid w:val="0"/>
      <w:color w:val="00000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11869</Words>
  <Characters>70502</Characters>
  <Application>Microsoft Office Word</Application>
  <DocSecurity>4</DocSecurity>
  <Lines>1468</Lines>
  <Paragraphs>450</Paragraphs>
  <ScaleCrop>false</ScaleCrop>
  <HeadingPairs>
    <vt:vector size="4" baseType="variant">
      <vt:variant>
        <vt:lpstr>Title</vt:lpstr>
      </vt:variant>
      <vt:variant>
        <vt:i4>1</vt:i4>
      </vt:variant>
      <vt:variant>
        <vt:lpstr>Rubriker</vt:lpstr>
      </vt:variant>
      <vt:variant>
        <vt:i4>42</vt:i4>
      </vt:variant>
    </vt:vector>
  </HeadingPairs>
  <TitlesOfParts>
    <vt:vector size="43" baseType="lpstr">
      <vt:lpstr>Förslag till riksdagen</vt:lpstr>
      <vt:lpstr>Sammanfattning</vt:lpstr>
      <vt:lpstr>Innehållsförteckning</vt:lpstr>
      <vt:lpstr>Riksdagsstyrelsens förslag till riksdagsbeslut</vt:lpstr>
      <vt:lpstr>1 Redogörelse för ärendet</vt:lpstr>
      <vt:lpstr>2 Det nuvarande systemet </vt:lpstr>
      <vt:lpstr>    2.1 Inkomstgaranti för riksdagens ledamöter</vt:lpstr>
      <vt:lpstr>    2.2 Inkomstgaranti för företrädare i Europaparlamentet</vt:lpstr>
      <vt:lpstr>    2.3 Handläggningsrutiner avseende inkomstgaranti</vt:lpstr>
      <vt:lpstr>    2.4 Handläggningsrutiner hos SPV avseende chefspensioner</vt:lpstr>
      <vt:lpstr>3 Uppföljning av ettåriga inkomstgarantier efter valet 1998</vt:lpstr>
      <vt:lpstr>    </vt:lpstr>
      <vt:lpstr>    </vt:lpstr>
      <vt:lpstr>4 Riksdagsrevisorernas rapport och förslag</vt:lpstr>
      <vt:lpstr>5 Riksdagsstyrelsens överväganden</vt:lpstr>
      <vt:lpstr>    5.1 Utgångspunkter </vt:lpstr>
      <vt:lpstr>    5.2 Överflyttningen till SPV</vt:lpstr>
      <vt:lpstr>        5.2.1 Handläggningen av inkomstgarantier förs över till SPV</vt:lpstr>
      <vt:lpstr>        5.2.2 Hur bör överflyttningen regleras?</vt:lpstr>
      <vt:lpstr>        5.3 Nya administrativa rutiner</vt:lpstr>
      <vt:lpstr>        5.3.1 Kontrolluppgifter från skattemyndigheter </vt:lpstr>
      <vt:lpstr>        5.3.2 Uppgifter från den slutliga taxeringen</vt:lpstr>
      <vt:lpstr>        5.3.3 Garantitagares skyldighet att lämna uppgifter</vt:lpstr>
      <vt:lpstr>        5.3.4 Skyldighet för utbetalare att lämna uppgifter</vt:lpstr>
      <vt:lpstr>        5.3.5 Sekretess</vt:lpstr>
      <vt:lpstr>        5.3.6 Omprövning och återbetalning</vt:lpstr>
      <vt:lpstr>        5.3.7 Riksdagsförvaltningen bör besluta om rätt till inkomstgaranti utan ansökan</vt:lpstr>
      <vt:lpstr>    5.4 Överklagande</vt:lpstr>
      <vt:lpstr>    5.5 Ikraftträdande och behovet av övergångsbestämmelser </vt:lpstr>
      <vt:lpstr>    </vt:lpstr>
      <vt:lpstr>    </vt:lpstr>
      <vt:lpstr>6 Författningskommentar</vt:lpstr>
      <vt:lpstr>    6.1 Förslaget till lag om ändring i sekretesslagen (1980:100)</vt:lpstr>
      <vt:lpstr>    6.2 Förslaget till lag om ändring i lagen (1989:186) om överklagande av administ</vt:lpstr>
      <vt:lpstr>    6.3 Förslaget till lag om ändring i lagen (1994:1065) om ekonomiska villkor för </vt:lpstr>
      <vt:lpstr>    6.4 Förslaget till lag om ändring i lagen (1996:304) om arvode m.m. till Sverige</vt:lpstr>
      <vt:lpstr>    6.5 Förslaget till lag om ändring i lagen (2000:419) med instruktion för riksdag</vt:lpstr>
      <vt:lpstr>7 Riksdagsstyrelsens lagförslag</vt:lpstr>
      <vt:lpstr>    7.1 Förslag till lag om ändring i sekretesslagen (1980:100)</vt:lpstr>
      <vt:lpstr>    7.2 Förslag till lag om ändring i lagen (1989:186) om överklagande av administr</vt:lpstr>
      <vt:lpstr>    7.3 Förslag till lag om ändring i lagen (1994:1065) om ekonomiska villkor för r</vt:lpstr>
      <vt:lpstr>    7.4 Förslag till lag om ändring i lagen (1996:304) om arvode m.m. till Sveriges</vt:lpstr>
      <vt:lpstr>    7.5 Förslag till lag om ändring i lagen (2000:419) med instruktion för riksdags</vt:lpstr>
    </vt:vector>
  </TitlesOfParts>
  <Company>Riksdagen</Company>
  <LinksUpToDate>false</LinksUpToDate>
  <CharactersWithSpaces>81921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2002-09-25T12:11:00Z</cp:lastPrinted>
  <dcterms:created xsi:type="dcterms:W3CDTF">2025-12-16T00:56:00Z</dcterms:created>
  <dcterms:modified xsi:type="dcterms:W3CDTF">2025-12-16T00:56:00Z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RS</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