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2015/16</w:t>
      </w:r>
      <w:bookmarkEnd w:id="0"/>
      <w:r>
        <w:t>:</w:t>
      </w:r>
      <w:bookmarkStart w:id="1" w:name="DocumentNumber"/>
      <w:r>
        <w:t>13</w:t>
      </w:r>
      <w:bookmarkEnd w:id="1"/>
    </w:p>
    <w:p w:rsidR="006E04A4">
      <w:pPr>
        <w:pStyle w:val="Date"/>
        <w:outlineLvl w:val="0"/>
      </w:pPr>
      <w:bookmarkStart w:id="2" w:name="DocumentDate"/>
      <w:r>
        <w:t>Onsdagen den 14 oktober 2015</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Partiledardebatt</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tabs>
                <w:tab w:val="clear" w:pos="1418"/>
              </w:tabs>
              <w:jc w:val="right"/>
            </w:pPr>
          </w:p>
        </w:tc>
        <w:tc>
          <w:tcPr>
            <w:tcW w:w="397" w:type="dxa"/>
          </w:tcPr>
          <w:p w:rsidR="006E04A4">
            <w:pPr>
              <w:tabs>
                <w:tab w:val="clear" w:pos="1418"/>
              </w:tabs>
              <w:rPr>
                <w:sz w:val="24"/>
              </w:rPr>
            </w:pPr>
          </w:p>
        </w:tc>
        <w:tc>
          <w:tcPr>
            <w:tcW w:w="7512" w:type="dxa"/>
          </w:tcPr>
          <w:p w:rsidR="006E04A4">
            <w:pPr>
              <w:pStyle w:val="Plenum"/>
              <w:tabs>
                <w:tab w:val="clear" w:pos="1418"/>
              </w:tabs>
              <w:ind w:right="1"/>
            </w:pPr>
            <w:r>
              <w:t>Arbetsplenum</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Votering</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w:t>
            </w:r>
          </w:p>
        </w:tc>
        <w:tc>
          <w:tcPr>
            <w:tcW w:w="6663" w:type="dxa"/>
          </w:tcPr>
          <w:p w:rsidR="006E04A4" w:rsidP="000326E3">
            <w:pPr>
              <w:pStyle w:val="HuvudrubrikEnsam"/>
            </w:pPr>
            <w:r>
              <w:rPr>
                <w:rtl w:val="0"/>
              </w:rPr>
              <w:t>Partiledardebatt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Hanna Westerén (S) som suppleant i EU-nämnden fr.o.m. den 31 oktober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vice ordförande i utskott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Anna-Lena Sörenson (S) som vice ordförande i socialutskottet fr.o.m. den 13 oktober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2015/16:14 Begränsad skattefrihet för utdelning och nya bestämmelser mot skatteflykt i fråga om kupongskatt</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2015/16:15 Beskattning av säkerhetsreserv</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2015/16:19 Vissa frågor på området för indirekta skatter</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2015/16:20 Ändringar i offentlighets- och sekretesslagen med anledning av Försvarsexportmyndighetens avveckling</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2015/16:21 Informationsutbytesavtal med Guatemala</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2015/16:22 Informationsutbytesavtal med Vanuatu</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2015/16:24 Gränsöverskridande informationsutbyte om trafiksäkerhetsrelaterade brott - genomförande av det nya CBE-direktivet</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2015/16:28 Vissa frågor om behandling av personuppgifter och regleringen av id-kortsverksamheten hos Skatteverket</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2015/16:29 En global standard för automatiskt utbyte av upplysningar om finansiella konton</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2015/16:30 Avskaffande av systemet med etableringslotsar</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2015/16:31 Godkännande och marknadskontroll av fordon</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2015/16:32 Ändringar i lagen om kontroll av skyddade beteckningar på jordbruksprodukter och livsmedel</w:t>
            </w:r>
          </w:p>
        </w:tc>
        <w:tc>
          <w:tcPr>
            <w:tcW w:w="2055" w:type="dxa"/>
          </w:tcPr>
          <w:p w:rsidR="006E04A4" w:rsidP="00C84F80">
            <w:r>
              <w:rPr>
                <w:rtl w:val="0"/>
              </w:rPr>
              <w:t>MJU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prop. 2015/16:17 Internationella skolor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2015/16:399 av Daniel Riazat m.fl. (V)</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KOM(2015) 472 Förslag till Europaparlamentets och rådets förordning om gemensamma regler för värdepapperisering och om inrättandet av ett europeiskt ramverk för enkel, transparent och standardiserad värdepapperisering samt om ändring av direktiven 2009/65/EG, 2009/138/EG, 2011/61/EU och förordningarna (EG) nr 1060/2009 och (EU) nr 648/2012 </w:t>
            </w:r>
            <w:r>
              <w:rPr>
                <w:rtl w:val="0"/>
              </w:rPr>
              <w:br/>
            </w:r>
            <w:r>
              <w:rPr>
                <w:i/>
                <w:iCs/>
                <w:rtl w:val="0"/>
              </w:rPr>
              <w:t>Åttaveckorsfristen för att avge ett motiverat yttrande går ut den 8 december 2015</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KOM(2015) 473 Förslag till Europaparlamentets och rådets förordning om ändring av förordning (EU) nr 575/2013 om tillsynskrav för kreditinstitut och värdepappersföretag </w:t>
            </w:r>
            <w:r>
              <w:rPr>
                <w:rtl w:val="0"/>
              </w:rPr>
              <w:br/>
            </w:r>
            <w:r>
              <w:rPr>
                <w:i/>
                <w:iCs/>
                <w:rtl w:val="0"/>
              </w:rPr>
              <w:t>Åttaveckorsfristen för att avge ett motiverat yttrande går ut den 8 december 2015</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debatt och avgörande</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Bet. 2015/16:AU3 Utbildningsstödet till varslade vid Volvo Cars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Bet. 2015/16:NU5 Nordisk balansavräkning</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 och jordbruksutskottets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Bet. 2015/16:MJU3 Begränsning av mangan i dieselbränslen</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Onsdagen den 14 oktober 2015</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2015-10-14</SAFIR_Sammantradesdatum_Doc>
    <SAFIR_SammantradeID xmlns="C07A1A6C-0B19-41D9-BDF8-F523BA3921EB">d0cc0d64-7041-44ec-8b92-c995c25378ac</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3EB3F-E6BE-49C5-B487-5FD085B6DABF}"/>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14 oktober 2015</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