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DE3" w:rsidRPr="006863F1" w:rsidRDefault="002E1DE3" w:rsidP="0025767F">
      <w:pPr>
        <w:pStyle w:val="Hemstlrubrik"/>
      </w:pPr>
      <w:bookmarkStart w:id="0" w:name="_Toc116122770"/>
      <w:r w:rsidRPr="006863F1">
        <w:t>Förslag till riksdagsbeslut</w:t>
      </w:r>
      <w:bookmarkEnd w:id="0"/>
    </w:p>
    <w:p w:rsidR="002E1DE3" w:rsidRPr="006863F1" w:rsidRDefault="002E1DE3" w:rsidP="0082118B">
      <w:pPr>
        <w:pStyle w:val="Hemstlatt"/>
      </w:pPr>
      <w:r w:rsidRPr="006863F1">
        <w:t>Riksdagen tillkännager för regeringen som sin mening vad i motionen anförs om goda utvecklingsmöjligheter för pensionärer</w:t>
      </w:r>
      <w:r w:rsidR="00A26D34" w:rsidRPr="006863F1">
        <w:t>.</w:t>
      </w:r>
    </w:p>
    <w:p w:rsidR="00E84F25" w:rsidRPr="006863F1" w:rsidRDefault="007C6092" w:rsidP="00E22893">
      <w:pPr>
        <w:pStyle w:val="Rubrik1"/>
      </w:pPr>
      <w:bookmarkStart w:id="1" w:name="_Toc116122771"/>
      <w:r w:rsidRPr="006863F1">
        <w:t>Motivering</w:t>
      </w:r>
      <w:bookmarkEnd w:id="1"/>
    </w:p>
    <w:p w:rsidR="002E1DE3" w:rsidRPr="006863F1" w:rsidRDefault="002E1DE3" w:rsidP="002E1DE3">
      <w:pPr>
        <w:autoSpaceDE w:val="0"/>
        <w:autoSpaceDN w:val="0"/>
        <w:adjustRightInd w:val="0"/>
      </w:pPr>
      <w:r w:rsidRPr="006863F1">
        <w:t>Den faktiska pensionsåldern i Sverige blir allt lägre 1998 var denna 60,5 år för kvinnor och 61,5 år för män. 2002 hade den faktiska pensionsåldern sänkts till 58,2 år för kvinnor och 59,5 år för män. Vid rationaliseringar, o</w:t>
      </w:r>
      <w:r w:rsidRPr="006863F1">
        <w:t>m</w:t>
      </w:r>
      <w:r w:rsidRPr="006863F1">
        <w:t>organisationer eller förändringar av verksamhet i arbetslivet är det vanligt att den äldre arbetskraften erbjuds att avgå med avgångsvederlag eller avtalspe</w:t>
      </w:r>
      <w:r w:rsidRPr="006863F1">
        <w:t>n</w:t>
      </w:r>
      <w:r w:rsidRPr="006863F1">
        <w:t>sion. På detta sätt spolas mycket erfarenheter och förtroendekunskap bort. Detta mönster måste brytas. Även om vi nu har en alltför stor arbetslöshet ser vi på den demografiska utvecklingen att om bara några år kommer stora grupper att fylla 65 år. Det kommer att behövas att fler äldre stannar kvar på arbetsmarknaden. Äldre har såväl kompetens som erfarenhet och ofta låg frånvaro från arbetet. De borde ses som en tillgång i arbetslivet. Erfarenhet och kunskap försvinner inte heller den månad personen fyller 65 år och up</w:t>
      </w:r>
      <w:r w:rsidRPr="006863F1">
        <w:t>p</w:t>
      </w:r>
      <w:r w:rsidRPr="006863F1">
        <w:t>når ålderspension. Tvärt om borde de ses som en resurs att föra över kunskap till yngre generationer. Genom att den yngre generationen ges möjlighet att ta del av denna kunskap blir det också lättare att anpassa sig till arbetslivets särskilda villkor. För att på bästa sätt tillvarata dessa erfarenheter fo</w:t>
      </w:r>
      <w:r w:rsidR="0025767F" w:rsidRPr="006863F1">
        <w:t>r</w:t>
      </w:r>
      <w:r w:rsidRPr="006863F1">
        <w:t>dras ett aktivt sa</w:t>
      </w:r>
      <w:r w:rsidR="0025767F" w:rsidRPr="006863F1">
        <w:t>mspel över generationsgränserna,</w:t>
      </w:r>
      <w:r w:rsidRPr="006863F1">
        <w:t xml:space="preserve"> </w:t>
      </w:r>
      <w:r w:rsidR="0025767F" w:rsidRPr="006863F1">
        <w:t>e</w:t>
      </w:r>
      <w:r w:rsidRPr="006863F1">
        <w:t>tt</w:t>
      </w:r>
      <w:r w:rsidR="0025767F" w:rsidRPr="006863F1">
        <w:t xml:space="preserve"> </w:t>
      </w:r>
      <w:r w:rsidRPr="006863F1">
        <w:t>samspel där syftet är att stimul</w:t>
      </w:r>
      <w:r w:rsidRPr="006863F1">
        <w:t>e</w:t>
      </w:r>
      <w:r w:rsidRPr="006863F1">
        <w:t>ra och utveckla arbetsliv och arbetsmarknad till gagn</w:t>
      </w:r>
      <w:r w:rsidR="0025767F" w:rsidRPr="006863F1">
        <w:t xml:space="preserve"> </w:t>
      </w:r>
      <w:r w:rsidRPr="006863F1">
        <w:t>för såväl samhälle som individ. Goda arbetsförhållanden och möjlighet till kunskaps- och löneutvec</w:t>
      </w:r>
      <w:r w:rsidRPr="006863F1">
        <w:t>k</w:t>
      </w:r>
      <w:r w:rsidRPr="006863F1">
        <w:t>ling även för äldre arbetskraft är viktiga förutsättningar för fortsatt förvärv</w:t>
      </w:r>
      <w:r w:rsidRPr="006863F1">
        <w:t>s</w:t>
      </w:r>
      <w:r w:rsidRPr="006863F1">
        <w:t xml:space="preserve">arbete. Flexibel arbetstid för äldre kan vara en viktig anpassningsåtgärd när yngre kräver heltid. Vi måste finna vägar att stimulera de äldre att </w:t>
      </w:r>
      <w:r w:rsidRPr="006863F1">
        <w:lastRenderedPageBreak/>
        <w:t xml:space="preserve">stanna kvar på arbetsmarknaden. Det är nödvändigt för hela samhällsekonomin att fler äldre arbetstagare finns kvar i jobb efter pensionsåldern. </w:t>
      </w:r>
    </w:p>
    <w:p w:rsidR="002E1DE3" w:rsidRPr="006863F1" w:rsidRDefault="002E1DE3" w:rsidP="0025767F">
      <w:pPr>
        <w:pStyle w:val="Normaltindrag"/>
      </w:pPr>
      <w:r w:rsidRPr="006863F1">
        <w:t>Goda arbetsförhållanden och solidaritet över generationsgränserna ska även i framtiden prägla den svenska arbetsmarknaden. Under lång tid har det disk</w:t>
      </w:r>
      <w:r w:rsidRPr="006863F1">
        <w:t>u</w:t>
      </w:r>
      <w:r w:rsidRPr="006863F1">
        <w:t>terats om att i lagstiftning förbjuda diskriminering på grund av ålder. EU har i olika sammanhang tagit upp frågan och har i direktiv från år 2000 besl</w:t>
      </w:r>
      <w:r w:rsidRPr="006863F1">
        <w:t>u</w:t>
      </w:r>
      <w:r w:rsidRPr="006863F1">
        <w:t>tat att diskriminering på grund av ålder ska vara förbjudet. Direktivet ska vara g</w:t>
      </w:r>
      <w:r w:rsidRPr="006863F1">
        <w:t>e</w:t>
      </w:r>
      <w:r w:rsidRPr="006863F1">
        <w:t>nomfört senast år 2006. Regeringen bör därför skyndsamt utarbeta förslag till lagstiftning med förbud mot diskriminering på grund av ålder.</w:t>
      </w:r>
    </w:p>
    <w:p w:rsidR="002E1DE3" w:rsidRPr="006863F1" w:rsidRDefault="002E1DE3" w:rsidP="0025767F">
      <w:pPr>
        <w:pStyle w:val="Normaltindrag"/>
      </w:pPr>
      <w:r w:rsidRPr="006863F1">
        <w:t>I dagens samhälle ser vi med oro hur våldsutvecklingen ständigt ökar och gör sig</w:t>
      </w:r>
      <w:r w:rsidR="0025767F" w:rsidRPr="006863F1">
        <w:t xml:space="preserve"> </w:t>
      </w:r>
      <w:r w:rsidRPr="006863F1">
        <w:t>påmind i människors vardag, inte minst i våra storstadsområden. Vi kan aldrig godta våld och övergrepp på enskilda i vårt samhälle. Ingen ska behöva vara rädd. Resurser behöver därför tillföras polisen så att de</w:t>
      </w:r>
      <w:r w:rsidR="00D50D2C" w:rsidRPr="006863F1">
        <w:t>n</w:t>
      </w:r>
      <w:r w:rsidRPr="006863F1">
        <w:t xml:space="preserve"> kan up</w:t>
      </w:r>
      <w:r w:rsidRPr="006863F1">
        <w:t>p</w:t>
      </w:r>
      <w:r w:rsidRPr="006863F1">
        <w:t>rätthålla en god ordni</w:t>
      </w:r>
      <w:r w:rsidR="0025767F" w:rsidRPr="006863F1">
        <w:t>n</w:t>
      </w:r>
      <w:r w:rsidRPr="006863F1">
        <w:t>g på gator, torg och i våra bostadsområden. Våld och rasism ska bekämpas och besegras överallt där det uppkommer och mänskliga rättigheter garanteras alla. Samhället måste ta sitt ansvar och ställa erforderl</w:t>
      </w:r>
      <w:r w:rsidRPr="006863F1">
        <w:t>i</w:t>
      </w:r>
      <w:r w:rsidRPr="006863F1">
        <w:t>ga resurser till förfogande för brottsbekämpande åtgärder.</w:t>
      </w:r>
    </w:p>
    <w:p w:rsidR="002E1DE3" w:rsidRPr="006863F1" w:rsidRDefault="002E1DE3" w:rsidP="0025767F">
      <w:pPr>
        <w:pStyle w:val="Normaltindrag"/>
      </w:pPr>
      <w:r w:rsidRPr="006863F1">
        <w:t>Äldre personer behöver också förebyggande friskvård, den bör organiseras på ett sådant sätt att den kommer att omfatta alla äldre personer. Genom att a</w:t>
      </w:r>
      <w:r w:rsidRPr="006863F1">
        <w:t>k</w:t>
      </w:r>
      <w:r w:rsidRPr="006863F1">
        <w:t>tivt förebygga undviks ofta onödiga hälsorisker. Landstingen verkar för att sjukvård fungerar men idrottsorganisationer och andra föreningar bör ges ett hedersuppdrag att arbeta med friskvård för alla, även äldre. Samhället och den enskilde blir vinnare med ett friskare hälsosammare liv och mindre vårdkr</w:t>
      </w:r>
      <w:r w:rsidRPr="006863F1">
        <w:t>ä</w:t>
      </w:r>
      <w:r w:rsidRPr="006863F1">
        <w:t>vande medborgare. Informationsinsatser som riktar sig mot äldre om kost och hälsa men även narkotika och andra droger behövs.</w:t>
      </w:r>
    </w:p>
    <w:p w:rsidR="002E1DE3" w:rsidRPr="006863F1" w:rsidRDefault="002E1DE3" w:rsidP="0025767F">
      <w:pPr>
        <w:pStyle w:val="Normaltindrag"/>
      </w:pPr>
      <w:r w:rsidRPr="006863F1">
        <w:t xml:space="preserve">Andelen äldre som använder data och </w:t>
      </w:r>
      <w:r w:rsidR="0025767F" w:rsidRPr="006863F1">
        <w:t xml:space="preserve">Internet </w:t>
      </w:r>
      <w:r w:rsidRPr="006863F1">
        <w:t>är mindre än i andra ålder</w:t>
      </w:r>
      <w:r w:rsidRPr="006863F1">
        <w:t>s</w:t>
      </w:r>
      <w:r w:rsidRPr="006863F1">
        <w:t>grupper.</w:t>
      </w:r>
      <w:r w:rsidR="0025767F" w:rsidRPr="006863F1">
        <w:t xml:space="preserve"> </w:t>
      </w:r>
      <w:r w:rsidRPr="006863F1">
        <w:t xml:space="preserve">Användningen är minst bland de allra äldsta även om det skett en viss ökning. För många äldre kommer användandet av </w:t>
      </w:r>
      <w:r w:rsidR="0025767F" w:rsidRPr="006863F1">
        <w:t xml:space="preserve">Internet </w:t>
      </w:r>
      <w:r w:rsidRPr="006863F1">
        <w:t>att förenkla vardagen. Den nya informationstekniken och IT är redan idag och kommer framöver i allt större utsträckning att vara viktiga och betydelsefulla komm</w:t>
      </w:r>
      <w:r w:rsidRPr="006863F1">
        <w:t>u</w:t>
      </w:r>
      <w:r w:rsidRPr="006863F1">
        <w:t>nikationsvägar. Det har stor betydelse inte bara där det är långa avstånd till affärer och kulturcentr</w:t>
      </w:r>
      <w:r w:rsidR="0025767F" w:rsidRPr="006863F1">
        <w:t>um</w:t>
      </w:r>
      <w:r w:rsidRPr="006863F1">
        <w:t xml:space="preserve"> utan även i en storstad där ensamheten ibland är ett mycket stort problem.</w:t>
      </w:r>
    </w:p>
    <w:p w:rsidR="002E1DE3" w:rsidRPr="006863F1" w:rsidRDefault="002E1DE3" w:rsidP="0025767F">
      <w:pPr>
        <w:pStyle w:val="Normaltindrag"/>
      </w:pPr>
      <w:r w:rsidRPr="006863F1">
        <w:t>Det växande antalet pensionärer samt vårdens och omsorgens allt större omfattning ökar behovet av forskningsverksamhet på äldreområdet. Därför är det viktigt att stärka resurserna för den forskning som analyserar och utvärd</w:t>
      </w:r>
      <w:r w:rsidRPr="006863F1">
        <w:t>e</w:t>
      </w:r>
      <w:r w:rsidRPr="006863F1">
        <w:t>rar äldrepolitiken och de områden som har med åldrandet att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767F" w:rsidRPr="006863F1">
        <w:tblPrEx>
          <w:tblCellMar>
            <w:top w:w="0" w:type="dxa"/>
            <w:bottom w:w="0" w:type="dxa"/>
          </w:tblCellMar>
        </w:tblPrEx>
        <w:trPr>
          <w:cantSplit/>
        </w:trPr>
        <w:tc>
          <w:tcPr>
            <w:tcW w:w="3046" w:type="dxa"/>
          </w:tcPr>
          <w:p w:rsidR="0025767F" w:rsidRPr="006863F1" w:rsidRDefault="0025767F" w:rsidP="0025767F">
            <w:pPr>
              <w:pStyle w:val="UnderskriftDatum"/>
              <w:spacing w:before="240"/>
            </w:pPr>
            <w:r w:rsidRPr="006863F1">
              <w:t>Stockholm den 4 oktober 2005</w:t>
            </w:r>
          </w:p>
        </w:tc>
        <w:tc>
          <w:tcPr>
            <w:tcW w:w="3047" w:type="dxa"/>
          </w:tcPr>
          <w:p w:rsidR="0025767F" w:rsidRPr="006863F1" w:rsidRDefault="0025767F" w:rsidP="0025767F">
            <w:pPr>
              <w:pStyle w:val="Underskrifter"/>
              <w:spacing w:before="240"/>
            </w:pPr>
          </w:p>
        </w:tc>
      </w:tr>
      <w:tr w:rsidR="0025767F" w:rsidRPr="006863F1">
        <w:tblPrEx>
          <w:tblCellMar>
            <w:top w:w="0" w:type="dxa"/>
            <w:bottom w:w="0" w:type="dxa"/>
          </w:tblCellMar>
        </w:tblPrEx>
        <w:trPr>
          <w:cantSplit/>
        </w:trPr>
        <w:tc>
          <w:tcPr>
            <w:tcW w:w="3046" w:type="dxa"/>
          </w:tcPr>
          <w:p w:rsidR="0025767F" w:rsidRPr="006863F1" w:rsidRDefault="0025767F" w:rsidP="0025767F">
            <w:pPr>
              <w:pStyle w:val="Underskrifter"/>
            </w:pPr>
            <w:r w:rsidRPr="006863F1">
              <w:t>Anita Johansson (s)</w:t>
            </w:r>
          </w:p>
        </w:tc>
        <w:tc>
          <w:tcPr>
            <w:tcW w:w="3047" w:type="dxa"/>
          </w:tcPr>
          <w:p w:rsidR="0025767F" w:rsidRPr="006863F1" w:rsidRDefault="0025767F" w:rsidP="0025767F">
            <w:pPr>
              <w:pStyle w:val="Underskrifter"/>
            </w:pPr>
          </w:p>
        </w:tc>
      </w:tr>
      <w:tr w:rsidR="0025767F" w:rsidRPr="006863F1">
        <w:tblPrEx>
          <w:tblCellMar>
            <w:top w:w="0" w:type="dxa"/>
            <w:bottom w:w="0" w:type="dxa"/>
          </w:tblCellMar>
        </w:tblPrEx>
        <w:trPr>
          <w:cantSplit/>
        </w:trPr>
        <w:tc>
          <w:tcPr>
            <w:tcW w:w="3046" w:type="dxa"/>
          </w:tcPr>
          <w:p w:rsidR="0025767F" w:rsidRPr="006863F1" w:rsidRDefault="0025767F" w:rsidP="0025767F">
            <w:pPr>
              <w:pStyle w:val="Underskrifter"/>
            </w:pPr>
            <w:r w:rsidRPr="006863F1">
              <w:t>Ola Rask (s)</w:t>
            </w:r>
          </w:p>
        </w:tc>
        <w:tc>
          <w:tcPr>
            <w:tcW w:w="3047" w:type="dxa"/>
          </w:tcPr>
          <w:p w:rsidR="0025767F" w:rsidRPr="006863F1" w:rsidRDefault="0025767F" w:rsidP="0025767F">
            <w:pPr>
              <w:pStyle w:val="Underskrifter"/>
            </w:pPr>
            <w:r w:rsidRPr="006863F1">
              <w:t>Sylvia Lindgren (s)</w:t>
            </w:r>
          </w:p>
        </w:tc>
      </w:tr>
      <w:tr w:rsidR="0025767F" w:rsidRPr="006863F1">
        <w:tblPrEx>
          <w:tblCellMar>
            <w:top w:w="0" w:type="dxa"/>
            <w:bottom w:w="0" w:type="dxa"/>
          </w:tblCellMar>
        </w:tblPrEx>
        <w:trPr>
          <w:cantSplit/>
        </w:trPr>
        <w:tc>
          <w:tcPr>
            <w:tcW w:w="3046" w:type="dxa"/>
          </w:tcPr>
          <w:p w:rsidR="0025767F" w:rsidRPr="006863F1" w:rsidRDefault="0025767F" w:rsidP="0025767F">
            <w:pPr>
              <w:pStyle w:val="Underskrifter"/>
            </w:pPr>
            <w:r w:rsidRPr="006863F1">
              <w:t>Nikos Papadopoulos (s)</w:t>
            </w:r>
          </w:p>
        </w:tc>
        <w:tc>
          <w:tcPr>
            <w:tcW w:w="3047" w:type="dxa"/>
          </w:tcPr>
          <w:p w:rsidR="0025767F" w:rsidRPr="006863F1" w:rsidRDefault="0025767F" w:rsidP="0025767F">
            <w:pPr>
              <w:pStyle w:val="Underskrifter"/>
            </w:pPr>
          </w:p>
        </w:tc>
      </w:tr>
    </w:tbl>
    <w:p w:rsidR="002E1DE3" w:rsidRPr="006863F1" w:rsidRDefault="002E1DE3" w:rsidP="0025767F">
      <w:pPr>
        <w:pStyle w:val="Normaltindrag"/>
      </w:pPr>
    </w:p>
    <w:sectPr w:rsidR="002E1DE3" w:rsidRPr="006863F1" w:rsidSect="002576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CE8" w:rsidRPr="006863F1" w:rsidRDefault="006A4CE8">
      <w:r w:rsidRPr="006863F1">
        <w:separator/>
      </w:r>
    </w:p>
  </w:endnote>
  <w:endnote w:type="continuationSeparator" w:id="0">
    <w:p w:rsidR="006A4CE8" w:rsidRPr="006863F1" w:rsidRDefault="006A4CE8">
      <w:r w:rsidRPr="00686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8B" w:rsidRPr="006863F1" w:rsidRDefault="006863F1" w:rsidP="0025767F">
    <w:pPr>
      <w:pStyle w:val="Sidfot"/>
    </w:pPr>
    <w:r w:rsidRPr="00686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144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67F" w:rsidRDefault="0025767F">
                          <w:pPr>
                            <w:pStyle w:val="NormalS5sidnrV"/>
                          </w:pPr>
                          <w:r>
                            <w:fldChar w:fldCharType="begin"/>
                          </w:r>
                          <w:r>
                            <w:instrText xml:space="preserve"> PAGE *\charformat</w:instrText>
                          </w:r>
                          <w:r>
                            <w:fldChar w:fldCharType="separate"/>
                          </w:r>
                          <w:r w:rsidR="00D50D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67F" w:rsidRDefault="0025767F">
                    <w:pPr>
                      <w:pStyle w:val="NormalS5sidnrV"/>
                    </w:pPr>
                    <w:r>
                      <w:fldChar w:fldCharType="begin"/>
                    </w:r>
                    <w:r>
                      <w:instrText xml:space="preserve"> PAGE *\charformat</w:instrText>
                    </w:r>
                    <w:r>
                      <w:fldChar w:fldCharType="separate"/>
                    </w:r>
                    <w:r w:rsidR="00D50D2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863F1" w:rsidRDefault="006863F1" w:rsidP="0025767F">
    <w:pPr>
      <w:pStyle w:val="Sidfot"/>
    </w:pPr>
    <w:r w:rsidRPr="00686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470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67F" w:rsidRDefault="0025767F">
                          <w:pPr>
                            <w:pStyle w:val="NormalS5sidnrH"/>
                            <w:ind w:right="0"/>
                          </w:pPr>
                          <w:r>
                            <w:fldChar w:fldCharType="begin"/>
                          </w:r>
                          <w:r>
                            <w:instrText xml:space="preserve"> PAGE *\charformat</w:instrText>
                          </w:r>
                          <w:r>
                            <w:fldChar w:fldCharType="separate"/>
                          </w:r>
                          <w:r w:rsidR="00D50D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67F" w:rsidRDefault="0025767F">
                    <w:pPr>
                      <w:pStyle w:val="NormalS5sidnrH"/>
                      <w:ind w:right="0"/>
                    </w:pPr>
                    <w:r>
                      <w:fldChar w:fldCharType="begin"/>
                    </w:r>
                    <w:r>
                      <w:instrText xml:space="preserve"> PAGE *\charformat</w:instrText>
                    </w:r>
                    <w:r>
                      <w:fldChar w:fldCharType="separate"/>
                    </w:r>
                    <w:r w:rsidR="00D50D2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863F1" w:rsidRDefault="006863F1" w:rsidP="0025767F">
    <w:pPr>
      <w:pStyle w:val="Sidfot"/>
    </w:pPr>
    <w:r w:rsidRPr="00686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746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67F" w:rsidRDefault="0025767F">
                          <w:pPr>
                            <w:pStyle w:val="NormalS5sidnrH"/>
                            <w:ind w:right="0"/>
                          </w:pPr>
                          <w:r>
                            <w:fldChar w:fldCharType="begin"/>
                          </w:r>
                          <w:r>
                            <w:instrText xml:space="preserve"> PAGE *\charformat</w:instrText>
                          </w:r>
                          <w:r>
                            <w:fldChar w:fldCharType="separate"/>
                          </w:r>
                          <w:r w:rsidR="00D50D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67F" w:rsidRDefault="0025767F">
                    <w:pPr>
                      <w:pStyle w:val="NormalS5sidnrH"/>
                      <w:ind w:right="0"/>
                    </w:pPr>
                    <w:r>
                      <w:fldChar w:fldCharType="begin"/>
                    </w:r>
                    <w:r>
                      <w:instrText xml:space="preserve"> PAGE *\charformat</w:instrText>
                    </w:r>
                    <w:r>
                      <w:fldChar w:fldCharType="separate"/>
                    </w:r>
                    <w:r w:rsidR="00D50D2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CE8" w:rsidRPr="006863F1" w:rsidRDefault="006A4CE8">
      <w:r w:rsidRPr="006863F1">
        <w:separator/>
      </w:r>
    </w:p>
  </w:footnote>
  <w:footnote w:type="continuationSeparator" w:id="0">
    <w:p w:rsidR="006A4CE8" w:rsidRPr="006863F1" w:rsidRDefault="006A4CE8">
      <w:r w:rsidRPr="00686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18B" w:rsidRPr="006863F1" w:rsidRDefault="006863F1" w:rsidP="0025767F">
    <w:pPr>
      <w:pStyle w:val="Sidhuvud"/>
    </w:pPr>
    <w:r w:rsidRPr="00686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116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67F" w:rsidRDefault="0025767F">
                          <w:pPr>
                            <w:pStyle w:val="KantRubrikS5V"/>
                          </w:pPr>
                          <w:r>
                            <w:fldChar w:fldCharType="begin"/>
                          </w:r>
                          <w:r>
                            <w:instrText xml:space="preserve"> DOCPROPERTY "YearUser" *\charformat </w:instrText>
                          </w:r>
                          <w:r>
                            <w:fldChar w:fldCharType="separate"/>
                          </w:r>
                          <w:r w:rsidR="00D50D2C">
                            <w:t>2005/06</w:t>
                          </w:r>
                          <w:r>
                            <w:fldChar w:fldCharType="end"/>
                          </w:r>
                          <w:r>
                            <w:t>:</w:t>
                          </w:r>
                          <w:r>
                            <w:fldChar w:fldCharType="begin"/>
                          </w:r>
                          <w:r>
                            <w:instrText xml:space="preserve"> DOCPROPERTY "Motionsnummer" *\charformat </w:instrText>
                          </w:r>
                          <w:r>
                            <w:fldChar w:fldCharType="separate"/>
                          </w:r>
                          <w:r w:rsidR="00D50D2C">
                            <w:t>So652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67F" w:rsidRDefault="0025767F">
                    <w:pPr>
                      <w:pStyle w:val="KantRubrikS5V"/>
                    </w:pPr>
                    <w:r>
                      <w:fldChar w:fldCharType="begin"/>
                    </w:r>
                    <w:r>
                      <w:instrText xml:space="preserve"> DOCPROPERTY "YearUser" *\charformat </w:instrText>
                    </w:r>
                    <w:r>
                      <w:fldChar w:fldCharType="separate"/>
                    </w:r>
                    <w:r w:rsidR="00D50D2C">
                      <w:t>2005/06</w:t>
                    </w:r>
                    <w:r>
                      <w:fldChar w:fldCharType="end"/>
                    </w:r>
                    <w:r>
                      <w:t>:</w:t>
                    </w:r>
                    <w:r>
                      <w:fldChar w:fldCharType="begin"/>
                    </w:r>
                    <w:r>
                      <w:instrText xml:space="preserve"> DOCPROPERTY "Motionsnummer" *\charformat </w:instrText>
                    </w:r>
                    <w:r>
                      <w:fldChar w:fldCharType="separate"/>
                    </w:r>
                    <w:r w:rsidR="00D50D2C">
                      <w:t>So652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863F1" w:rsidRDefault="006863F1" w:rsidP="0025767F">
    <w:pPr>
      <w:pStyle w:val="Sidhuvud"/>
    </w:pPr>
    <w:r w:rsidRPr="00686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222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67F" w:rsidRDefault="0025767F">
                          <w:pPr>
                            <w:pStyle w:val="KantRubrikS5H"/>
                            <w:ind w:right="0"/>
                          </w:pPr>
                          <w:r>
                            <w:fldChar w:fldCharType="begin"/>
                          </w:r>
                          <w:r>
                            <w:instrText xml:space="preserve"> DOCPROPERTY "YearUser" *\charformat </w:instrText>
                          </w:r>
                          <w:r>
                            <w:fldChar w:fldCharType="separate"/>
                          </w:r>
                          <w:r w:rsidR="00D50D2C">
                            <w:t>2005/06</w:t>
                          </w:r>
                          <w:r>
                            <w:fldChar w:fldCharType="end"/>
                          </w:r>
                          <w:r>
                            <w:t>:</w:t>
                          </w:r>
                          <w:r>
                            <w:fldChar w:fldCharType="begin"/>
                          </w:r>
                          <w:r>
                            <w:instrText xml:space="preserve"> DOCPROPERTY "Motionsnummer" *\charformat </w:instrText>
                          </w:r>
                          <w:r>
                            <w:fldChar w:fldCharType="separate"/>
                          </w:r>
                          <w:r w:rsidR="00D50D2C">
                            <w:t>So652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67F" w:rsidRDefault="0025767F">
                    <w:pPr>
                      <w:pStyle w:val="KantRubrikS5H"/>
                      <w:ind w:right="0"/>
                    </w:pPr>
                    <w:r>
                      <w:fldChar w:fldCharType="begin"/>
                    </w:r>
                    <w:r>
                      <w:instrText xml:space="preserve"> DOCPROPERTY "YearUser" *\charformat </w:instrText>
                    </w:r>
                    <w:r>
                      <w:fldChar w:fldCharType="separate"/>
                    </w:r>
                    <w:r w:rsidR="00D50D2C">
                      <w:t>2005/06</w:t>
                    </w:r>
                    <w:r>
                      <w:fldChar w:fldCharType="end"/>
                    </w:r>
                    <w:r>
                      <w:t>:</w:t>
                    </w:r>
                    <w:r>
                      <w:fldChar w:fldCharType="begin"/>
                    </w:r>
                    <w:r>
                      <w:instrText xml:space="preserve"> DOCPROPERTY "Motionsnummer" *\charformat </w:instrText>
                    </w:r>
                    <w:r>
                      <w:fldChar w:fldCharType="separate"/>
                    </w:r>
                    <w:r w:rsidR="00D50D2C">
                      <w:t>So652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67F" w:rsidRPr="006863F1" w:rsidRDefault="0025767F">
    <w:pPr>
      <w:pStyle w:val="FSHNormal"/>
      <w:tabs>
        <w:tab w:val="right" w:pos="5840"/>
      </w:tabs>
    </w:pPr>
    <w:r w:rsidRPr="006863F1">
      <w:br/>
    </w:r>
    <w:r w:rsidRPr="006863F1">
      <w:fldChar w:fldCharType="begin" w:fldLock="1"/>
    </w:r>
    <w:r w:rsidRPr="006863F1">
      <w:instrText xml:space="preserve"> DOCPROPERTY</w:instrText>
    </w:r>
    <w:r w:rsidRPr="006863F1">
      <w:rPr>
        <w:sz w:val="18"/>
      </w:rPr>
      <w:instrText xml:space="preserve"> "YearUser" *\charformat </w:instrText>
    </w:r>
    <w:r w:rsidRPr="006863F1">
      <w:fldChar w:fldCharType="separate"/>
    </w:r>
    <w:r w:rsidR="00D50D2C" w:rsidRPr="006863F1">
      <w:t>2005/06</w:t>
    </w:r>
    <w:r w:rsidRPr="006863F1">
      <w:fldChar w:fldCharType="end"/>
    </w:r>
    <w:r w:rsidRPr="006863F1">
      <w:t xml:space="preserve"> </w:t>
    </w:r>
    <w:r w:rsidRPr="006863F1">
      <w:tab/>
      <w:t xml:space="preserve">mnr: </w:t>
    </w:r>
    <w:r w:rsidRPr="006863F1">
      <w:fldChar w:fldCharType="begin" w:fldLock="1"/>
    </w:r>
    <w:r w:rsidRPr="006863F1">
      <w:instrText xml:space="preserve"> DOCPROPERTY</w:instrText>
    </w:r>
    <w:r w:rsidRPr="006863F1">
      <w:rPr>
        <w:sz w:val="18"/>
      </w:rPr>
      <w:instrText xml:space="preserve"> "Motionsnummer" *\charformat </w:instrText>
    </w:r>
    <w:r w:rsidRPr="006863F1">
      <w:fldChar w:fldCharType="separate"/>
    </w:r>
    <w:r w:rsidR="00D50D2C" w:rsidRPr="006863F1">
      <w:t>So652</w:t>
    </w:r>
    <w:r w:rsidRPr="006863F1">
      <w:fldChar w:fldCharType="end"/>
    </w:r>
    <w:r w:rsidRPr="006863F1">
      <w:br/>
    </w:r>
    <w:r w:rsidRPr="006863F1">
      <w:fldChar w:fldCharType="begin" w:fldLock="1"/>
    </w:r>
    <w:r w:rsidRPr="006863F1">
      <w:instrText xml:space="preserve"> DOCPROPERTY</w:instrText>
    </w:r>
    <w:r w:rsidRPr="006863F1">
      <w:rPr>
        <w:sz w:val="18"/>
      </w:rPr>
      <w:instrText xml:space="preserve"> "Samling" *\charformat </w:instrText>
    </w:r>
    <w:r w:rsidRPr="006863F1">
      <w:fldChar w:fldCharType="end"/>
    </w:r>
    <w:r w:rsidRPr="006863F1">
      <w:tab/>
      <w:t xml:space="preserve">pnr: </w:t>
    </w:r>
    <w:r w:rsidRPr="006863F1">
      <w:fldChar w:fldCharType="begin" w:fldLock="1"/>
    </w:r>
    <w:r w:rsidRPr="006863F1">
      <w:instrText xml:space="preserve"> DOCPROPERTY</w:instrText>
    </w:r>
    <w:r w:rsidRPr="006863F1">
      <w:rPr>
        <w:sz w:val="18"/>
      </w:rPr>
      <w:instrText xml:space="preserve"> "Partinummer" *\charformat </w:instrText>
    </w:r>
    <w:r w:rsidRPr="006863F1">
      <w:fldChar w:fldCharType="separate"/>
    </w:r>
    <w:r w:rsidR="00D50D2C" w:rsidRPr="006863F1">
      <w:t>s39049</w:t>
    </w:r>
    <w:r w:rsidRPr="006863F1">
      <w:fldChar w:fldCharType="end"/>
    </w:r>
  </w:p>
  <w:p w:rsidR="0025767F" w:rsidRPr="006863F1" w:rsidRDefault="0025767F">
    <w:pPr>
      <w:pStyle w:val="FSHRub1"/>
    </w:pPr>
    <w:r w:rsidRPr="006863F1">
      <w:t>Motion till riksdagen</w:t>
    </w:r>
    <w:r w:rsidRPr="006863F1">
      <w:br/>
    </w:r>
    <w:r w:rsidRPr="006863F1">
      <w:fldChar w:fldCharType="begin" w:fldLock="1"/>
    </w:r>
    <w:r w:rsidRPr="006863F1">
      <w:instrText xml:space="preserve"> DOCPROPERTY "YearUser" *\charformat </w:instrText>
    </w:r>
    <w:r w:rsidRPr="006863F1">
      <w:fldChar w:fldCharType="separate"/>
    </w:r>
    <w:r w:rsidR="00D50D2C" w:rsidRPr="006863F1">
      <w:t>2005/06</w:t>
    </w:r>
    <w:r w:rsidRPr="006863F1">
      <w:fldChar w:fldCharType="end"/>
    </w:r>
    <w:r w:rsidRPr="006863F1">
      <w:t>:</w:t>
    </w:r>
    <w:r w:rsidRPr="006863F1">
      <w:fldChar w:fldCharType="begin" w:fldLock="1"/>
    </w:r>
    <w:r w:rsidRPr="006863F1">
      <w:instrText xml:space="preserve"> DOCPROPERTY "Motionsnummer" *\charformat </w:instrText>
    </w:r>
    <w:r w:rsidRPr="006863F1">
      <w:fldChar w:fldCharType="separate"/>
    </w:r>
    <w:r w:rsidR="00D50D2C" w:rsidRPr="006863F1">
      <w:t>So652</w:t>
    </w:r>
    <w:r w:rsidRPr="006863F1">
      <w:fldChar w:fldCharType="end"/>
    </w:r>
  </w:p>
  <w:p w:rsidR="0025767F" w:rsidRPr="006863F1" w:rsidRDefault="0025767F">
    <w:pPr>
      <w:pStyle w:val="FSHNormalS5"/>
    </w:pPr>
    <w:r w:rsidRPr="006863F1">
      <w:fldChar w:fldCharType="begin" w:fldLock="1"/>
    </w:r>
    <w:r w:rsidRPr="006863F1">
      <w:instrText xml:space="preserve"> DOCPROPERTY "MotionarText" *\charformat </w:instrText>
    </w:r>
    <w:r w:rsidRPr="006863F1">
      <w:fldChar w:fldCharType="separate"/>
    </w:r>
    <w:r w:rsidR="00D50D2C" w:rsidRPr="006863F1">
      <w:t>av Anita Johansson m.fl. (s)</w:t>
    </w:r>
    <w:r w:rsidRPr="006863F1">
      <w:fldChar w:fldCharType="end"/>
    </w:r>
    <w:r w:rsidRPr="006863F1">
      <w:br/>
    </w:r>
    <w:r w:rsidRPr="006863F1">
      <w:fldChar w:fldCharType="begin" w:fldLock="1"/>
    </w:r>
    <w:r w:rsidRPr="006863F1">
      <w:instrText xml:space="preserve"> DOCPROPERTY "SvarFrasKort" *\charformat </w:instrText>
    </w:r>
    <w:r w:rsidRPr="006863F1">
      <w:fldChar w:fldCharType="end"/>
    </w:r>
  </w:p>
  <w:p w:rsidR="0025767F" w:rsidRPr="006863F1" w:rsidRDefault="0025767F">
    <w:pPr>
      <w:pStyle w:val="FSHTitel"/>
    </w:pPr>
    <w:r w:rsidRPr="006863F1">
      <w:fldChar w:fldCharType="begin" w:fldLock="1"/>
    </w:r>
    <w:r w:rsidRPr="006863F1">
      <w:instrText xml:space="preserve"> DOCPROPERTY</w:instrText>
    </w:r>
    <w:r w:rsidRPr="006863F1">
      <w:rPr>
        <w:sz w:val="18"/>
      </w:rPr>
      <w:instrText xml:space="preserve"> "RubrikSvar" *\charformat </w:instrText>
    </w:r>
    <w:r w:rsidRPr="006863F1">
      <w:fldChar w:fldCharType="separate"/>
    </w:r>
    <w:r w:rsidR="00D50D2C" w:rsidRPr="006863F1">
      <w:t>Goda utvecklingsmöjligheter för pensionärer</w:t>
    </w:r>
    <w:r w:rsidRPr="006863F1">
      <w:fldChar w:fldCharType="end"/>
    </w:r>
  </w:p>
  <w:p w:rsidR="0025767F" w:rsidRPr="006863F1" w:rsidRDefault="0025767F" w:rsidP="002576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4999869">
    <w:abstractNumId w:val="13"/>
  </w:num>
  <w:num w:numId="2" w16cid:durableId="1328510699">
    <w:abstractNumId w:val="10"/>
  </w:num>
  <w:num w:numId="3" w16cid:durableId="1498156167">
    <w:abstractNumId w:val="11"/>
  </w:num>
  <w:num w:numId="4" w16cid:durableId="994644958">
    <w:abstractNumId w:val="12"/>
  </w:num>
  <w:num w:numId="5" w16cid:durableId="1400245611">
    <w:abstractNumId w:val="8"/>
  </w:num>
  <w:num w:numId="6" w16cid:durableId="1802765895">
    <w:abstractNumId w:val="3"/>
  </w:num>
  <w:num w:numId="7" w16cid:durableId="91629970">
    <w:abstractNumId w:val="2"/>
  </w:num>
  <w:num w:numId="8" w16cid:durableId="112793791">
    <w:abstractNumId w:val="1"/>
  </w:num>
  <w:num w:numId="9" w16cid:durableId="5593636">
    <w:abstractNumId w:val="0"/>
  </w:num>
  <w:num w:numId="10" w16cid:durableId="1418869396">
    <w:abstractNumId w:val="9"/>
  </w:num>
  <w:num w:numId="11" w16cid:durableId="300815923">
    <w:abstractNumId w:val="7"/>
  </w:num>
  <w:num w:numId="12" w16cid:durableId="1154881818">
    <w:abstractNumId w:val="6"/>
  </w:num>
  <w:num w:numId="13" w16cid:durableId="1120105326">
    <w:abstractNumId w:val="5"/>
  </w:num>
  <w:num w:numId="14" w16cid:durableId="613948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A26D34"/>
    <w:rsid w:val="0004381F"/>
    <w:rsid w:val="00064BC3"/>
    <w:rsid w:val="00066775"/>
    <w:rsid w:val="00072FB9"/>
    <w:rsid w:val="00100531"/>
    <w:rsid w:val="00201DFB"/>
    <w:rsid w:val="00204A63"/>
    <w:rsid w:val="00212FF1"/>
    <w:rsid w:val="00230193"/>
    <w:rsid w:val="0025068A"/>
    <w:rsid w:val="0025767F"/>
    <w:rsid w:val="002818D3"/>
    <w:rsid w:val="002D11A8"/>
    <w:rsid w:val="002E1DE3"/>
    <w:rsid w:val="00445271"/>
    <w:rsid w:val="004A0504"/>
    <w:rsid w:val="004E38D9"/>
    <w:rsid w:val="005440C9"/>
    <w:rsid w:val="005B145B"/>
    <w:rsid w:val="006863F1"/>
    <w:rsid w:val="006A4CE8"/>
    <w:rsid w:val="00740D6D"/>
    <w:rsid w:val="00794149"/>
    <w:rsid w:val="007B67A7"/>
    <w:rsid w:val="007C6092"/>
    <w:rsid w:val="0082118B"/>
    <w:rsid w:val="00A053C6"/>
    <w:rsid w:val="00A26D34"/>
    <w:rsid w:val="00B13BF0"/>
    <w:rsid w:val="00C1285C"/>
    <w:rsid w:val="00C27B7D"/>
    <w:rsid w:val="00CF7A43"/>
    <w:rsid w:val="00D1174F"/>
    <w:rsid w:val="00D50D2C"/>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4F688-6C5A-4E05-B645-CAC1A8D2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76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695</Words>
  <Characters>3948</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So652</vt:lpstr>
    </vt:vector>
  </TitlesOfParts>
  <Company>Riksdagen</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So652</dc:title>
  <dc:subject>So652</dc:subject>
  <dc:creator>Riksdagen</dc:creator>
  <cp:keywords>Riksdagen</cp:keywords>
  <dc:description/>
  <cp:lastModifiedBy>Lars Brink</cp:lastModifiedBy>
  <cp:revision>2</cp:revision>
  <cp:lastPrinted>2006-01-03T09:23:00Z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Goda utvecklingsmöjligheter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Goda utvecklingsmöjligheter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Johansson m.fl. (s)</vt:lpwstr>
  </property>
  <property fmtid="{D5CDD505-2E9C-101B-9397-08002B2CF9AE}" pid="26" name="MotionarLista">
    <vt:lpwstr>Johansson, Anita (s)\Rask, Ola (s)\Lindgren, Sylvia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Johansson (s), Ola Rask (s), Sylvia Lindgren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So652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20052006000000000115000390490069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20052006000000000115000390490069</vt:lpwstr>
  </property>
  <property fmtid="{D5CDD505-2E9C-101B-9397-08002B2CF9AE}" pid="50" name="nummer">
    <vt:lpwstr>652</vt:lpwstr>
  </property>
  <property fmtid="{D5CDD505-2E9C-101B-9397-08002B2CF9AE}" pid="51" name="utskottsbeteckning">
    <vt:lpwstr>So</vt:lpwstr>
  </property>
</Properties>
</file>