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0383E-98F5-4907-AF41-980897D8394F}"/>
</file>

<file path=customXml/itemProps2.xml><?xml version="1.0" encoding="utf-8"?>
<ds:datastoreItem xmlns:ds="http://schemas.openxmlformats.org/officeDocument/2006/customXml" ds:itemID="{B1797765-1137-43C5-8D0C-5FA5FDF5B3BE}"/>
</file>

<file path=customXml/itemProps3.xml><?xml version="1.0" encoding="utf-8"?>
<ds:datastoreItem xmlns:ds="http://schemas.openxmlformats.org/officeDocument/2006/customXml" ds:itemID="{E35566BF-F35F-48D0-8E82-BE815C23E829}"/>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