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617E79" w:rsidTr="00F6337B">
        <w:tc>
          <w:tcPr>
            <w:tcW w:w="9141" w:type="dxa"/>
          </w:tcPr>
          <w:p w:rsidR="00F65DF8" w:rsidRPr="00617E79" w:rsidRDefault="00F65DF8" w:rsidP="00F65DF8">
            <w:r w:rsidRPr="00617E79">
              <w:t>RIKSDAGEN</w:t>
            </w:r>
          </w:p>
          <w:p w:rsidR="00F65DF8" w:rsidRPr="00617E79" w:rsidRDefault="00F65DF8" w:rsidP="00F65DF8">
            <w:r w:rsidRPr="00617E79">
              <w:t>NÄRINGSUTSKOTTET</w:t>
            </w:r>
          </w:p>
        </w:tc>
      </w:tr>
    </w:tbl>
    <w:p w:rsidR="008727AB" w:rsidRPr="00617E79" w:rsidRDefault="008727AB" w:rsidP="00F65DF8"/>
    <w:p w:rsidR="007A5F1A" w:rsidRPr="00617E79" w:rsidRDefault="007A5F1A" w:rsidP="00F65DF8"/>
    <w:p w:rsidR="007A5F1A" w:rsidRPr="00617E79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617E79" w:rsidTr="00F65DF8">
        <w:trPr>
          <w:cantSplit/>
          <w:trHeight w:val="742"/>
        </w:trPr>
        <w:tc>
          <w:tcPr>
            <w:tcW w:w="1985" w:type="dxa"/>
          </w:tcPr>
          <w:p w:rsidR="00F65DF8" w:rsidRPr="00617E79" w:rsidRDefault="00F65DF8" w:rsidP="00F65DF8">
            <w:pPr>
              <w:rPr>
                <w:b/>
              </w:rPr>
            </w:pPr>
            <w:r w:rsidRPr="00617E79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617E79" w:rsidRDefault="00197781" w:rsidP="00F65DF8">
            <w:pPr>
              <w:rPr>
                <w:b/>
              </w:rPr>
            </w:pPr>
            <w:r w:rsidRPr="00617E79">
              <w:rPr>
                <w:b/>
              </w:rPr>
              <w:t>UTSKOTTSSAMMANTRÄDE 201</w:t>
            </w:r>
            <w:r w:rsidR="00113C2E" w:rsidRPr="00617E79">
              <w:rPr>
                <w:b/>
              </w:rPr>
              <w:t>9</w:t>
            </w:r>
            <w:r w:rsidRPr="00617E79">
              <w:rPr>
                <w:b/>
              </w:rPr>
              <w:t>/</w:t>
            </w:r>
            <w:r w:rsidR="00113C2E" w:rsidRPr="00617E79">
              <w:rPr>
                <w:b/>
              </w:rPr>
              <w:t>20</w:t>
            </w:r>
            <w:r w:rsidRPr="00617E79">
              <w:rPr>
                <w:b/>
              </w:rPr>
              <w:t>:</w:t>
            </w:r>
            <w:r w:rsidR="00496A50" w:rsidRPr="00617E79">
              <w:rPr>
                <w:b/>
              </w:rPr>
              <w:t>1</w:t>
            </w:r>
            <w:r w:rsidR="00116397">
              <w:rPr>
                <w:b/>
              </w:rPr>
              <w:t>8</w:t>
            </w:r>
          </w:p>
          <w:p w:rsidR="00F65DF8" w:rsidRPr="00617E79" w:rsidRDefault="00F65DF8" w:rsidP="00F65DF8">
            <w:pPr>
              <w:rPr>
                <w:b/>
              </w:rPr>
            </w:pPr>
          </w:p>
        </w:tc>
      </w:tr>
      <w:tr w:rsidR="00617E79" w:rsidRPr="00617E79" w:rsidTr="00C028F3">
        <w:tc>
          <w:tcPr>
            <w:tcW w:w="1985" w:type="dxa"/>
          </w:tcPr>
          <w:p w:rsidR="00F65DF8" w:rsidRPr="00617E79" w:rsidRDefault="00F65DF8" w:rsidP="00F65DF8">
            <w:r w:rsidRPr="00617E79">
              <w:t>DATUM</w:t>
            </w:r>
          </w:p>
        </w:tc>
        <w:tc>
          <w:tcPr>
            <w:tcW w:w="6463" w:type="dxa"/>
          </w:tcPr>
          <w:p w:rsidR="00F65DF8" w:rsidRPr="00617E79" w:rsidRDefault="00D46F51" w:rsidP="005F596C">
            <w:r w:rsidRPr="00617E79">
              <w:t>20</w:t>
            </w:r>
            <w:r w:rsidR="00F053F8" w:rsidRPr="00617E79">
              <w:t>20</w:t>
            </w:r>
            <w:r w:rsidRPr="00617E79">
              <w:t>-</w:t>
            </w:r>
            <w:r w:rsidR="00F053F8" w:rsidRPr="00617E79">
              <w:t>01</w:t>
            </w:r>
            <w:r w:rsidRPr="00617E79">
              <w:t>-</w:t>
            </w:r>
            <w:r w:rsidR="00F053F8" w:rsidRPr="00617E79">
              <w:t>2</w:t>
            </w:r>
            <w:r w:rsidR="00116397">
              <w:t>8</w:t>
            </w:r>
          </w:p>
        </w:tc>
      </w:tr>
      <w:tr w:rsidR="00617E79" w:rsidRPr="00617E79" w:rsidTr="00F65DF8">
        <w:tc>
          <w:tcPr>
            <w:tcW w:w="1985" w:type="dxa"/>
          </w:tcPr>
          <w:p w:rsidR="00F65DF8" w:rsidRPr="00617E79" w:rsidRDefault="00F65DF8" w:rsidP="00F65DF8">
            <w:r w:rsidRPr="00617E79">
              <w:t>TID</w:t>
            </w:r>
          </w:p>
        </w:tc>
        <w:tc>
          <w:tcPr>
            <w:tcW w:w="6463" w:type="dxa"/>
          </w:tcPr>
          <w:p w:rsidR="00141DA2" w:rsidRPr="00617E79" w:rsidRDefault="00631263" w:rsidP="008C57B9">
            <w:r w:rsidRPr="00617E79">
              <w:t>1</w:t>
            </w:r>
            <w:r w:rsidR="00116397">
              <w:t>0</w:t>
            </w:r>
            <w:r w:rsidR="00F65DF8" w:rsidRPr="00617E79">
              <w:t>.</w:t>
            </w:r>
            <w:r w:rsidR="00116397">
              <w:t>3</w:t>
            </w:r>
            <w:r w:rsidR="00757DB6" w:rsidRPr="00617E79">
              <w:t>0</w:t>
            </w:r>
            <w:r w:rsidR="00197781" w:rsidRPr="00617E79">
              <w:t>–</w:t>
            </w:r>
            <w:r w:rsidR="008D058C">
              <w:t>12.10</w:t>
            </w:r>
          </w:p>
        </w:tc>
      </w:tr>
      <w:tr w:rsidR="00617E79" w:rsidRPr="00617E79" w:rsidTr="00F65DF8">
        <w:tc>
          <w:tcPr>
            <w:tcW w:w="1985" w:type="dxa"/>
          </w:tcPr>
          <w:p w:rsidR="00F65DF8" w:rsidRPr="00617E79" w:rsidRDefault="00F65DF8" w:rsidP="00F65DF8">
            <w:r w:rsidRPr="00617E79">
              <w:t>NÄRVARANDE</w:t>
            </w:r>
          </w:p>
        </w:tc>
        <w:tc>
          <w:tcPr>
            <w:tcW w:w="6463" w:type="dxa"/>
          </w:tcPr>
          <w:p w:rsidR="00F65DF8" w:rsidRPr="00617E79" w:rsidRDefault="00F65DF8" w:rsidP="00F65DF8">
            <w:r w:rsidRPr="00617E79">
              <w:t>Se bilaga 1</w:t>
            </w:r>
          </w:p>
        </w:tc>
      </w:tr>
    </w:tbl>
    <w:p w:rsidR="00423168" w:rsidRPr="00617E79" w:rsidRDefault="00423168" w:rsidP="00F65DF8">
      <w:pPr>
        <w:tabs>
          <w:tab w:val="left" w:pos="1701"/>
        </w:tabs>
        <w:rPr>
          <w:snapToGrid w:val="0"/>
        </w:rPr>
      </w:pPr>
    </w:p>
    <w:p w:rsidR="007A5F1A" w:rsidRPr="00617E79" w:rsidRDefault="007A5F1A" w:rsidP="00F65DF8">
      <w:pPr>
        <w:tabs>
          <w:tab w:val="left" w:pos="1701"/>
        </w:tabs>
        <w:rPr>
          <w:snapToGrid w:val="0"/>
        </w:rPr>
      </w:pPr>
      <w:bookmarkStart w:id="0" w:name="_GoBack"/>
      <w:bookmarkEnd w:id="0"/>
    </w:p>
    <w:p w:rsidR="008727AB" w:rsidRPr="00617E79" w:rsidRDefault="008727AB" w:rsidP="00F65DF8">
      <w:pPr>
        <w:tabs>
          <w:tab w:val="left" w:pos="1701"/>
        </w:tabs>
        <w:rPr>
          <w:snapToGrid w:val="0"/>
        </w:rPr>
      </w:pPr>
    </w:p>
    <w:p w:rsidR="00224578" w:rsidRPr="00617E79" w:rsidRDefault="00224578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116397" w:rsidRPr="00617E79" w:rsidTr="00880957">
        <w:trPr>
          <w:trHeight w:val="567"/>
        </w:trPr>
        <w:tc>
          <w:tcPr>
            <w:tcW w:w="567" w:type="dxa"/>
          </w:tcPr>
          <w:p w:rsidR="00116397" w:rsidRPr="00617E79" w:rsidRDefault="0011639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116397" w:rsidRPr="006E7CB3" w:rsidRDefault="00116397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116397" w:rsidRPr="006E7CB3" w:rsidRDefault="00116397" w:rsidP="00116397">
            <w:pPr>
              <w:tabs>
                <w:tab w:val="left" w:pos="1701"/>
              </w:tabs>
              <w:rPr>
                <w:snapToGrid w:val="0"/>
              </w:rPr>
            </w:pPr>
          </w:p>
          <w:p w:rsidR="00116397" w:rsidRDefault="00116397" w:rsidP="00116397">
            <w:pPr>
              <w:pStyle w:val="Normalwebb"/>
              <w:spacing w:before="0" w:beforeAutospacing="0" w:after="0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17.</w:t>
            </w:r>
          </w:p>
          <w:p w:rsidR="00116397" w:rsidRPr="00617E79" w:rsidRDefault="00116397" w:rsidP="00116397">
            <w:pPr>
              <w:pStyle w:val="Normalwebb"/>
              <w:spacing w:before="0" w:beforeAutospacing="0" w:after="0"/>
              <w:rPr>
                <w:b/>
              </w:rPr>
            </w:pPr>
          </w:p>
        </w:tc>
      </w:tr>
      <w:tr w:rsidR="00617E79" w:rsidRPr="00617E79" w:rsidTr="00880957">
        <w:trPr>
          <w:trHeight w:val="567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 xml:space="preserve">§ </w:t>
            </w:r>
            <w:r w:rsidR="00116397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F053F8" w:rsidRPr="00617E79" w:rsidRDefault="00116397" w:rsidP="00880957">
            <w:pPr>
              <w:pStyle w:val="Normalwebb"/>
              <w:spacing w:before="0" w:beforeAutospacing="0" w:after="0"/>
              <w:rPr>
                <w:b/>
              </w:rPr>
            </w:pPr>
            <w:r>
              <w:rPr>
                <w:b/>
              </w:rPr>
              <w:t>Elmarknadsfrågor</w:t>
            </w:r>
            <w:r w:rsidR="00F053F8" w:rsidRPr="00617E79">
              <w:rPr>
                <w:b/>
              </w:rPr>
              <w:t xml:space="preserve"> (NU</w:t>
            </w:r>
            <w:r>
              <w:rPr>
                <w:b/>
              </w:rPr>
              <w:t>10</w:t>
            </w:r>
            <w:r w:rsidR="00F053F8" w:rsidRPr="00617E79">
              <w:rPr>
                <w:b/>
              </w:rPr>
              <w:t>)</w:t>
            </w:r>
          </w:p>
          <w:p w:rsidR="00F053F8" w:rsidRPr="00617E79" w:rsidRDefault="00F053F8" w:rsidP="00880957">
            <w:pPr>
              <w:pStyle w:val="Normalwebb"/>
              <w:spacing w:before="0" w:beforeAutospacing="0" w:after="0"/>
              <w:rPr>
                <w:b/>
              </w:rPr>
            </w:pPr>
          </w:p>
          <w:p w:rsidR="00F053F8" w:rsidRPr="00617E79" w:rsidRDefault="00F053F8" w:rsidP="00880957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behandlade </w:t>
            </w:r>
            <w:r w:rsidR="00116397">
              <w:rPr>
                <w:snapToGrid w:val="0"/>
                <w:szCs w:val="20"/>
              </w:rPr>
              <w:t>motioner</w:t>
            </w:r>
            <w:r w:rsidRPr="00617E79">
              <w:rPr>
                <w:snapToGrid w:val="0"/>
                <w:szCs w:val="20"/>
              </w:rPr>
              <w:t xml:space="preserve"> om </w:t>
            </w:r>
            <w:r w:rsidR="00116397">
              <w:rPr>
                <w:snapToGrid w:val="0"/>
                <w:szCs w:val="20"/>
              </w:rPr>
              <w:t>elmarknadsfrågor.</w:t>
            </w:r>
          </w:p>
          <w:p w:rsidR="00F053F8" w:rsidRPr="00617E79" w:rsidRDefault="00F053F8" w:rsidP="00880957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F053F8" w:rsidRPr="00617E79" w:rsidRDefault="00F053F8" w:rsidP="00880957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:rsidR="00F053F8" w:rsidRPr="00617E79" w:rsidRDefault="00F053F8" w:rsidP="00880957">
            <w:pPr>
              <w:pStyle w:val="Normalwebb"/>
              <w:spacing w:before="0" w:beforeAutospacing="0" w:after="0"/>
              <w:rPr>
                <w:b/>
              </w:rPr>
            </w:pPr>
          </w:p>
        </w:tc>
      </w:tr>
      <w:tr w:rsidR="00617E79" w:rsidRPr="00617E79" w:rsidTr="00880957">
        <w:trPr>
          <w:trHeight w:val="567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 xml:space="preserve">§ </w:t>
            </w:r>
            <w:r w:rsidR="00116397">
              <w:rPr>
                <w:b/>
                <w:snapToGrid w:val="0"/>
              </w:rPr>
              <w:t>3</w:t>
            </w:r>
          </w:p>
        </w:tc>
        <w:tc>
          <w:tcPr>
            <w:tcW w:w="6879" w:type="dxa"/>
          </w:tcPr>
          <w:p w:rsidR="00F053F8" w:rsidRDefault="00116397" w:rsidP="00880957">
            <w:pPr>
              <w:pStyle w:val="Normalwebb"/>
              <w:spacing w:before="0" w:beforeAutospacing="0" w:after="0"/>
              <w:rPr>
                <w:b/>
              </w:rPr>
            </w:pPr>
            <w:r>
              <w:rPr>
                <w:b/>
              </w:rPr>
              <w:t>Stöd till kommunsektorn</w:t>
            </w:r>
          </w:p>
          <w:p w:rsidR="00116397" w:rsidRDefault="00116397" w:rsidP="00880957">
            <w:pPr>
              <w:pStyle w:val="Normalwebb"/>
              <w:spacing w:before="0" w:beforeAutospacing="0" w:after="0"/>
              <w:rPr>
                <w:b/>
              </w:rPr>
            </w:pPr>
          </w:p>
          <w:p w:rsidR="00116397" w:rsidRPr="00116397" w:rsidRDefault="00116397" w:rsidP="00116397">
            <w:pPr>
              <w:spacing w:after="223" w:line="269" w:lineRule="atLeast"/>
              <w:rPr>
                <w:color w:val="222222"/>
              </w:rPr>
            </w:pPr>
            <w:r w:rsidRPr="00116397">
              <w:rPr>
                <w:color w:val="222222"/>
              </w:rPr>
              <w:t xml:space="preserve">Utskottet behandlade frågan om yttrande till finansutskottet över </w:t>
            </w:r>
            <w:r>
              <w:rPr>
                <w:color w:val="222222"/>
              </w:rPr>
              <w:t>förslag till utskottsinitiativ om stöd till kommunsektorn</w:t>
            </w:r>
            <w:r w:rsidRPr="00116397">
              <w:rPr>
                <w:color w:val="222222"/>
              </w:rPr>
              <w:t xml:space="preserve">. </w:t>
            </w:r>
          </w:p>
          <w:p w:rsidR="00116397" w:rsidRDefault="00116397" w:rsidP="00116397">
            <w:pPr>
              <w:spacing w:after="223" w:line="269" w:lineRule="atLeast"/>
              <w:rPr>
                <w:color w:val="222222"/>
              </w:rPr>
            </w:pPr>
            <w:r w:rsidRPr="00116397">
              <w:rPr>
                <w:color w:val="222222"/>
              </w:rPr>
              <w:t xml:space="preserve">Utskottet beslutade att avge yttrande. </w:t>
            </w:r>
          </w:p>
          <w:p w:rsidR="00CE2965" w:rsidRDefault="00CE2965" w:rsidP="00116397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beslutade med stöd av RO 10 kap. 8 § att bjuda in företrädare för Regeringskansliet för att svara på frågor om ev. effekter av de anslagsförändringar inom utskottets beredningsområde som föreslås i förslaget till utskottsinitiativ.</w:t>
            </w:r>
          </w:p>
          <w:p w:rsidR="00F053F8" w:rsidRPr="00617E79" w:rsidRDefault="00116397" w:rsidP="00116397">
            <w:pPr>
              <w:spacing w:after="223" w:line="269" w:lineRule="atLeast"/>
              <w:rPr>
                <w:b/>
              </w:rPr>
            </w:pPr>
            <w:r w:rsidRPr="00116397">
              <w:rPr>
                <w:color w:val="222222"/>
              </w:rPr>
              <w:t>Ärendet bordlades.</w:t>
            </w:r>
            <w:r w:rsidRPr="00617E79">
              <w:rPr>
                <w:b/>
              </w:rPr>
              <w:t xml:space="preserve"> </w:t>
            </w:r>
          </w:p>
        </w:tc>
      </w:tr>
      <w:tr w:rsidR="00617E79" w:rsidRPr="00617E79" w:rsidTr="00880957">
        <w:trPr>
          <w:trHeight w:val="1281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 xml:space="preserve">§ </w:t>
            </w:r>
            <w:r w:rsidR="00116397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116397" w:rsidRPr="00116397" w:rsidRDefault="00116397" w:rsidP="00116397">
            <w:pPr>
              <w:pStyle w:val="Normalwebb"/>
              <w:spacing w:before="0" w:beforeAutospacing="0" w:after="223" w:line="269" w:lineRule="atLeast"/>
              <w:rPr>
                <w:b/>
                <w:color w:val="222222"/>
              </w:rPr>
            </w:pPr>
            <w:r w:rsidRPr="00116397">
              <w:rPr>
                <w:b/>
                <w:color w:val="222222"/>
              </w:rPr>
              <w:t>Överlämnande av motionsyrkanden</w:t>
            </w:r>
          </w:p>
          <w:p w:rsidR="00116397" w:rsidRDefault="00116397" w:rsidP="00116397">
            <w:pPr>
              <w:spacing w:after="223" w:line="269" w:lineRule="atLeast"/>
              <w:rPr>
                <w:color w:val="222222"/>
              </w:rPr>
            </w:pPr>
            <w:r w:rsidRPr="00116397">
              <w:rPr>
                <w:color w:val="222222"/>
              </w:rPr>
              <w:t xml:space="preserve">Utskottet beslutade att till </w:t>
            </w:r>
            <w:r>
              <w:rPr>
                <w:color w:val="222222"/>
              </w:rPr>
              <w:t>finans</w:t>
            </w:r>
            <w:r w:rsidRPr="00116397">
              <w:rPr>
                <w:color w:val="222222"/>
              </w:rPr>
              <w:t>utskottet, under förutsättning av detta utskotts medgivande, överlämna motion 201</w:t>
            </w:r>
            <w:r>
              <w:rPr>
                <w:color w:val="222222"/>
              </w:rPr>
              <w:t>9</w:t>
            </w:r>
            <w:r w:rsidRPr="00116397">
              <w:rPr>
                <w:color w:val="222222"/>
              </w:rPr>
              <w:t>/</w:t>
            </w:r>
            <w:r>
              <w:rPr>
                <w:color w:val="222222"/>
              </w:rPr>
              <w:t>20</w:t>
            </w:r>
            <w:r w:rsidRPr="00116397">
              <w:rPr>
                <w:color w:val="222222"/>
              </w:rPr>
              <w:t>:</w:t>
            </w:r>
            <w:r>
              <w:rPr>
                <w:color w:val="222222"/>
              </w:rPr>
              <w:t>1082</w:t>
            </w:r>
            <w:r w:rsidRPr="00116397">
              <w:rPr>
                <w:color w:val="222222"/>
              </w:rPr>
              <w:t xml:space="preserve"> yrkande </w:t>
            </w:r>
            <w:r>
              <w:rPr>
                <w:color w:val="222222"/>
              </w:rPr>
              <w:t>1</w:t>
            </w:r>
            <w:r w:rsidRPr="00116397">
              <w:rPr>
                <w:color w:val="222222"/>
              </w:rPr>
              <w:t xml:space="preserve"> av </w:t>
            </w:r>
            <w:r>
              <w:rPr>
                <w:color w:val="222222"/>
              </w:rPr>
              <w:t>Betty Malmberg</w:t>
            </w:r>
            <w:r w:rsidRPr="00116397">
              <w:rPr>
                <w:color w:val="222222"/>
              </w:rPr>
              <w:t xml:space="preserve"> (M) om </w:t>
            </w:r>
            <w:r>
              <w:rPr>
                <w:color w:val="222222"/>
              </w:rPr>
              <w:t>att det ska vara tillåtet att göra vinst även i s.k. välfärdsföretag.</w:t>
            </w:r>
          </w:p>
          <w:p w:rsidR="008D058C" w:rsidRDefault="00116397" w:rsidP="008D058C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beslutade att till finansutskottet, under förutsättning av detta utskotts medgivande, överlämna motion 2019/20:3335 yrkande 13 av Camilla Brodin m.fl. (KD) om samverkan med civilsamhället för ökad mångfald av utförare i välfärden</w:t>
            </w:r>
            <w:r w:rsidR="008D058C">
              <w:rPr>
                <w:color w:val="222222"/>
              </w:rPr>
              <w:t>.</w:t>
            </w:r>
            <w:r>
              <w:rPr>
                <w:color w:val="222222"/>
              </w:rPr>
              <w:t xml:space="preserve"> </w:t>
            </w:r>
          </w:p>
          <w:p w:rsidR="00F053F8" w:rsidRPr="00116397" w:rsidRDefault="00116397" w:rsidP="008D058C">
            <w:pPr>
              <w:spacing w:after="223" w:line="269" w:lineRule="atLeast"/>
              <w:rPr>
                <w:color w:val="222222"/>
              </w:rPr>
            </w:pPr>
            <w:r w:rsidRPr="00116397">
              <w:rPr>
                <w:color w:val="222222"/>
              </w:rPr>
              <w:t>Denna paragraf förklarades omedelbart justerad.</w:t>
            </w:r>
          </w:p>
        </w:tc>
      </w:tr>
      <w:tr w:rsidR="00617E79" w:rsidRPr="00617E79" w:rsidTr="00880957">
        <w:trPr>
          <w:trHeight w:val="1002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lastRenderedPageBreak/>
              <w:t xml:space="preserve">§ </w:t>
            </w:r>
            <w:r w:rsidR="00116397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F053F8" w:rsidRPr="00617E79" w:rsidRDefault="00116397" w:rsidP="00880957">
            <w:pPr>
              <w:spacing w:after="223" w:line="269" w:lineRule="atLeast"/>
              <w:rPr>
                <w:b/>
              </w:rPr>
            </w:pPr>
            <w:r>
              <w:rPr>
                <w:b/>
              </w:rPr>
              <w:t>IPU-delegation i Genève</w:t>
            </w:r>
          </w:p>
          <w:p w:rsidR="00F053F8" w:rsidRDefault="00F053F8" w:rsidP="008D058C">
            <w:pPr>
              <w:spacing w:after="223" w:line="269" w:lineRule="atLeast"/>
            </w:pPr>
            <w:r w:rsidRPr="00617E79">
              <w:t xml:space="preserve">Utskottet beslutade att </w:t>
            </w:r>
            <w:r w:rsidR="00116397">
              <w:t>delta i IPU-delegationen i Genève</w:t>
            </w:r>
            <w:r w:rsidR="008D058C">
              <w:t>.</w:t>
            </w:r>
          </w:p>
          <w:p w:rsidR="008D058C" w:rsidRPr="00617E79" w:rsidRDefault="008D058C" w:rsidP="008D058C">
            <w:pPr>
              <w:spacing w:after="223" w:line="269" w:lineRule="atLeast"/>
            </w:pPr>
            <w:r>
              <w:t>Ärendet bordlades.</w:t>
            </w:r>
          </w:p>
        </w:tc>
      </w:tr>
      <w:tr w:rsidR="00116397" w:rsidRPr="00617E79" w:rsidTr="00880957">
        <w:trPr>
          <w:trHeight w:val="1002"/>
        </w:trPr>
        <w:tc>
          <w:tcPr>
            <w:tcW w:w="567" w:type="dxa"/>
          </w:tcPr>
          <w:p w:rsidR="00116397" w:rsidRPr="00617E79" w:rsidRDefault="0011639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9" w:type="dxa"/>
          </w:tcPr>
          <w:p w:rsidR="00116397" w:rsidRDefault="00116397" w:rsidP="00880957">
            <w:pPr>
              <w:spacing w:after="223" w:line="269" w:lineRule="atLeast"/>
              <w:rPr>
                <w:b/>
              </w:rPr>
            </w:pPr>
            <w:r>
              <w:rPr>
                <w:b/>
              </w:rPr>
              <w:t>OECD:s parlamentarikerdagar i Paris</w:t>
            </w:r>
          </w:p>
          <w:p w:rsidR="00116397" w:rsidRPr="00116397" w:rsidRDefault="00116397" w:rsidP="00880957">
            <w:pPr>
              <w:spacing w:after="223" w:line="269" w:lineRule="atLeast"/>
            </w:pPr>
            <w:r>
              <w:t>Utskottet beslutade att delta vid OECD:s parlamentarikerdagar i Paris med ledam</w:t>
            </w:r>
            <w:r w:rsidR="008D058C">
              <w:t>öterna Helene Hellmark Knutsson (S) och Lotta Olsson (M).</w:t>
            </w:r>
          </w:p>
        </w:tc>
      </w:tr>
      <w:tr w:rsidR="00116397" w:rsidRPr="00617E79" w:rsidTr="00880957">
        <w:trPr>
          <w:trHeight w:val="1002"/>
        </w:trPr>
        <w:tc>
          <w:tcPr>
            <w:tcW w:w="567" w:type="dxa"/>
          </w:tcPr>
          <w:p w:rsidR="00116397" w:rsidRDefault="0011639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79" w:type="dxa"/>
          </w:tcPr>
          <w:p w:rsidR="00116397" w:rsidRPr="008D058C" w:rsidRDefault="00116397" w:rsidP="00880957">
            <w:pPr>
              <w:spacing w:after="223" w:line="269" w:lineRule="atLeast"/>
              <w:rPr>
                <w:b/>
              </w:rPr>
            </w:pPr>
            <w:r w:rsidRPr="008D058C">
              <w:rPr>
                <w:b/>
              </w:rPr>
              <w:t>Inbjudan från utrikesutskottet</w:t>
            </w:r>
          </w:p>
          <w:p w:rsidR="008D058C" w:rsidRPr="008D058C" w:rsidRDefault="008D058C" w:rsidP="00CE2965">
            <w:pPr>
              <w:spacing w:after="223" w:line="269" w:lineRule="atLeast"/>
            </w:pPr>
            <w:r w:rsidRPr="008D058C">
              <w:rPr>
                <w:color w:val="222222"/>
              </w:rPr>
              <w:t>Utskottet informerades om inbjudan från utrikesutskottet till möte med kommissionär Ylva Johansson</w:t>
            </w:r>
            <w:r>
              <w:rPr>
                <w:color w:val="222222"/>
              </w:rPr>
              <w:t>.</w:t>
            </w:r>
            <w:r w:rsidR="00CE2965" w:rsidRPr="008D058C">
              <w:t xml:space="preserve"> </w:t>
            </w:r>
          </w:p>
        </w:tc>
      </w:tr>
      <w:tr w:rsidR="00116397" w:rsidRPr="00116397" w:rsidTr="00880957">
        <w:trPr>
          <w:trHeight w:val="1002"/>
        </w:trPr>
        <w:tc>
          <w:tcPr>
            <w:tcW w:w="567" w:type="dxa"/>
          </w:tcPr>
          <w:p w:rsidR="00116397" w:rsidRPr="00116397" w:rsidRDefault="0011639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16397">
              <w:rPr>
                <w:b/>
                <w:snapToGrid w:val="0"/>
              </w:rPr>
              <w:t>§ 8</w:t>
            </w:r>
          </w:p>
        </w:tc>
        <w:tc>
          <w:tcPr>
            <w:tcW w:w="6879" w:type="dxa"/>
          </w:tcPr>
          <w:p w:rsidR="00116397" w:rsidRPr="00116397" w:rsidRDefault="00116397" w:rsidP="00116397">
            <w:pPr>
              <w:spacing w:after="223" w:line="269" w:lineRule="atLeast"/>
              <w:rPr>
                <w:b/>
                <w:color w:val="222222"/>
              </w:rPr>
            </w:pPr>
            <w:r w:rsidRPr="00116397">
              <w:rPr>
                <w:b/>
                <w:color w:val="222222"/>
              </w:rPr>
              <w:t>Medgivande att närvara</w:t>
            </w:r>
          </w:p>
          <w:p w:rsidR="00116397" w:rsidRPr="008D058C" w:rsidRDefault="00116397" w:rsidP="00116397">
            <w:pPr>
              <w:spacing w:after="223" w:line="269" w:lineRule="atLeast"/>
              <w:rPr>
                <w:color w:val="222222"/>
              </w:rPr>
            </w:pPr>
            <w:r w:rsidRPr="00116397">
              <w:rPr>
                <w:color w:val="222222"/>
              </w:rPr>
              <w:t xml:space="preserve">Utskottet beslutade att </w:t>
            </w:r>
            <w:r>
              <w:rPr>
                <w:color w:val="222222"/>
              </w:rPr>
              <w:t xml:space="preserve">trafikutskottets ledamöter, suppleanter och kansli får närvara </w:t>
            </w:r>
            <w:r w:rsidR="008D058C">
              <w:rPr>
                <w:color w:val="222222"/>
              </w:rPr>
              <w:t xml:space="preserve">vid </w:t>
            </w:r>
            <w:r w:rsidR="008D058C" w:rsidRPr="008D058C">
              <w:rPr>
                <w:color w:val="222222"/>
              </w:rPr>
              <w:t xml:space="preserve">sammanträdespunkten som rör information om </w:t>
            </w:r>
            <w:r w:rsidR="008D058C">
              <w:rPr>
                <w:color w:val="222222"/>
              </w:rPr>
              <w:t>Postnord</w:t>
            </w:r>
            <w:r w:rsidR="008D058C" w:rsidRPr="008D058C">
              <w:rPr>
                <w:color w:val="222222"/>
              </w:rPr>
              <w:t xml:space="preserve"> AB.</w:t>
            </w:r>
            <w:r w:rsidRPr="008D058C">
              <w:rPr>
                <w:color w:val="222222"/>
              </w:rPr>
              <w:t xml:space="preserve"> </w:t>
            </w:r>
          </w:p>
          <w:p w:rsidR="00116397" w:rsidRPr="00116397" w:rsidRDefault="00116397" w:rsidP="00116397">
            <w:pPr>
              <w:spacing w:after="223" w:line="269" w:lineRule="atLeast"/>
              <w:rPr>
                <w:b/>
              </w:rPr>
            </w:pPr>
            <w:r w:rsidRPr="00116397">
              <w:rPr>
                <w:color w:val="222222"/>
              </w:rPr>
              <w:t>Denna paragraf förklarades omedelbart justerad.</w:t>
            </w:r>
            <w:r w:rsidRPr="00116397">
              <w:rPr>
                <w:b/>
              </w:rPr>
              <w:t xml:space="preserve"> </w:t>
            </w:r>
          </w:p>
        </w:tc>
      </w:tr>
      <w:tr w:rsidR="00617E79" w:rsidRPr="00617E79" w:rsidTr="00880957">
        <w:trPr>
          <w:trHeight w:val="284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 xml:space="preserve">§ </w:t>
            </w:r>
            <w:r w:rsidR="00BE2DF5">
              <w:rPr>
                <w:b/>
                <w:snapToGrid w:val="0"/>
              </w:rPr>
              <w:t>9</w:t>
            </w:r>
          </w:p>
        </w:tc>
        <w:tc>
          <w:tcPr>
            <w:tcW w:w="6879" w:type="dxa"/>
          </w:tcPr>
          <w:p w:rsidR="00F053F8" w:rsidRPr="00617E79" w:rsidRDefault="00F053F8" w:rsidP="00880957">
            <w:pPr>
              <w:spacing w:after="223" w:line="269" w:lineRule="atLeast"/>
              <w:rPr>
                <w:b/>
              </w:rPr>
            </w:pPr>
            <w:r w:rsidRPr="00617E79">
              <w:rPr>
                <w:b/>
              </w:rPr>
              <w:t>Postnord AB</w:t>
            </w:r>
          </w:p>
          <w:p w:rsidR="00F053F8" w:rsidRPr="00617E79" w:rsidRDefault="00922D50" w:rsidP="00880957">
            <w:pPr>
              <w:spacing w:after="223" w:line="269" w:lineRule="atLeast"/>
              <w:rPr>
                <w:b/>
              </w:rPr>
            </w:pPr>
            <w:r>
              <w:t>S</w:t>
            </w:r>
            <w:r w:rsidR="00F053F8" w:rsidRPr="00617E79">
              <w:t>tatsråde</w:t>
            </w:r>
            <w:r>
              <w:t>t</w:t>
            </w:r>
            <w:r w:rsidR="00F053F8" w:rsidRPr="00617E79">
              <w:t xml:space="preserve"> Ibrahim </w:t>
            </w:r>
            <w:proofErr w:type="spellStart"/>
            <w:r w:rsidR="00F053F8" w:rsidRPr="00617E79">
              <w:t>Baylan</w:t>
            </w:r>
            <w:proofErr w:type="spellEnd"/>
            <w:r w:rsidR="00474FBA">
              <w:t xml:space="preserve"> med medarbetare, </w:t>
            </w:r>
            <w:r>
              <w:t xml:space="preserve">Näringsdepartementet, statsrådet </w:t>
            </w:r>
            <w:r w:rsidR="00F053F8" w:rsidRPr="00617E79">
              <w:t xml:space="preserve">Anders </w:t>
            </w:r>
            <w:proofErr w:type="spellStart"/>
            <w:r w:rsidR="00F053F8" w:rsidRPr="00617E79">
              <w:t>Ygeman</w:t>
            </w:r>
            <w:proofErr w:type="spellEnd"/>
            <w:r w:rsidR="00474FBA">
              <w:t xml:space="preserve"> med medarbetare, </w:t>
            </w:r>
            <w:r>
              <w:t>Infrastruktur</w:t>
            </w:r>
            <w:r w:rsidR="00474FBA">
              <w:t>-</w:t>
            </w:r>
            <w:r>
              <w:t xml:space="preserve">departementet, styrelseordförande Christian W. Jansson, koncernchef och chef Sverige Annemarie </w:t>
            </w:r>
            <w:proofErr w:type="spellStart"/>
            <w:r>
              <w:t>Gardshol</w:t>
            </w:r>
            <w:proofErr w:type="spellEnd"/>
            <w:r>
              <w:t xml:space="preserve">, tillförordnad </w:t>
            </w:r>
            <w:proofErr w:type="spellStart"/>
            <w:r>
              <w:t>Chief</w:t>
            </w:r>
            <w:proofErr w:type="spellEnd"/>
            <w:r>
              <w:t xml:space="preserve"> </w:t>
            </w:r>
            <w:proofErr w:type="spellStart"/>
            <w:r>
              <w:t>Financial</w:t>
            </w:r>
            <w:proofErr w:type="spellEnd"/>
            <w:r>
              <w:t xml:space="preserve"> Officer (CFO) och chef Group Business Control Lena Larsson, Postnord AB,</w:t>
            </w:r>
            <w:r w:rsidR="00F053F8" w:rsidRPr="00617E79">
              <w:t xml:space="preserve"> lämna</w:t>
            </w:r>
            <w:r>
              <w:t>de</w:t>
            </w:r>
            <w:r w:rsidR="00F053F8" w:rsidRPr="00617E79">
              <w:t xml:space="preserve"> information </w:t>
            </w:r>
            <w:r w:rsidR="00474FBA">
              <w:t xml:space="preserve">och besvarade frågor </w:t>
            </w:r>
            <w:r w:rsidR="00F053F8" w:rsidRPr="00617E79">
              <w:t>om Postnords verksamhet</w:t>
            </w:r>
            <w:r w:rsidR="00474FBA">
              <w:t>, postregleringen och regeringens syn på detsamma.</w:t>
            </w:r>
            <w:r w:rsidR="00F053F8" w:rsidRPr="00617E79">
              <w:t xml:space="preserve"> </w:t>
            </w:r>
          </w:p>
        </w:tc>
      </w:tr>
      <w:tr w:rsidR="00617E79" w:rsidRPr="00617E79" w:rsidTr="00880957"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 xml:space="preserve">§ </w:t>
            </w:r>
            <w:r w:rsidR="00BE2DF5">
              <w:rPr>
                <w:b/>
                <w:snapToGrid w:val="0"/>
              </w:rPr>
              <w:t>10</w:t>
            </w:r>
          </w:p>
        </w:tc>
        <w:tc>
          <w:tcPr>
            <w:tcW w:w="6879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617E79">
              <w:rPr>
                <w:b/>
                <w:bCs/>
                <w:snapToGrid w:val="0"/>
              </w:rPr>
              <w:t>Nästa sammanträde</w:t>
            </w:r>
          </w:p>
          <w:p w:rsidR="00F053F8" w:rsidRPr="00617E79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rPr>
                <w:bCs/>
                <w:snapToGrid w:val="0"/>
              </w:rPr>
              <w:t xml:space="preserve">Utskottet beslutade att nästa sammanträde ska äga rum </w:t>
            </w:r>
            <w:r w:rsidRPr="00617E79">
              <w:t xml:space="preserve">tisdagen den </w:t>
            </w:r>
            <w:r w:rsidR="00BE2DF5">
              <w:t>4 februari</w:t>
            </w:r>
            <w:r w:rsidRPr="00617E79">
              <w:t xml:space="preserve"> kl. 11.00.</w:t>
            </w:r>
          </w:p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617E79" w:rsidTr="00880957">
        <w:tc>
          <w:tcPr>
            <w:tcW w:w="7446" w:type="dxa"/>
            <w:gridSpan w:val="2"/>
          </w:tcPr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t>Vid protokollet</w:t>
            </w: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t>Bibi Junttila</w:t>
            </w: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t xml:space="preserve">Justeras den </w:t>
            </w:r>
            <w:r w:rsidR="00BE2DF5">
              <w:t>4 februari</w:t>
            </w:r>
            <w:r w:rsidRPr="00617E79">
              <w:t xml:space="preserve"> 2020</w:t>
            </w: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</w:rPr>
            </w:pPr>
            <w:r w:rsidRPr="00617E79">
              <w:t>Lars Hjälmered</w:t>
            </w:r>
          </w:p>
        </w:tc>
      </w:tr>
    </w:tbl>
    <w:p w:rsidR="005131DB" w:rsidRPr="00617E79" w:rsidRDefault="005131DB">
      <w:r w:rsidRPr="00617E79">
        <w:br w:type="page"/>
      </w: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426"/>
        <w:gridCol w:w="417"/>
        <w:gridCol w:w="449"/>
        <w:gridCol w:w="54"/>
        <w:gridCol w:w="390"/>
        <w:gridCol w:w="390"/>
        <w:gridCol w:w="142"/>
        <w:gridCol w:w="248"/>
        <w:gridCol w:w="419"/>
        <w:gridCol w:w="42"/>
        <w:gridCol w:w="348"/>
        <w:gridCol w:w="361"/>
        <w:gridCol w:w="29"/>
        <w:gridCol w:w="390"/>
        <w:gridCol w:w="390"/>
      </w:tblGrid>
      <w:tr w:rsidR="00617E79" w:rsidRPr="00617E79" w:rsidTr="00880957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617E79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617E79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27557278"/>
            <w:r w:rsidRPr="00617E79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bookmarkEnd w:id="1"/>
          <w:p w:rsidR="00F053F8" w:rsidRPr="00617E79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2019/20:1</w:t>
            </w:r>
            <w:r w:rsidR="00BE2D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17E79" w:rsidRPr="00617E79" w:rsidTr="00544ED2">
        <w:tc>
          <w:tcPr>
            <w:tcW w:w="3124" w:type="dxa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 w:rsidRPr="008D058C">
              <w:rPr>
                <w:rFonts w:ascii="Times New Roman" w:hAnsi="Times New Roman"/>
                <w:sz w:val="22"/>
                <w:szCs w:val="22"/>
              </w:rPr>
              <w:t>§ 1</w:t>
            </w:r>
            <w:r w:rsidR="00544ED2">
              <w:rPr>
                <w:rFonts w:ascii="Times New Roman" w:hAnsi="Times New Roman"/>
                <w:sz w:val="22"/>
                <w:szCs w:val="22"/>
              </w:rPr>
              <w:t>–</w:t>
            </w:r>
            <w:r w:rsidR="008D058C" w:rsidRPr="008D058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 w:rsidRPr="008D058C">
              <w:rPr>
                <w:rFonts w:ascii="Times New Roman" w:hAnsi="Times New Roman"/>
                <w:sz w:val="22"/>
                <w:szCs w:val="22"/>
              </w:rPr>
              <w:t>§ 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F053F8" w:rsidRPr="008D058C" w:rsidRDefault="008D058C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8D058C">
              <w:rPr>
                <w:rFonts w:ascii="Times New Roman" w:hAnsi="Times New Roman"/>
                <w:sz w:val="22"/>
                <w:szCs w:val="22"/>
              </w:rPr>
              <w:t>§ 4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F053F8" w:rsidRPr="008D058C" w:rsidRDefault="008D058C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8D058C">
              <w:rPr>
                <w:rFonts w:ascii="Times New Roman" w:hAnsi="Times New Roman"/>
                <w:sz w:val="22"/>
                <w:szCs w:val="22"/>
              </w:rPr>
              <w:t>§ 5</w:t>
            </w:r>
            <w:r w:rsidR="00544ED2">
              <w:rPr>
                <w:rFonts w:ascii="Times New Roman" w:hAnsi="Times New Roman"/>
                <w:sz w:val="22"/>
                <w:szCs w:val="22"/>
              </w:rPr>
              <w:t>–8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F053F8" w:rsidRPr="00617E79" w:rsidRDefault="00544ED2" w:rsidP="008809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053F8" w:rsidRPr="00617E79" w:rsidRDefault="00544ED2" w:rsidP="008809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10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Åsa </w:t>
            </w: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Coenraads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Sandell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Helena </w:t>
            </w: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Gellerman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Yasmine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Marléne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8D058C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8D058C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8D058C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8D058C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8D058C" w:rsidRDefault="008D058C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8D058C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8D058C" w:rsidRDefault="00544ED2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F053F8" w:rsidRPr="00617E79" w:rsidTr="00880957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B225AE" w:rsidRPr="00617E79" w:rsidRDefault="00B225AE"/>
    <w:sectPr w:rsidR="00B225AE" w:rsidRPr="00617E79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234" w:rsidRDefault="00870234" w:rsidP="002130F1">
      <w:r>
        <w:separator/>
      </w:r>
    </w:p>
  </w:endnote>
  <w:endnote w:type="continuationSeparator" w:id="0">
    <w:p w:rsidR="00870234" w:rsidRDefault="0087023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234" w:rsidRDefault="00870234" w:rsidP="002130F1">
      <w:r>
        <w:separator/>
      </w:r>
    </w:p>
  </w:footnote>
  <w:footnote w:type="continuationSeparator" w:id="0">
    <w:p w:rsidR="00870234" w:rsidRDefault="0087023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01EC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16397"/>
    <w:rsid w:val="00123797"/>
    <w:rsid w:val="00125439"/>
    <w:rsid w:val="00127B08"/>
    <w:rsid w:val="0013080B"/>
    <w:rsid w:val="0013203F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3257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F50"/>
    <w:rsid w:val="003A54BB"/>
    <w:rsid w:val="003B72FF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7B8E"/>
    <w:rsid w:val="00580F66"/>
    <w:rsid w:val="00591D06"/>
    <w:rsid w:val="00594389"/>
    <w:rsid w:val="005A1A51"/>
    <w:rsid w:val="005A1EC1"/>
    <w:rsid w:val="005B31DA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D12E5"/>
    <w:rsid w:val="007D3AB0"/>
    <w:rsid w:val="007D776A"/>
    <w:rsid w:val="007D7C70"/>
    <w:rsid w:val="007E2A55"/>
    <w:rsid w:val="007E6A87"/>
    <w:rsid w:val="007F2B4F"/>
    <w:rsid w:val="00802594"/>
    <w:rsid w:val="00806C28"/>
    <w:rsid w:val="008142A7"/>
    <w:rsid w:val="00831F2D"/>
    <w:rsid w:val="00836598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0234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2D50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06022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96555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E01B18"/>
    <w:rsid w:val="00E0207A"/>
    <w:rsid w:val="00E056FC"/>
    <w:rsid w:val="00E067E5"/>
    <w:rsid w:val="00E11E3D"/>
    <w:rsid w:val="00E16133"/>
    <w:rsid w:val="00E21077"/>
    <w:rsid w:val="00E210DA"/>
    <w:rsid w:val="00E22772"/>
    <w:rsid w:val="00E22D39"/>
    <w:rsid w:val="00E2564A"/>
    <w:rsid w:val="00E26580"/>
    <w:rsid w:val="00E32413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BA3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69EB"/>
    <w:rsid w:val="00EC0BB8"/>
    <w:rsid w:val="00EC35A2"/>
    <w:rsid w:val="00EC3E07"/>
    <w:rsid w:val="00ED2E4F"/>
    <w:rsid w:val="00EE29BF"/>
    <w:rsid w:val="00EE48C1"/>
    <w:rsid w:val="00EE68CF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337B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38836-03C8-4CCA-90F2-28E56B0C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4116</Characters>
  <Application>Microsoft Office Word</Application>
  <DocSecurity>0</DocSecurity>
  <Lines>1372</Lines>
  <Paragraphs>341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2020-01-29T09:32:00Z</cp:lastPrinted>
  <dcterms:created xsi:type="dcterms:W3CDTF">2020-01-29T09:33:00Z</dcterms:created>
  <dcterms:modified xsi:type="dcterms:W3CDTF">2020-02-05T09:26:00Z</dcterms:modified>
</cp:coreProperties>
</file>