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3D2B22" w:rsidP="0096348C">
            <w:pPr>
              <w:rPr>
                <w:b/>
              </w:rPr>
            </w:pPr>
            <w:r>
              <w:rPr>
                <w:b/>
              </w:rPr>
              <w:t>UTSKOTTSSAMMANTRÄDE 2017/18</w:t>
            </w:r>
            <w:r w:rsidR="0096348C">
              <w:rPr>
                <w:b/>
              </w:rPr>
              <w:t>:</w:t>
            </w:r>
            <w:r w:rsidR="00FA1E6F">
              <w:rPr>
                <w:b/>
              </w:rPr>
              <w:t>24</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FA1E6F">
              <w:t>04-24</w:t>
            </w:r>
          </w:p>
        </w:tc>
      </w:tr>
      <w:tr w:rsidR="0096348C" w:rsidTr="00012D39">
        <w:tc>
          <w:tcPr>
            <w:tcW w:w="1985" w:type="dxa"/>
          </w:tcPr>
          <w:p w:rsidR="0096348C" w:rsidRDefault="0096348C" w:rsidP="0096348C">
            <w:r>
              <w:t>TID</w:t>
            </w:r>
          </w:p>
        </w:tc>
        <w:tc>
          <w:tcPr>
            <w:tcW w:w="6463" w:type="dxa"/>
          </w:tcPr>
          <w:p w:rsidR="00D12EAD" w:rsidRDefault="00FA1E6F" w:rsidP="0096348C">
            <w:r>
              <w:t>11.00-</w:t>
            </w:r>
            <w:r w:rsidR="001F5320">
              <w:t>12.15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275CD2" w:rsidRPr="00C92A7A" w:rsidRDefault="00C92A7A" w:rsidP="00FA1E6F">
            <w:pPr>
              <w:tabs>
                <w:tab w:val="left" w:pos="1701"/>
              </w:tabs>
              <w:rPr>
                <w:b/>
                <w:snapToGrid w:val="0"/>
              </w:rPr>
            </w:pPr>
            <w:r w:rsidRPr="00C92A7A">
              <w:rPr>
                <w:b/>
                <w:snapToGrid w:val="0"/>
              </w:rPr>
              <w:t>Medgivande att närvara</w:t>
            </w:r>
          </w:p>
          <w:p w:rsidR="00C92A7A" w:rsidRPr="00C92A7A" w:rsidRDefault="00C92A7A" w:rsidP="00FA1E6F">
            <w:pPr>
              <w:tabs>
                <w:tab w:val="left" w:pos="1701"/>
              </w:tabs>
              <w:rPr>
                <w:b/>
                <w:snapToGrid w:val="0"/>
              </w:rPr>
            </w:pPr>
          </w:p>
          <w:p w:rsidR="00C92A7A" w:rsidRDefault="00C92A7A" w:rsidP="00421F55">
            <w:pPr>
              <w:tabs>
                <w:tab w:val="left" w:pos="1701"/>
              </w:tabs>
              <w:rPr>
                <w:snapToGrid w:val="0"/>
              </w:rPr>
            </w:pPr>
            <w:r>
              <w:rPr>
                <w:snapToGrid w:val="0"/>
              </w:rPr>
              <w:t>Utskottet medgav att föredragande Caroline Jender Pamrin från EU-nämndens kansli fick närvara under sammanträdet under punkterna   1</w:t>
            </w:r>
            <w:r w:rsidR="00F35044">
              <w:rPr>
                <w:snapToGrid w:val="0"/>
              </w:rPr>
              <w:t>-3 på föredragningslistan.</w:t>
            </w:r>
            <w:r w:rsidR="00274B4E">
              <w:rPr>
                <w:snapToGrid w:val="0"/>
              </w:rPr>
              <w:t xml:space="preserve"> </w:t>
            </w:r>
          </w:p>
          <w:p w:rsidR="00274B4E" w:rsidRPr="00C92A7A" w:rsidRDefault="00274B4E" w:rsidP="00421F55">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gridSpan w:val="2"/>
          </w:tcPr>
          <w:p w:rsidR="00275CD2" w:rsidRDefault="00C92A7A" w:rsidP="00FA1E6F">
            <w:pPr>
              <w:tabs>
                <w:tab w:val="left" w:pos="1701"/>
              </w:tabs>
              <w:rPr>
                <w:snapToGrid w:val="0"/>
              </w:rPr>
            </w:pPr>
            <w:r w:rsidRPr="006B5DB4">
              <w:rPr>
                <w:b/>
                <w:snapToGrid w:val="0"/>
              </w:rPr>
              <w:t>Akt</w:t>
            </w:r>
            <w:r w:rsidRPr="00C92A7A">
              <w:rPr>
                <w:b/>
                <w:snapToGrid w:val="0"/>
              </w:rPr>
              <w:t>uella skattefrågor</w:t>
            </w:r>
            <w:r>
              <w:rPr>
                <w:snapToGrid w:val="0"/>
              </w:rPr>
              <w:br/>
            </w:r>
          </w:p>
          <w:p w:rsidR="00C92A7A" w:rsidRDefault="006B5DB4" w:rsidP="00FA1E6F">
            <w:pPr>
              <w:tabs>
                <w:tab w:val="left" w:pos="1701"/>
              </w:tabs>
              <w:rPr>
                <w:snapToGrid w:val="0"/>
              </w:rPr>
            </w:pPr>
            <w:r w:rsidRPr="006B5DB4">
              <w:rPr>
                <w:snapToGrid w:val="0"/>
              </w:rPr>
              <w:t>Finansminister Magdalena Andersson åtföljd av statssekreterare Leif Jakobsson, finansrådet Linda Haggren och kansliråden Erik Sjöstedt och Marc Gren, skatte- och tullavdelningen, Finansdepartementet</w:t>
            </w:r>
            <w:r>
              <w:rPr>
                <w:snapToGrid w:val="0"/>
              </w:rPr>
              <w:t>, informerade om aktuella skattefrågor.</w:t>
            </w:r>
          </w:p>
          <w:p w:rsidR="006B5DB4" w:rsidRDefault="006B5DB4" w:rsidP="00FA1E6F">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3</w:t>
            </w:r>
          </w:p>
        </w:tc>
        <w:tc>
          <w:tcPr>
            <w:tcW w:w="6946" w:type="dxa"/>
            <w:gridSpan w:val="2"/>
          </w:tcPr>
          <w:p w:rsidR="003A729A" w:rsidRPr="006B5DB4" w:rsidRDefault="006B5DB4" w:rsidP="00FA1E6F">
            <w:pPr>
              <w:tabs>
                <w:tab w:val="left" w:pos="1701"/>
              </w:tabs>
              <w:rPr>
                <w:b/>
                <w:snapToGrid w:val="0"/>
              </w:rPr>
            </w:pPr>
            <w:r w:rsidRPr="006B5DB4">
              <w:rPr>
                <w:b/>
                <w:snapToGrid w:val="0"/>
              </w:rPr>
              <w:t>Förslag till rådets direktiv om fastställande av regler med avseende på bolagsbeskattning av en betydande digital närvaro</w:t>
            </w:r>
          </w:p>
          <w:p w:rsidR="006B5DB4" w:rsidRDefault="006B5DB4" w:rsidP="00FA1E6F">
            <w:pPr>
              <w:tabs>
                <w:tab w:val="left" w:pos="1701"/>
              </w:tabs>
              <w:rPr>
                <w:snapToGrid w:val="0"/>
              </w:rPr>
            </w:pPr>
          </w:p>
          <w:p w:rsidR="006B5DB4" w:rsidRDefault="006B5DB4" w:rsidP="00FA1E6F">
            <w:pPr>
              <w:tabs>
                <w:tab w:val="left" w:pos="1701"/>
              </w:tabs>
              <w:rPr>
                <w:snapToGrid w:val="0"/>
              </w:rPr>
            </w:pPr>
            <w:r>
              <w:rPr>
                <w:snapToGrid w:val="0"/>
              </w:rPr>
              <w:t>Utskottet överlade med f</w:t>
            </w:r>
            <w:r w:rsidRPr="006B5DB4">
              <w:rPr>
                <w:snapToGrid w:val="0"/>
              </w:rPr>
              <w:t>inansminister Magdalena Andersson åtföljd av statssekreterare Leif Jakobsson, finansrådet Linda Haggren och kanslirå</w:t>
            </w:r>
            <w:r w:rsidR="00871F22">
              <w:rPr>
                <w:snapToGrid w:val="0"/>
              </w:rPr>
              <w:t>den Erik Sjöstedt och Marc Gren.</w:t>
            </w:r>
          </w:p>
          <w:p w:rsidR="00BB1786" w:rsidRDefault="00BB1786" w:rsidP="00FA1E6F">
            <w:pPr>
              <w:tabs>
                <w:tab w:val="left" w:pos="1701"/>
              </w:tabs>
              <w:rPr>
                <w:snapToGrid w:val="0"/>
              </w:rPr>
            </w:pPr>
          </w:p>
          <w:p w:rsidR="00311E72" w:rsidRDefault="00311E72" w:rsidP="00311E72">
            <w:pPr>
              <w:tabs>
                <w:tab w:val="left" w:pos="1701"/>
              </w:tabs>
              <w:rPr>
                <w:snapToGrid w:val="0"/>
              </w:rPr>
            </w:pPr>
            <w:r>
              <w:rPr>
                <w:snapToGrid w:val="0"/>
              </w:rPr>
              <w:t xml:space="preserve">I ärendet förelåg bl.a. faktapromemoria 2017/18:74 Förslag till rådets direktiv för regler om bolagsbeskattning vid en betydande digital närvaro samt rekommendation om sådan beskattning </w:t>
            </w:r>
            <w:r w:rsidR="00AB083C">
              <w:rPr>
                <w:snapToGrid w:val="0"/>
              </w:rPr>
              <w:t xml:space="preserve">daterade 2018-04-19 </w:t>
            </w:r>
            <w:r>
              <w:rPr>
                <w:snapToGrid w:val="0"/>
              </w:rPr>
              <w:t>som underlag inför överläggningen.</w:t>
            </w:r>
          </w:p>
          <w:p w:rsidR="00311E72" w:rsidRDefault="00311E72" w:rsidP="00FA1E6F">
            <w:pPr>
              <w:tabs>
                <w:tab w:val="left" w:pos="1701"/>
              </w:tabs>
              <w:rPr>
                <w:snapToGrid w:val="0"/>
              </w:rPr>
            </w:pPr>
          </w:p>
          <w:p w:rsidR="00311E72" w:rsidRPr="00FC27CE" w:rsidRDefault="00311E72" w:rsidP="00311E72">
            <w:pPr>
              <w:tabs>
                <w:tab w:val="left" w:pos="1701"/>
              </w:tabs>
              <w:rPr>
                <w:snapToGrid w:val="0"/>
                <w:u w:val="single"/>
              </w:rPr>
            </w:pPr>
            <w:r w:rsidRPr="00FC27CE">
              <w:rPr>
                <w:snapToGrid w:val="0"/>
                <w:u w:val="single"/>
              </w:rPr>
              <w:t>Regeringen redovisade följande som svensk ståndpunkt:</w:t>
            </w:r>
          </w:p>
          <w:p w:rsidR="00311E72" w:rsidRDefault="00311E72" w:rsidP="00FA1E6F">
            <w:pPr>
              <w:tabs>
                <w:tab w:val="left" w:pos="1701"/>
              </w:tabs>
              <w:rPr>
                <w:snapToGrid w:val="0"/>
              </w:rPr>
            </w:pPr>
          </w:p>
          <w:p w:rsidR="00144AD7" w:rsidRPr="006B141B" w:rsidRDefault="00144AD7" w:rsidP="00144AD7">
            <w:pPr>
              <w:tabs>
                <w:tab w:val="left" w:pos="1701"/>
              </w:tabs>
              <w:rPr>
                <w:i/>
                <w:snapToGrid w:val="0"/>
              </w:rPr>
            </w:pPr>
            <w:r w:rsidRPr="006B141B">
              <w:rPr>
                <w:i/>
                <w:snapToGrid w:val="0"/>
              </w:rPr>
              <w:t>Det är inte acceptabelt om stora multinationella företag genom aggressiv skatteplanering betalar låg eller ingen skatt. OECD:s BEPS-arbete, som Sverige deltar aktivt i, syftar till att motverka sådan skatteplanering.</w:t>
            </w:r>
          </w:p>
          <w:p w:rsidR="00144AD7" w:rsidRPr="006B141B" w:rsidRDefault="00144AD7" w:rsidP="00144AD7">
            <w:pPr>
              <w:tabs>
                <w:tab w:val="left" w:pos="1701"/>
              </w:tabs>
              <w:rPr>
                <w:i/>
                <w:snapToGrid w:val="0"/>
              </w:rPr>
            </w:pPr>
            <w:r w:rsidRPr="006B141B">
              <w:rPr>
                <w:i/>
                <w:snapToGrid w:val="0"/>
              </w:rPr>
              <w:t>Kommissionens två förslag om beskattning av digital ekonomi handlar inte om skatteplanering utan om företagsbeskattningssystemet i förhållande till en del av de nya affärsmodeller som har uppkommit till följd av den ökande digitaliseringen av ekonomin. Kommissionen menar att det finns en avvikelse mellan var värdeskapande i företagen sker och var företagen beskattas. Regeringen anser inte att kommissionen presenterat en analys som stöder denna utgångspunkt.</w:t>
            </w:r>
          </w:p>
          <w:p w:rsidR="00144AD7" w:rsidRPr="006B141B" w:rsidRDefault="00144AD7" w:rsidP="00144AD7">
            <w:pPr>
              <w:tabs>
                <w:tab w:val="left" w:pos="1701"/>
              </w:tabs>
              <w:rPr>
                <w:i/>
                <w:snapToGrid w:val="0"/>
              </w:rPr>
            </w:pPr>
            <w:r w:rsidRPr="006B141B">
              <w:rPr>
                <w:i/>
                <w:snapToGrid w:val="0"/>
              </w:rPr>
              <w:t xml:space="preserve">De nuvarande reglerna om beskattning av fasta driftställen bygger på etablerade internationella principer som generellt sett kräver en fysisk närvaro för att beskattning ska kunna ske, att vinster ska beskattas där de uppkommer och att beskattning ska ske där värde skapas. Dessa </w:t>
            </w:r>
            <w:r w:rsidRPr="006B141B">
              <w:rPr>
                <w:i/>
                <w:snapToGrid w:val="0"/>
              </w:rPr>
              <w:lastRenderedPageBreak/>
              <w:t xml:space="preserve">principer utgör grunden för det internationella skattesystemet och måste respekteras. Ekonomin har förändrats i takt med den ökade digitaliseringen och inom OECD pågår ett arbete med att analysera de utmaningar som denna förändring kan medföra. Detta arbete, i vilket Sverige deltar aktivt, ska slutrapporteras 2020. </w:t>
            </w:r>
          </w:p>
          <w:p w:rsidR="00144AD7" w:rsidRPr="006B141B" w:rsidRDefault="00144AD7" w:rsidP="00144AD7">
            <w:pPr>
              <w:tabs>
                <w:tab w:val="left" w:pos="1701"/>
              </w:tabs>
              <w:rPr>
                <w:i/>
                <w:snapToGrid w:val="0"/>
              </w:rPr>
            </w:pPr>
            <w:r w:rsidRPr="006B141B">
              <w:rPr>
                <w:i/>
                <w:snapToGrid w:val="0"/>
              </w:rPr>
              <w:t xml:space="preserve">Det är viktigt att små, öppna och exportberoende ekonomiers legitima intressen beaktas i detta sammanhang. Innovation, forskning och utveckling är av avgörande betydelse för var värde skapas. Förändringar som tar sikte på var marknaden finns minskar incitamenten för stater att ha ett gynnsamt företagsklimat. Det är viktigt att företagen i Sverige har konkurrenskraftiga regler.    </w:t>
            </w:r>
          </w:p>
          <w:p w:rsidR="00144AD7" w:rsidRPr="006B141B" w:rsidRDefault="00144AD7" w:rsidP="00144AD7">
            <w:pPr>
              <w:tabs>
                <w:tab w:val="left" w:pos="1701"/>
              </w:tabs>
              <w:rPr>
                <w:i/>
                <w:snapToGrid w:val="0"/>
              </w:rPr>
            </w:pPr>
            <w:r w:rsidRPr="006B141B">
              <w:rPr>
                <w:i/>
                <w:snapToGrid w:val="0"/>
              </w:rPr>
              <w:t>Om EU går före med åtgärder, när det gäller företagsbeskattning, finns det en risk för att tredjeländer uppfattar detta som att de internationella diskussionerna inte respekteras. Detta skulle kunna försvåra internationellt samarbete på skatteområdet.</w:t>
            </w:r>
          </w:p>
          <w:p w:rsidR="00144AD7" w:rsidRPr="006B141B" w:rsidRDefault="00144AD7" w:rsidP="00144AD7">
            <w:pPr>
              <w:tabs>
                <w:tab w:val="left" w:pos="1701"/>
              </w:tabs>
              <w:rPr>
                <w:i/>
                <w:snapToGrid w:val="0"/>
              </w:rPr>
            </w:pPr>
            <w:r w:rsidRPr="006B141B">
              <w:rPr>
                <w:i/>
                <w:snapToGrid w:val="0"/>
              </w:rPr>
              <w:t xml:space="preserve">Frågan om företagsbeskattning av den digitala ekonomin är komplex och behöver analyseras grundligt. Därför anser regeringen att arbetet med det här direktivet inte kan avslutas innan OECD:s arbete är klart. </w:t>
            </w:r>
          </w:p>
          <w:p w:rsidR="005F741C" w:rsidRPr="006B141B" w:rsidRDefault="00144AD7" w:rsidP="00144AD7">
            <w:pPr>
              <w:tabs>
                <w:tab w:val="left" w:pos="1701"/>
              </w:tabs>
              <w:rPr>
                <w:i/>
                <w:snapToGrid w:val="0"/>
              </w:rPr>
            </w:pPr>
            <w:r w:rsidRPr="006B141B">
              <w:rPr>
                <w:i/>
                <w:snapToGrid w:val="0"/>
              </w:rPr>
              <w:t xml:space="preserve">Regeringen är </w:t>
            </w:r>
            <w:r w:rsidR="00AB083C" w:rsidRPr="006B141B">
              <w:rPr>
                <w:i/>
                <w:snapToGrid w:val="0"/>
              </w:rPr>
              <w:t>kritisk</w:t>
            </w:r>
            <w:r w:rsidRPr="006B141B">
              <w:rPr>
                <w:i/>
                <w:snapToGrid w:val="0"/>
              </w:rPr>
              <w:t xml:space="preserve"> till innehållet i rekommendationen om att medlemsstater bör omförhandla sina skatteavtal med länder utanför EU för att utvidga begreppet fast driftställe så att det omfattar även betydande digital närvaro och förslag om att införa regler för allokering av vinster till ett sådant fast driftställe som består i en betydande digital närvaro. Skatteavtal lämpar sig inte för samordning eftersom medlemsstaterna måste kunna anpassa sin skatteavtalspolicy till nationella förhållanden. Vidare är skatteavtal resultatet av förhandlingar mellan två eller fler stater och det kan inte förutsättas att motparten i ett avtal accepterar att göra ändringar i avtalet.  </w:t>
            </w:r>
          </w:p>
          <w:p w:rsidR="005F741C" w:rsidRDefault="005F741C" w:rsidP="00FA1E6F">
            <w:pPr>
              <w:tabs>
                <w:tab w:val="left" w:pos="1701"/>
              </w:tabs>
              <w:rPr>
                <w:snapToGrid w:val="0"/>
              </w:rPr>
            </w:pPr>
          </w:p>
          <w:p w:rsidR="00FC27CE" w:rsidRDefault="005F741C" w:rsidP="00FA1E6F">
            <w:pPr>
              <w:tabs>
                <w:tab w:val="left" w:pos="1701"/>
              </w:tabs>
              <w:rPr>
                <w:snapToGrid w:val="0"/>
              </w:rPr>
            </w:pPr>
            <w:r>
              <w:rPr>
                <w:snapToGrid w:val="0"/>
              </w:rPr>
              <w:t>Ordföranden konstaterade att det fanns stöd i utskottet för den av regeringen redovisade ståndpunkten.</w:t>
            </w:r>
          </w:p>
          <w:p w:rsidR="005F741C" w:rsidRDefault="005F741C" w:rsidP="00FA1E6F">
            <w:pPr>
              <w:tabs>
                <w:tab w:val="left" w:pos="1701"/>
              </w:tabs>
              <w:rPr>
                <w:snapToGrid w:val="0"/>
              </w:rPr>
            </w:pPr>
          </w:p>
          <w:p w:rsidR="00871F22" w:rsidRDefault="001256DF" w:rsidP="00FA1E6F">
            <w:pPr>
              <w:tabs>
                <w:tab w:val="left" w:pos="1701"/>
              </w:tabs>
              <w:rPr>
                <w:snapToGrid w:val="0"/>
              </w:rPr>
            </w:pPr>
            <w:r>
              <w:rPr>
                <w:snapToGrid w:val="0"/>
              </w:rPr>
              <w:t>Denna paragraf förklarades omedelbart justerad.</w:t>
            </w:r>
          </w:p>
          <w:p w:rsidR="006B5DB4" w:rsidRDefault="006B5DB4" w:rsidP="00FA1E6F">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4</w:t>
            </w:r>
          </w:p>
        </w:tc>
        <w:tc>
          <w:tcPr>
            <w:tcW w:w="6946" w:type="dxa"/>
            <w:gridSpan w:val="2"/>
          </w:tcPr>
          <w:p w:rsidR="00F93B25" w:rsidRDefault="00871F22" w:rsidP="0096348C">
            <w:pPr>
              <w:tabs>
                <w:tab w:val="left" w:pos="1701"/>
              </w:tabs>
              <w:rPr>
                <w:b/>
                <w:snapToGrid w:val="0"/>
              </w:rPr>
            </w:pPr>
            <w:r w:rsidRPr="00871F22">
              <w:rPr>
                <w:b/>
                <w:bCs/>
                <w:snapToGrid w:val="0"/>
              </w:rPr>
              <w:t>Förslag till rådets direktiv om ett gemensamt system för skatt på inkomster från tillhandahållande av vissa digitala tjänster</w:t>
            </w:r>
          </w:p>
          <w:p w:rsidR="00F93B25" w:rsidRDefault="00F93B25" w:rsidP="0096348C">
            <w:pPr>
              <w:tabs>
                <w:tab w:val="left" w:pos="1701"/>
              </w:tabs>
              <w:rPr>
                <w:snapToGrid w:val="0"/>
              </w:rPr>
            </w:pPr>
          </w:p>
          <w:p w:rsidR="00871F22" w:rsidRDefault="00871F22" w:rsidP="00871F22">
            <w:pPr>
              <w:tabs>
                <w:tab w:val="left" w:pos="1701"/>
              </w:tabs>
              <w:rPr>
                <w:snapToGrid w:val="0"/>
              </w:rPr>
            </w:pPr>
            <w:r>
              <w:rPr>
                <w:snapToGrid w:val="0"/>
              </w:rPr>
              <w:t>Utskottet överlade med f</w:t>
            </w:r>
            <w:r w:rsidRPr="006B5DB4">
              <w:rPr>
                <w:snapToGrid w:val="0"/>
              </w:rPr>
              <w:t>inansminister Magdalena Andersson åtföljd av statssekreterare Leif Jakobsson, finansrådet Linda Haggren och kanslirå</w:t>
            </w:r>
            <w:r>
              <w:rPr>
                <w:snapToGrid w:val="0"/>
              </w:rPr>
              <w:t>den Erik Sjöstedt och Marc Gren.</w:t>
            </w:r>
          </w:p>
          <w:p w:rsidR="005F741C" w:rsidRDefault="005F741C" w:rsidP="00871F22">
            <w:pPr>
              <w:tabs>
                <w:tab w:val="left" w:pos="1701"/>
              </w:tabs>
              <w:rPr>
                <w:snapToGrid w:val="0"/>
              </w:rPr>
            </w:pPr>
          </w:p>
          <w:p w:rsidR="005F741C" w:rsidRDefault="005F741C" w:rsidP="005F741C">
            <w:pPr>
              <w:tabs>
                <w:tab w:val="left" w:pos="1701"/>
              </w:tabs>
              <w:rPr>
                <w:snapToGrid w:val="0"/>
              </w:rPr>
            </w:pPr>
            <w:r>
              <w:rPr>
                <w:snapToGrid w:val="0"/>
              </w:rPr>
              <w:t xml:space="preserve">I ärendet förelåg bl.a. faktapromemoria 2017/18:75 Direktiv om skatt på intäkter från vissa digitala tjänster </w:t>
            </w:r>
            <w:r w:rsidR="00AB083C">
              <w:rPr>
                <w:snapToGrid w:val="0"/>
              </w:rPr>
              <w:t xml:space="preserve">daterade 2018-04-19 </w:t>
            </w:r>
            <w:r>
              <w:rPr>
                <w:snapToGrid w:val="0"/>
              </w:rPr>
              <w:t>som underlag inför överläggningen.</w:t>
            </w:r>
          </w:p>
          <w:p w:rsidR="005F741C" w:rsidRDefault="005F741C" w:rsidP="005F741C">
            <w:pPr>
              <w:tabs>
                <w:tab w:val="left" w:pos="1701"/>
              </w:tabs>
              <w:rPr>
                <w:snapToGrid w:val="0"/>
              </w:rPr>
            </w:pPr>
          </w:p>
          <w:p w:rsidR="005F741C" w:rsidRPr="00FC27CE" w:rsidRDefault="005F741C" w:rsidP="005F741C">
            <w:pPr>
              <w:tabs>
                <w:tab w:val="left" w:pos="1701"/>
              </w:tabs>
              <w:rPr>
                <w:snapToGrid w:val="0"/>
                <w:u w:val="single"/>
              </w:rPr>
            </w:pPr>
            <w:r w:rsidRPr="00FC27CE">
              <w:rPr>
                <w:snapToGrid w:val="0"/>
                <w:u w:val="single"/>
              </w:rPr>
              <w:t>Regeringen redovisade följande som svensk ståndpunkt:</w:t>
            </w:r>
          </w:p>
          <w:p w:rsidR="005F741C" w:rsidRDefault="005F741C" w:rsidP="005F741C">
            <w:pPr>
              <w:tabs>
                <w:tab w:val="left" w:pos="1701"/>
              </w:tabs>
              <w:rPr>
                <w:snapToGrid w:val="0"/>
              </w:rPr>
            </w:pPr>
          </w:p>
          <w:p w:rsidR="00506D5F" w:rsidRPr="006B141B" w:rsidRDefault="00506D5F" w:rsidP="00506D5F">
            <w:pPr>
              <w:tabs>
                <w:tab w:val="left" w:pos="1701"/>
              </w:tabs>
              <w:rPr>
                <w:i/>
                <w:snapToGrid w:val="0"/>
              </w:rPr>
            </w:pPr>
            <w:r w:rsidRPr="006B141B">
              <w:rPr>
                <w:i/>
                <w:snapToGrid w:val="0"/>
              </w:rPr>
              <w:t>Det är inte acceptabelt om stora multinationella företag genom aggressiv skatteplanering betalar låg eller ingen skatt. OECD:s BEPS-arbete, som Sverige deltar aktivt i, syftar till att motverka sådan skatteplanering.</w:t>
            </w:r>
          </w:p>
          <w:p w:rsidR="00506D5F" w:rsidRPr="006B141B" w:rsidRDefault="00506D5F" w:rsidP="00506D5F">
            <w:pPr>
              <w:tabs>
                <w:tab w:val="left" w:pos="1701"/>
              </w:tabs>
              <w:rPr>
                <w:i/>
                <w:snapToGrid w:val="0"/>
              </w:rPr>
            </w:pPr>
            <w:r w:rsidRPr="006B141B">
              <w:rPr>
                <w:i/>
                <w:snapToGrid w:val="0"/>
              </w:rPr>
              <w:t xml:space="preserve">Kommissionens två förslag om beskattning av digital ekonomi handlar inte om skatteplanering utan om företagsbeskattningssystemet i förhållande till en del av de nya affärsmodeller som har uppkommit till följd av den ökande digitaliseringen av ekonomin. Kommissionen </w:t>
            </w:r>
            <w:r w:rsidRPr="006B141B">
              <w:rPr>
                <w:i/>
                <w:snapToGrid w:val="0"/>
              </w:rPr>
              <w:lastRenderedPageBreak/>
              <w:t>menar att det finns en avvikelse mellan var värdeskapande i företagen sker och var företagen beskattas. Regeringen anser inte att kommissionen presenterat en analys som stöder denna utgångspunkt.</w:t>
            </w:r>
          </w:p>
          <w:p w:rsidR="005F741C" w:rsidRDefault="00506D5F" w:rsidP="00506D5F">
            <w:pPr>
              <w:tabs>
                <w:tab w:val="left" w:pos="1701"/>
              </w:tabs>
              <w:rPr>
                <w:snapToGrid w:val="0"/>
              </w:rPr>
            </w:pPr>
            <w:r w:rsidRPr="006B141B">
              <w:rPr>
                <w:i/>
                <w:snapToGrid w:val="0"/>
              </w:rPr>
              <w:t xml:space="preserve">Det pågående arbetet inom OECD är av avgörande betydelse för att uppnå en global samsyn om företagsbeskattning av den digitala ekonomin. Regeringen </w:t>
            </w:r>
            <w:r w:rsidR="00AB083C" w:rsidRPr="006B141B">
              <w:rPr>
                <w:i/>
                <w:snapToGrid w:val="0"/>
              </w:rPr>
              <w:t>är negativ till</w:t>
            </w:r>
            <w:r w:rsidRPr="006B141B">
              <w:rPr>
                <w:i/>
                <w:snapToGrid w:val="0"/>
              </w:rPr>
              <w:t xml:space="preserve"> att använda en omsättningsbaserad punktskatt för att åtgärda de eventuella problemen med var faktisk företagsbeskattning sker. Det är viktigt att fördelningen av befogenhet mellan EU och medlemsstaterna i skattefrågor respekteras och att dubbelbeskattning undviks. En eventuell övergångsåtgärd bör därför vara snävare än den nu föreslagna, med en mer traditionell skattebas. Det är också viktigt att säkerställa att en eventuell åtgärd verkligen blir en övergångsåtgärd.</w:t>
            </w:r>
          </w:p>
          <w:p w:rsidR="00506D5F" w:rsidRDefault="00506D5F" w:rsidP="005F741C">
            <w:pPr>
              <w:tabs>
                <w:tab w:val="left" w:pos="1701"/>
              </w:tabs>
              <w:rPr>
                <w:snapToGrid w:val="0"/>
              </w:rPr>
            </w:pPr>
          </w:p>
          <w:p w:rsidR="005F741C" w:rsidRDefault="005F741C" w:rsidP="005F741C">
            <w:pPr>
              <w:tabs>
                <w:tab w:val="left" w:pos="1701"/>
              </w:tabs>
              <w:rPr>
                <w:snapToGrid w:val="0"/>
              </w:rPr>
            </w:pPr>
            <w:r>
              <w:rPr>
                <w:snapToGrid w:val="0"/>
              </w:rPr>
              <w:t>Ordföranden konstaterade att det fanns stöd i utskottet för den av regeringen redovisade ståndpunkten.</w:t>
            </w:r>
          </w:p>
          <w:p w:rsidR="001256DF" w:rsidRDefault="001256DF" w:rsidP="00871F22">
            <w:pPr>
              <w:tabs>
                <w:tab w:val="left" w:pos="1701"/>
              </w:tabs>
              <w:rPr>
                <w:snapToGrid w:val="0"/>
              </w:rPr>
            </w:pPr>
          </w:p>
          <w:p w:rsidR="001256DF" w:rsidRDefault="001256DF" w:rsidP="00871F22">
            <w:pPr>
              <w:tabs>
                <w:tab w:val="left" w:pos="1701"/>
              </w:tabs>
              <w:rPr>
                <w:snapToGrid w:val="0"/>
              </w:rPr>
            </w:pPr>
            <w:r>
              <w:rPr>
                <w:snapToGrid w:val="0"/>
              </w:rPr>
              <w:t>Denna paragraf förklarades omedelbart justerad.</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723D66">
              <w:rPr>
                <w:b/>
                <w:snapToGrid w:val="0"/>
              </w:rPr>
              <w:t>5</w:t>
            </w:r>
          </w:p>
        </w:tc>
        <w:tc>
          <w:tcPr>
            <w:tcW w:w="6946" w:type="dxa"/>
            <w:gridSpan w:val="2"/>
          </w:tcPr>
          <w:p w:rsidR="00871F22" w:rsidRPr="001E1FAC" w:rsidRDefault="00871F22" w:rsidP="00871F22">
            <w:pPr>
              <w:tabs>
                <w:tab w:val="left" w:pos="1701"/>
              </w:tabs>
              <w:rPr>
                <w:b/>
                <w:snapToGrid w:val="0"/>
              </w:rPr>
            </w:pPr>
            <w:r>
              <w:rPr>
                <w:b/>
                <w:snapToGrid w:val="0"/>
              </w:rPr>
              <w:t>Justering av protokoll</w:t>
            </w:r>
          </w:p>
          <w:p w:rsidR="00871F22" w:rsidRDefault="00871F22" w:rsidP="00871F22">
            <w:pPr>
              <w:tabs>
                <w:tab w:val="left" w:pos="1701"/>
              </w:tabs>
              <w:rPr>
                <w:snapToGrid w:val="0"/>
              </w:rPr>
            </w:pPr>
          </w:p>
          <w:p w:rsidR="00CF4289" w:rsidRDefault="00871F22" w:rsidP="00CF4289">
            <w:pPr>
              <w:tabs>
                <w:tab w:val="left" w:pos="1701"/>
              </w:tabs>
              <w:rPr>
                <w:snapToGrid w:val="0"/>
              </w:rPr>
            </w:pPr>
            <w:r>
              <w:rPr>
                <w:snapToGrid w:val="0"/>
              </w:rPr>
              <w:t>Utskottet justerade protokoll 2017/18:23.</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622FAF">
              <w:rPr>
                <w:b/>
                <w:snapToGrid w:val="0"/>
              </w:rPr>
              <w:t>6</w:t>
            </w:r>
          </w:p>
        </w:tc>
        <w:tc>
          <w:tcPr>
            <w:tcW w:w="6946" w:type="dxa"/>
            <w:gridSpan w:val="2"/>
          </w:tcPr>
          <w:p w:rsidR="00F93B25" w:rsidRDefault="00871F22" w:rsidP="0096348C">
            <w:pPr>
              <w:tabs>
                <w:tab w:val="left" w:pos="1701"/>
              </w:tabs>
              <w:rPr>
                <w:snapToGrid w:val="0"/>
              </w:rPr>
            </w:pPr>
            <w:r>
              <w:rPr>
                <w:rFonts w:eastAsiaTheme="minorHAnsi"/>
                <w:b/>
                <w:bCs/>
                <w:color w:val="000000"/>
                <w:szCs w:val="24"/>
                <w:lang w:eastAsia="en-US"/>
              </w:rPr>
              <w:t>Förslag till rådets direktiv om fastställande av regler med avseende på bolagsbeskattning av en betydande digital närvaro (SUB-50-2017/18)</w:t>
            </w:r>
          </w:p>
          <w:p w:rsidR="00F93B25" w:rsidRDefault="00F93B25" w:rsidP="0096348C">
            <w:pPr>
              <w:tabs>
                <w:tab w:val="left" w:pos="1701"/>
              </w:tabs>
              <w:rPr>
                <w:snapToGrid w:val="0"/>
              </w:rPr>
            </w:pPr>
          </w:p>
          <w:p w:rsidR="00871F22" w:rsidRDefault="00871F22" w:rsidP="0096348C">
            <w:pPr>
              <w:tabs>
                <w:tab w:val="left" w:pos="1701"/>
              </w:tabs>
              <w:rPr>
                <w:snapToGrid w:val="0"/>
              </w:rPr>
            </w:pPr>
            <w:r>
              <w:rPr>
                <w:snapToGrid w:val="0"/>
              </w:rPr>
              <w:t>Utskottet inledde subsidiaritetsprövning av COM(2018) 147.</w:t>
            </w:r>
          </w:p>
          <w:p w:rsidR="00871F22" w:rsidRDefault="00871F22" w:rsidP="0096348C">
            <w:pPr>
              <w:tabs>
                <w:tab w:val="left" w:pos="1701"/>
              </w:tabs>
              <w:rPr>
                <w:snapToGrid w:val="0"/>
              </w:rPr>
            </w:pPr>
          </w:p>
          <w:p w:rsidR="00871F22" w:rsidRDefault="00871F22" w:rsidP="0096348C">
            <w:pPr>
              <w:tabs>
                <w:tab w:val="left" w:pos="1701"/>
              </w:tabs>
              <w:rPr>
                <w:snapToGrid w:val="0"/>
              </w:rPr>
            </w:pPr>
            <w:r>
              <w:rPr>
                <w:snapToGrid w:val="0"/>
              </w:rPr>
              <w:t>Utskottet ansåg att förslaget inte strider mot subsidiaritetsprincipen.</w:t>
            </w:r>
          </w:p>
          <w:p w:rsidR="004958D8" w:rsidRDefault="004958D8" w:rsidP="0096348C">
            <w:pPr>
              <w:tabs>
                <w:tab w:val="left" w:pos="1701"/>
              </w:tabs>
              <w:rPr>
                <w:snapToGrid w:val="0"/>
              </w:rPr>
            </w:pPr>
          </w:p>
          <w:p w:rsidR="004958D8" w:rsidRDefault="004958D8" w:rsidP="004958D8">
            <w:pPr>
              <w:tabs>
                <w:tab w:val="left" w:pos="1701"/>
              </w:tabs>
              <w:rPr>
                <w:snapToGrid w:val="0"/>
              </w:rPr>
            </w:pPr>
            <w:r>
              <w:rPr>
                <w:snapToGrid w:val="0"/>
              </w:rPr>
              <w:t xml:space="preserve">Olle Felten (-) </w:t>
            </w:r>
            <w:r w:rsidR="00274B4E">
              <w:rPr>
                <w:snapToGrid w:val="0"/>
              </w:rPr>
              <w:t>anmälde följande yttrande</w:t>
            </w:r>
            <w:r w:rsidR="009B4EAD">
              <w:rPr>
                <w:snapToGrid w:val="0"/>
              </w:rPr>
              <w:t>.</w:t>
            </w:r>
          </w:p>
          <w:p w:rsidR="00274B4E" w:rsidRDefault="00274B4E" w:rsidP="00274B4E"/>
          <w:p w:rsidR="00274B4E" w:rsidRPr="006B141B" w:rsidRDefault="00274B4E" w:rsidP="00274B4E">
            <w:pPr>
              <w:rPr>
                <w:i/>
              </w:rPr>
            </w:pPr>
            <w:r w:rsidRPr="006B141B">
              <w:rPr>
                <w:i/>
              </w:rPr>
              <w:t>Den aktuella frågan har många dimensioner och de huvudsakliga invändningarna är av materiellt slag och kommer att behandlas i ett senare skede. Huvudfrågan i subsid</w:t>
            </w:r>
            <w:r w:rsidR="00927F81" w:rsidRPr="006B141B">
              <w:rPr>
                <w:i/>
              </w:rPr>
              <w:t>i</w:t>
            </w:r>
            <w:r w:rsidRPr="006B141B">
              <w:rPr>
                <w:i/>
              </w:rPr>
              <w:t>aritetsärendet handlar om huruvida EU är mer lämpad än medlemsstaterna själva att hantera regelutveckling avseende bolagsbeskattning vid en betydande internationell digital närvaro. Det handlar i stor utsträckning om att identifiera en ny typ av skattebas för digitala tjänster när det gäller bolagsskatt.</w:t>
            </w:r>
          </w:p>
          <w:p w:rsidR="00274B4E" w:rsidRPr="006B141B" w:rsidRDefault="00274B4E" w:rsidP="00274B4E">
            <w:pPr>
              <w:rPr>
                <w:i/>
              </w:rPr>
            </w:pPr>
          </w:p>
          <w:p w:rsidR="00274B4E" w:rsidRPr="006B141B" w:rsidRDefault="00274B4E" w:rsidP="00274B4E">
            <w:pPr>
              <w:rPr>
                <w:i/>
              </w:rPr>
            </w:pPr>
            <w:r w:rsidRPr="006B141B">
              <w:rPr>
                <w:i/>
              </w:rPr>
              <w:t xml:space="preserve">Frågan är en viktig del av </w:t>
            </w:r>
            <w:proofErr w:type="spellStart"/>
            <w:r w:rsidRPr="006B141B">
              <w:rPr>
                <w:i/>
              </w:rPr>
              <w:t>OECD´s</w:t>
            </w:r>
            <w:proofErr w:type="spellEnd"/>
            <w:r w:rsidRPr="006B141B">
              <w:rPr>
                <w:i/>
              </w:rPr>
              <w:t xml:space="preserve"> BEPS-arbete och hanteras av OECD i BEPS Action 1, Hantering av </w:t>
            </w:r>
            <w:proofErr w:type="spellStart"/>
            <w:r w:rsidRPr="006B141B">
              <w:rPr>
                <w:i/>
              </w:rPr>
              <w:t>skatteutmaningar</w:t>
            </w:r>
            <w:proofErr w:type="spellEnd"/>
            <w:r w:rsidRPr="006B141B">
              <w:rPr>
                <w:i/>
              </w:rPr>
              <w:t xml:space="preserve"> i den digitala ekonomin. De flesta EU-länder är medlemmar i OECD och har därmed ett eget intresse av att följa de riktlinjer som OECD utarbetar. EU har visat sig ha egna ambitioner i ett antal olika sammanhang, inte minst när det gäller skattefrågor och de problemområden som OECD adresserat genom sitt BEPS-projekt, där man i vissa fall lagt förslag som inte följer </w:t>
            </w:r>
            <w:proofErr w:type="spellStart"/>
            <w:r w:rsidRPr="006B141B">
              <w:rPr>
                <w:i/>
              </w:rPr>
              <w:t>OECD´s</w:t>
            </w:r>
            <w:proofErr w:type="spellEnd"/>
            <w:r w:rsidRPr="006B141B">
              <w:rPr>
                <w:i/>
              </w:rPr>
              <w:t xml:space="preserve"> förslag.</w:t>
            </w:r>
          </w:p>
          <w:p w:rsidR="00274B4E" w:rsidRPr="006B141B" w:rsidRDefault="00274B4E" w:rsidP="00274B4E">
            <w:pPr>
              <w:rPr>
                <w:i/>
              </w:rPr>
            </w:pPr>
          </w:p>
          <w:p w:rsidR="00274B4E" w:rsidRPr="006B141B" w:rsidRDefault="00274B4E" w:rsidP="00274B4E">
            <w:pPr>
              <w:rPr>
                <w:i/>
              </w:rPr>
            </w:pPr>
            <w:r w:rsidRPr="006B141B">
              <w:rPr>
                <w:i/>
              </w:rPr>
              <w:t xml:space="preserve">Frågan som behandlas i det aktuella rådsdirektivet skulle kunna ses som en fråga som kan vara lämpad för EU, eftersom den berör samtliga EU-länder och kräver åtgärder som bör vara samordnade för att ge optimal effekt. Men man kan också tolka frågan med motsatt </w:t>
            </w:r>
            <w:r w:rsidRPr="006B141B">
              <w:rPr>
                <w:i/>
              </w:rPr>
              <w:lastRenderedPageBreak/>
              <w:t xml:space="preserve">slutsats, eftersom huvudproblematiken egentligen hanteras av OECD och att de flesta medlemsländerna där har sin egen representation och att de internationella aspekterna samordnas via OECD. Ur det perspektivet kan man se det som att EU får en udda och irrelevant roll. </w:t>
            </w:r>
          </w:p>
          <w:p w:rsidR="00274B4E" w:rsidRPr="006B141B" w:rsidRDefault="00274B4E" w:rsidP="00274B4E">
            <w:pPr>
              <w:rPr>
                <w:i/>
              </w:rPr>
            </w:pPr>
          </w:p>
          <w:p w:rsidR="00274B4E" w:rsidRPr="006B141B" w:rsidRDefault="00274B4E" w:rsidP="00274B4E">
            <w:pPr>
              <w:rPr>
                <w:i/>
              </w:rPr>
            </w:pPr>
            <w:r w:rsidRPr="006B141B">
              <w:rPr>
                <w:i/>
              </w:rPr>
              <w:t>Detta är grunden för min tveksamhet i detta subsid</w:t>
            </w:r>
            <w:r w:rsidR="00927F81" w:rsidRPr="006B141B">
              <w:rPr>
                <w:i/>
              </w:rPr>
              <w:t>i</w:t>
            </w:r>
            <w:r w:rsidRPr="006B141B">
              <w:rPr>
                <w:i/>
              </w:rPr>
              <w:t>aritetsärende, där jag ändå valt</w:t>
            </w:r>
            <w:r w:rsidR="00927F81" w:rsidRPr="006B141B">
              <w:rPr>
                <w:i/>
              </w:rPr>
              <w:t xml:space="preserve"> att stödja majoritetens uppfattning</w:t>
            </w:r>
            <w:r w:rsidRPr="006B141B">
              <w:rPr>
                <w:i/>
              </w:rPr>
              <w:t xml:space="preserve"> att </w:t>
            </w:r>
            <w:r w:rsidR="00927F81" w:rsidRPr="006B141B">
              <w:rPr>
                <w:i/>
              </w:rPr>
              <w:t>förslaget inte strider mot</w:t>
            </w:r>
            <w:r w:rsidRPr="006B141B">
              <w:rPr>
                <w:i/>
              </w:rPr>
              <w:t xml:space="preserve"> subsid</w:t>
            </w:r>
            <w:r w:rsidR="00927F81" w:rsidRPr="006B141B">
              <w:rPr>
                <w:i/>
              </w:rPr>
              <w:t>i</w:t>
            </w:r>
            <w:r w:rsidRPr="006B141B">
              <w:rPr>
                <w:i/>
              </w:rPr>
              <w:t xml:space="preserve">aritetsprövningen med hänvisning till att sakläget för att fälla prövningen är något oklar genom de olika roller som medlemsstaterna respektive EU har i det internationella samarbetet med OECD. </w:t>
            </w:r>
          </w:p>
          <w:p w:rsidR="00274B4E" w:rsidRPr="006B141B" w:rsidRDefault="00274B4E" w:rsidP="00274B4E">
            <w:pPr>
              <w:rPr>
                <w:i/>
              </w:rPr>
            </w:pPr>
          </w:p>
          <w:p w:rsidR="00274B4E" w:rsidRPr="006B141B" w:rsidRDefault="00274B4E" w:rsidP="00274B4E">
            <w:pPr>
              <w:rPr>
                <w:i/>
              </w:rPr>
            </w:pPr>
            <w:r w:rsidRPr="006B141B">
              <w:rPr>
                <w:i/>
              </w:rPr>
              <w:t xml:space="preserve">I den kommande behandlingen av de materiella förslagen och inriktningen på en eventuell EU-lagstiftning kommer den principiella hållningen om </w:t>
            </w:r>
            <w:proofErr w:type="spellStart"/>
            <w:r w:rsidRPr="006B141B">
              <w:rPr>
                <w:i/>
              </w:rPr>
              <w:t>EU´s</w:t>
            </w:r>
            <w:proofErr w:type="spellEnd"/>
            <w:r w:rsidRPr="006B141B">
              <w:rPr>
                <w:i/>
              </w:rPr>
              <w:t xml:space="preserve"> roll i denna fråga att hanteras i förhållande till de konkreta förslagen. </w:t>
            </w:r>
          </w:p>
          <w:p w:rsidR="00F35044" w:rsidRDefault="00F35044" w:rsidP="0096348C">
            <w:pPr>
              <w:tabs>
                <w:tab w:val="left" w:pos="1701"/>
              </w:tabs>
              <w:rPr>
                <w:snapToGrid w:val="0"/>
              </w:rPr>
            </w:pPr>
          </w:p>
          <w:p w:rsidR="00871F22" w:rsidRDefault="00871F22" w:rsidP="0096348C">
            <w:pPr>
              <w:tabs>
                <w:tab w:val="left" w:pos="1701"/>
              </w:tabs>
              <w:rPr>
                <w:snapToGrid w:val="0"/>
              </w:rPr>
            </w:pPr>
            <w:r>
              <w:rPr>
                <w:snapToGrid w:val="0"/>
              </w:rPr>
              <w:t>Denna paragraf förklarades omedelbart justerad.</w:t>
            </w:r>
          </w:p>
          <w:p w:rsidR="00871F22" w:rsidRPr="00F93B25" w:rsidRDefault="00871F22" w:rsidP="0096348C">
            <w:pPr>
              <w:tabs>
                <w:tab w:val="left" w:pos="1701"/>
              </w:tabs>
              <w:rPr>
                <w:snapToGrid w:val="0"/>
              </w:rPr>
            </w:pPr>
          </w:p>
        </w:tc>
      </w:tr>
      <w:tr w:rsidR="00871F22" w:rsidTr="00D12EAD">
        <w:tc>
          <w:tcPr>
            <w:tcW w:w="567" w:type="dxa"/>
          </w:tcPr>
          <w:p w:rsidR="00871F22" w:rsidRDefault="00871F22" w:rsidP="0096348C">
            <w:pPr>
              <w:tabs>
                <w:tab w:val="left" w:pos="1701"/>
              </w:tabs>
              <w:rPr>
                <w:b/>
                <w:snapToGrid w:val="0"/>
              </w:rPr>
            </w:pPr>
            <w:r>
              <w:rPr>
                <w:b/>
                <w:snapToGrid w:val="0"/>
              </w:rPr>
              <w:lastRenderedPageBreak/>
              <w:t xml:space="preserve">§ </w:t>
            </w:r>
            <w:r w:rsidR="00622FAF">
              <w:rPr>
                <w:b/>
                <w:snapToGrid w:val="0"/>
              </w:rPr>
              <w:t>7</w:t>
            </w:r>
          </w:p>
        </w:tc>
        <w:tc>
          <w:tcPr>
            <w:tcW w:w="6946" w:type="dxa"/>
            <w:gridSpan w:val="2"/>
          </w:tcPr>
          <w:p w:rsidR="00871F22" w:rsidRDefault="00871F22" w:rsidP="0096348C">
            <w:pPr>
              <w:tabs>
                <w:tab w:val="left" w:pos="1701"/>
              </w:tabs>
              <w:rPr>
                <w:rFonts w:eastAsiaTheme="minorHAnsi"/>
                <w:b/>
                <w:bCs/>
                <w:color w:val="000000"/>
                <w:szCs w:val="24"/>
                <w:lang w:eastAsia="en-US"/>
              </w:rPr>
            </w:pPr>
            <w:r>
              <w:rPr>
                <w:rFonts w:eastAsiaTheme="minorHAnsi"/>
                <w:b/>
                <w:bCs/>
                <w:color w:val="000000"/>
                <w:szCs w:val="24"/>
                <w:lang w:eastAsia="en-US"/>
              </w:rPr>
              <w:t>Förslag till rådets direktiv om ett gemensamt system för skatt på inkomster från tillhandahållande av vissa digitala tjänster (SUB-49-2017/18)</w:t>
            </w:r>
          </w:p>
          <w:p w:rsidR="00871F22" w:rsidRDefault="00871F22" w:rsidP="0096348C">
            <w:pPr>
              <w:tabs>
                <w:tab w:val="left" w:pos="1701"/>
              </w:tabs>
              <w:rPr>
                <w:rFonts w:eastAsiaTheme="minorHAnsi"/>
                <w:b/>
                <w:bCs/>
                <w:color w:val="000000"/>
                <w:szCs w:val="24"/>
                <w:lang w:eastAsia="en-US"/>
              </w:rPr>
            </w:pPr>
          </w:p>
          <w:p w:rsidR="00871F22" w:rsidRDefault="00871F22" w:rsidP="00871F22">
            <w:pPr>
              <w:tabs>
                <w:tab w:val="left" w:pos="1701"/>
              </w:tabs>
              <w:rPr>
                <w:snapToGrid w:val="0"/>
              </w:rPr>
            </w:pPr>
            <w:r>
              <w:rPr>
                <w:snapToGrid w:val="0"/>
              </w:rPr>
              <w:t>Utskottet inledde subsidiaritetsprövning av COM(2018) 148.</w:t>
            </w:r>
          </w:p>
          <w:p w:rsidR="00871F22" w:rsidRDefault="00871F22" w:rsidP="00871F22">
            <w:pPr>
              <w:tabs>
                <w:tab w:val="left" w:pos="1701"/>
              </w:tabs>
              <w:rPr>
                <w:snapToGrid w:val="0"/>
              </w:rPr>
            </w:pPr>
          </w:p>
          <w:p w:rsidR="004958D8" w:rsidRDefault="00871F22" w:rsidP="00871F22">
            <w:pPr>
              <w:tabs>
                <w:tab w:val="left" w:pos="1701"/>
              </w:tabs>
              <w:rPr>
                <w:snapToGrid w:val="0"/>
              </w:rPr>
            </w:pPr>
            <w:r>
              <w:rPr>
                <w:snapToGrid w:val="0"/>
              </w:rPr>
              <w:t>Utskottet ansåg att förslaget inte strider mot subsidiaritetsprincipen.</w:t>
            </w:r>
          </w:p>
          <w:p w:rsidR="00F35044" w:rsidRDefault="00F35044" w:rsidP="00871F22">
            <w:pPr>
              <w:tabs>
                <w:tab w:val="left" w:pos="1701"/>
              </w:tabs>
              <w:rPr>
                <w:snapToGrid w:val="0"/>
              </w:rPr>
            </w:pPr>
          </w:p>
          <w:p w:rsidR="00871F22" w:rsidRDefault="00871F22" w:rsidP="00871F22">
            <w:pPr>
              <w:tabs>
                <w:tab w:val="left" w:pos="1701"/>
              </w:tabs>
              <w:rPr>
                <w:snapToGrid w:val="0"/>
              </w:rPr>
            </w:pPr>
            <w:r>
              <w:rPr>
                <w:snapToGrid w:val="0"/>
              </w:rPr>
              <w:t>Denna paragraf förklarades omedelbart justerad.</w:t>
            </w:r>
          </w:p>
          <w:p w:rsidR="00871F22" w:rsidRDefault="00871F22" w:rsidP="004958D8">
            <w:pPr>
              <w:tabs>
                <w:tab w:val="left" w:pos="1701"/>
              </w:tabs>
              <w:rPr>
                <w:rFonts w:eastAsiaTheme="minorHAnsi"/>
                <w:b/>
                <w:bCs/>
                <w:color w:val="000000"/>
                <w:szCs w:val="24"/>
                <w:lang w:eastAsia="en-US"/>
              </w:rPr>
            </w:pPr>
          </w:p>
        </w:tc>
      </w:tr>
      <w:tr w:rsidR="00FA1E6F" w:rsidTr="00D12EAD">
        <w:tc>
          <w:tcPr>
            <w:tcW w:w="567" w:type="dxa"/>
          </w:tcPr>
          <w:p w:rsidR="00FA1E6F" w:rsidRDefault="0067120A" w:rsidP="0096348C">
            <w:pPr>
              <w:tabs>
                <w:tab w:val="left" w:pos="1701"/>
              </w:tabs>
              <w:rPr>
                <w:b/>
                <w:snapToGrid w:val="0"/>
              </w:rPr>
            </w:pPr>
            <w:r>
              <w:rPr>
                <w:b/>
                <w:snapToGrid w:val="0"/>
              </w:rPr>
              <w:t xml:space="preserve">§ </w:t>
            </w:r>
            <w:r w:rsidR="00622FAF">
              <w:rPr>
                <w:b/>
                <w:snapToGrid w:val="0"/>
              </w:rPr>
              <w:t>8</w:t>
            </w:r>
          </w:p>
        </w:tc>
        <w:tc>
          <w:tcPr>
            <w:tcW w:w="6946" w:type="dxa"/>
            <w:gridSpan w:val="2"/>
          </w:tcPr>
          <w:p w:rsidR="00FA1E6F" w:rsidRDefault="00FA1E6F" w:rsidP="00FA1E6F">
            <w:pPr>
              <w:tabs>
                <w:tab w:val="left" w:pos="1701"/>
              </w:tabs>
              <w:rPr>
                <w:b/>
                <w:snapToGrid w:val="0"/>
              </w:rPr>
            </w:pPr>
            <w:r>
              <w:rPr>
                <w:b/>
                <w:snapToGrid w:val="0"/>
              </w:rPr>
              <w:t>Övriga frågor</w:t>
            </w:r>
          </w:p>
          <w:p w:rsidR="00FA1E6F" w:rsidRDefault="00FA1E6F" w:rsidP="00FA1E6F">
            <w:pPr>
              <w:tabs>
                <w:tab w:val="left" w:pos="1701"/>
              </w:tabs>
              <w:rPr>
                <w:b/>
                <w:snapToGrid w:val="0"/>
              </w:rPr>
            </w:pPr>
          </w:p>
          <w:p w:rsidR="001F5320" w:rsidRDefault="001F5320" w:rsidP="00622FAF">
            <w:pPr>
              <w:tabs>
                <w:tab w:val="left" w:pos="1701"/>
              </w:tabs>
              <w:rPr>
                <w:snapToGrid w:val="0"/>
              </w:rPr>
            </w:pPr>
            <w:r w:rsidRPr="00622FAF">
              <w:rPr>
                <w:snapToGrid w:val="0"/>
              </w:rPr>
              <w:t>Utskottet</w:t>
            </w:r>
            <w:r w:rsidR="00622FAF">
              <w:rPr>
                <w:snapToGrid w:val="0"/>
              </w:rPr>
              <w:t xml:space="preserve">s ordförande tackade </w:t>
            </w:r>
            <w:r w:rsidR="0065517C">
              <w:rPr>
                <w:snapToGrid w:val="0"/>
              </w:rPr>
              <w:t>utskottsassistenten Britt-Marie Asplind inför att hon nu lämnar utskottets kansli för att gå i pension.</w:t>
            </w:r>
          </w:p>
          <w:p w:rsidR="006F1A22" w:rsidRPr="00622FAF" w:rsidRDefault="006F1A22" w:rsidP="00622FAF">
            <w:pPr>
              <w:tabs>
                <w:tab w:val="left" w:pos="1701"/>
              </w:tabs>
              <w:rPr>
                <w:snapToGrid w:val="0"/>
              </w:rPr>
            </w:pPr>
          </w:p>
        </w:tc>
      </w:tr>
      <w:tr w:rsidR="00F93B25" w:rsidTr="00D12EAD">
        <w:tc>
          <w:tcPr>
            <w:tcW w:w="567" w:type="dxa"/>
          </w:tcPr>
          <w:p w:rsidR="00F93B25" w:rsidRDefault="00622FAF" w:rsidP="0096348C">
            <w:pPr>
              <w:tabs>
                <w:tab w:val="left" w:pos="1701"/>
              </w:tabs>
              <w:rPr>
                <w:b/>
                <w:snapToGrid w:val="0"/>
              </w:rPr>
            </w:pPr>
            <w:r>
              <w:rPr>
                <w:b/>
                <w:snapToGrid w:val="0"/>
              </w:rPr>
              <w:t>§ 9</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871F22">
              <w:rPr>
                <w:snapToGrid w:val="0"/>
              </w:rPr>
              <w:t xml:space="preserve">träde </w:t>
            </w:r>
            <w:r w:rsidR="004958D8">
              <w:rPr>
                <w:snapToGrid w:val="0"/>
              </w:rPr>
              <w:t>ska äga rum torsdagen den 3 maj</w:t>
            </w:r>
            <w:r w:rsidR="00780720">
              <w:rPr>
                <w:snapToGrid w:val="0"/>
              </w:rPr>
              <w:t xml:space="preserve"> 2018</w:t>
            </w:r>
            <w:r>
              <w:rPr>
                <w:snapToGrid w:val="0"/>
              </w:rPr>
              <w:t xml:space="preserve"> kl. </w:t>
            </w:r>
            <w:r w:rsidR="00871F22">
              <w:rPr>
                <w:snapToGrid w:val="0"/>
              </w:rPr>
              <w:t>10.00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CF4289">
            <w:pPr>
              <w:tabs>
                <w:tab w:val="left" w:pos="1701"/>
              </w:tabs>
            </w:pPr>
            <w:r>
              <w:t>Justeras</w:t>
            </w:r>
            <w:r w:rsidR="00906C2D">
              <w:t xml:space="preserve"> den </w:t>
            </w:r>
            <w:r w:rsidR="00622FAF">
              <w:t>3 maj</w:t>
            </w:r>
            <w:r w:rsidR="00723D66">
              <w:t xml:space="preserve"> </w:t>
            </w:r>
            <w:r w:rsidR="003F642F">
              <w:t>201</w:t>
            </w:r>
            <w:r w:rsidR="00780720">
              <w:t>8</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3D2B22" w:rsidP="00EA7B53">
            <w:r>
              <w:t>2017/18</w:t>
            </w:r>
            <w:r w:rsidR="0096348C">
              <w:t>:</w:t>
            </w:r>
            <w:r w:rsidR="00031589">
              <w:t>24</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703969">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14803"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703969">
              <w:rPr>
                <w:sz w:val="22"/>
              </w:rPr>
              <w:t>3</w:t>
            </w:r>
            <w:r w:rsidR="001256DF">
              <w:rPr>
                <w:sz w:val="22"/>
              </w:rPr>
              <w:t>-</w:t>
            </w:r>
            <w:r w:rsidR="004663B0">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14803"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4663B0">
              <w:rPr>
                <w:sz w:val="22"/>
              </w:rPr>
              <w:t>6</w:t>
            </w:r>
            <w:r w:rsidR="00703969">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rPr>
            </w:pPr>
            <w:r>
              <w:rPr>
                <w:sz w:val="22"/>
                <w:lang w:val="en-US"/>
              </w:rPr>
              <w:t>Per Åsling (C)</w:t>
            </w:r>
            <w:r>
              <w:rPr>
                <w:sz w:val="22"/>
                <w:lang w:val="de-DE"/>
              </w:rPr>
              <w:t xml:space="preserve">, </w:t>
            </w:r>
            <w:proofErr w:type="spellStart"/>
            <w:r>
              <w:rPr>
                <w:sz w:val="22"/>
                <w:lang w:val="de-DE"/>
              </w:rPr>
              <w:t>ordf</w:t>
            </w:r>
            <w:proofErr w:type="spellEnd"/>
            <w:r>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421F55"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A817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Jörgen Hellman (S)</w:t>
            </w:r>
            <w:r w:rsidR="00363647">
              <w:rPr>
                <w:sz w:val="22"/>
                <w:lang w:val="de-DE"/>
              </w:rPr>
              <w:t xml:space="preserve">, vice </w:t>
            </w:r>
            <w:proofErr w:type="spellStart"/>
            <w:r w:rsidR="00363647">
              <w:rPr>
                <w:sz w:val="22"/>
                <w:lang w:val="de-DE"/>
              </w:rPr>
              <w:t>ordf</w:t>
            </w:r>
            <w:proofErr w:type="spellEnd"/>
            <w:r w:rsidR="00363647">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O</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A46C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Cecilia Widegren</w:t>
            </w:r>
            <w:r w:rsidR="00417945">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E932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Maria Strömkvist</w:t>
            </w:r>
            <w:r w:rsidR="003F642F">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494D6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Olle Felten</w:t>
            </w:r>
            <w:r w:rsidR="00314F14">
              <w:rPr>
                <w:sz w:val="22"/>
                <w:lang w:val="en-US"/>
              </w:rPr>
              <w:t xml:space="preserve"> (-</w:t>
            </w:r>
            <w:r w:rsidR="003F642F">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41582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Fredrik Schulte</w:t>
            </w:r>
            <w:r w:rsidR="003F642F">
              <w:rPr>
                <w:sz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Hannah Bergstedt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Rasmus Ling (MP)</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7515B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Lotta Finstorp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C4713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Anna Johansson</w:t>
            </w:r>
            <w:r w:rsidR="003F642F">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D360F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Mathias Sundin</w:t>
            </w:r>
            <w:r w:rsidR="003F642F">
              <w:rPr>
                <w:sz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2E1614" w:rsidRDefault="00FE35D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Momodou Jallow (V)</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Larry Söder (KD)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815DF" w:rsidP="003F642F">
            <w:pPr>
              <w:rPr>
                <w:sz w:val="22"/>
                <w:szCs w:val="22"/>
                <w:lang w:val="en-US"/>
              </w:rPr>
            </w:pPr>
            <w:r>
              <w:rPr>
                <w:sz w:val="22"/>
                <w:szCs w:val="22"/>
                <w:lang w:val="en-US"/>
              </w:rPr>
              <w:t>Jörgen Warborn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0396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O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9249A0"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043563" w:rsidP="003F642F">
            <w:pPr>
              <w:rPr>
                <w:sz w:val="22"/>
                <w:szCs w:val="22"/>
                <w:lang w:val="en-US"/>
              </w:rPr>
            </w:pPr>
            <w:r>
              <w:rPr>
                <w:sz w:val="22"/>
                <w:szCs w:val="22"/>
                <w:lang w:val="en-US"/>
              </w:rPr>
              <w:t>Maria Abrahamsson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81721" w:rsidP="003F642F">
            <w:pPr>
              <w:rPr>
                <w:sz w:val="22"/>
                <w:szCs w:val="22"/>
                <w:lang w:val="en-US"/>
              </w:rPr>
            </w:pPr>
            <w:r>
              <w:rPr>
                <w:sz w:val="22"/>
                <w:szCs w:val="22"/>
                <w:lang w:val="en-US"/>
              </w:rPr>
              <w:t>Jamal El-Haj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94D6F"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043563" w:rsidP="003F642F">
            <w:pPr>
              <w:rPr>
                <w:sz w:val="22"/>
                <w:szCs w:val="22"/>
                <w:lang w:val="en-US"/>
              </w:rPr>
            </w:pPr>
            <w:r>
              <w:rPr>
                <w:sz w:val="22"/>
                <w:szCs w:val="22"/>
                <w:lang w:val="en-US"/>
              </w:rPr>
              <w:t>Erik Andersson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Per-Ingvar Johnsson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D0388"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Leif Nysmed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Kent Ekeroth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360F7" w:rsidP="003F642F">
            <w:pPr>
              <w:rPr>
                <w:sz w:val="22"/>
                <w:szCs w:val="22"/>
                <w:lang w:val="en-US"/>
              </w:rPr>
            </w:pPr>
            <w:r>
              <w:rPr>
                <w:sz w:val="22"/>
                <w:szCs w:val="22"/>
                <w:lang w:val="en-US"/>
              </w:rPr>
              <w:t>Mats Persson</w:t>
            </w:r>
            <w:r w:rsidR="003F642F">
              <w:rPr>
                <w:sz w:val="22"/>
                <w:szCs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Emma Wallrup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90C14"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8C68ED" w:rsidP="003F642F">
            <w:pPr>
              <w:rPr>
                <w:sz w:val="22"/>
                <w:szCs w:val="22"/>
                <w:lang w:val="en-US"/>
              </w:rPr>
            </w:pPr>
            <w:r>
              <w:rPr>
                <w:sz w:val="22"/>
                <w:szCs w:val="22"/>
                <w:lang w:val="en-US"/>
              </w:rPr>
              <w:t>Staffan Danielsson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46F5A" w:rsidP="003F642F">
            <w:pPr>
              <w:rPr>
                <w:sz w:val="22"/>
                <w:szCs w:val="22"/>
                <w:lang w:val="en-US"/>
              </w:rPr>
            </w:pPr>
            <w:r>
              <w:rPr>
                <w:sz w:val="22"/>
                <w:szCs w:val="22"/>
                <w:lang w:val="en-US"/>
              </w:rPr>
              <w:t>Vasiliki Tsouplaki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Robert Hannah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Said Abdu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6022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60220" w:rsidRDefault="00C60220" w:rsidP="003F642F">
            <w:pPr>
              <w:rPr>
                <w:sz w:val="22"/>
                <w:szCs w:val="22"/>
                <w:lang w:val="en-US"/>
              </w:rPr>
            </w:pPr>
            <w:r>
              <w:rPr>
                <w:sz w:val="22"/>
                <w:szCs w:val="22"/>
                <w:lang w:val="en-US"/>
              </w:rPr>
              <w:t>Mathias Tegnér (S)</w:t>
            </w: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01AA"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901AA" w:rsidRDefault="00C901AA" w:rsidP="003F642F">
            <w:pPr>
              <w:rPr>
                <w:sz w:val="22"/>
                <w:szCs w:val="22"/>
                <w:lang w:val="en-US"/>
              </w:rPr>
            </w:pPr>
            <w:r>
              <w:rPr>
                <w:sz w:val="22"/>
                <w:szCs w:val="22"/>
                <w:lang w:val="en-US"/>
              </w:rPr>
              <w:t>Lise Nordin (MP)</w:t>
            </w: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C3A33"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5C3A33" w:rsidRDefault="005C3A33" w:rsidP="003F642F">
            <w:pPr>
              <w:rPr>
                <w:sz w:val="22"/>
                <w:szCs w:val="22"/>
                <w:lang w:val="en-US"/>
              </w:rPr>
            </w:pPr>
            <w:r>
              <w:rPr>
                <w:sz w:val="22"/>
                <w:szCs w:val="22"/>
                <w:lang w:val="en-US"/>
              </w:rPr>
              <w:t>Magnus Oscarsson (KD)</w:t>
            </w: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6D7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246D79" w:rsidRDefault="00246D79"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4F1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14F14" w:rsidRDefault="00314F14" w:rsidP="003F642F">
            <w:pPr>
              <w:rPr>
                <w:sz w:val="22"/>
                <w:szCs w:val="22"/>
                <w:lang w:val="en-US"/>
              </w:rPr>
            </w:pPr>
            <w:r>
              <w:rPr>
                <w:sz w:val="22"/>
                <w:szCs w:val="22"/>
                <w:lang w:val="en-US"/>
              </w:rPr>
              <w:t xml:space="preserve">Linda </w:t>
            </w:r>
            <w:proofErr w:type="spellStart"/>
            <w:r>
              <w:rPr>
                <w:sz w:val="22"/>
                <w:szCs w:val="22"/>
                <w:lang w:val="en-US"/>
              </w:rPr>
              <w:t>Snecker</w:t>
            </w:r>
            <w:proofErr w:type="spellEnd"/>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55748"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A55748" w:rsidRDefault="00A55748" w:rsidP="003F642F">
            <w:pPr>
              <w:rPr>
                <w:sz w:val="22"/>
                <w:szCs w:val="22"/>
                <w:lang w:val="en-US"/>
              </w:rPr>
            </w:pPr>
            <w:r>
              <w:rPr>
                <w:sz w:val="22"/>
                <w:szCs w:val="22"/>
                <w:lang w:val="en-US"/>
              </w:rPr>
              <w:t xml:space="preserve">Linus </w:t>
            </w:r>
            <w:proofErr w:type="spellStart"/>
            <w:r>
              <w:rPr>
                <w:sz w:val="22"/>
                <w:szCs w:val="22"/>
                <w:lang w:val="en-US"/>
              </w:rPr>
              <w:t>Sköld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421F5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84675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5960A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55748" w:rsidRPr="0078232D" w:rsidRDefault="00A5574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314F14">
              <w:rPr>
                <w:sz w:val="18"/>
                <w:szCs w:val="18"/>
              </w:rPr>
              <w:t>2018-04-1</w:t>
            </w:r>
            <w:r w:rsidR="00A55748">
              <w:rPr>
                <w:sz w:val="18"/>
                <w:szCs w:val="18"/>
              </w:rPr>
              <w:t>8</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DF3EEE">
      <w:pPr>
        <w:widowControl/>
      </w:pPr>
    </w:p>
    <w:sectPr w:rsidR="00953D59" w:rsidSect="00DF3EEE">
      <w:pgSz w:w="11906" w:h="16838"/>
      <w:pgMar w:top="709"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31589"/>
    <w:rsid w:val="0003470E"/>
    <w:rsid w:val="00037EDF"/>
    <w:rsid w:val="0004283E"/>
    <w:rsid w:val="00043563"/>
    <w:rsid w:val="000A10F5"/>
    <w:rsid w:val="000B7C05"/>
    <w:rsid w:val="000C0F16"/>
    <w:rsid w:val="000D0939"/>
    <w:rsid w:val="000D4D83"/>
    <w:rsid w:val="000F2258"/>
    <w:rsid w:val="000F47DE"/>
    <w:rsid w:val="000F4B22"/>
    <w:rsid w:val="00104694"/>
    <w:rsid w:val="001256DF"/>
    <w:rsid w:val="00133B7E"/>
    <w:rsid w:val="00144AD7"/>
    <w:rsid w:val="00161AA6"/>
    <w:rsid w:val="00186BCD"/>
    <w:rsid w:val="0019469E"/>
    <w:rsid w:val="001A1578"/>
    <w:rsid w:val="001C74B4"/>
    <w:rsid w:val="001E1FAC"/>
    <w:rsid w:val="001F5320"/>
    <w:rsid w:val="002061DA"/>
    <w:rsid w:val="002174A8"/>
    <w:rsid w:val="002373C0"/>
    <w:rsid w:val="00245992"/>
    <w:rsid w:val="00246D79"/>
    <w:rsid w:val="002544E0"/>
    <w:rsid w:val="002624FF"/>
    <w:rsid w:val="00274266"/>
    <w:rsid w:val="00274B4E"/>
    <w:rsid w:val="00275CD2"/>
    <w:rsid w:val="00296D10"/>
    <w:rsid w:val="002B1854"/>
    <w:rsid w:val="002B51DB"/>
    <w:rsid w:val="002D2AB5"/>
    <w:rsid w:val="002E1614"/>
    <w:rsid w:val="002F284C"/>
    <w:rsid w:val="00311E72"/>
    <w:rsid w:val="00314F14"/>
    <w:rsid w:val="003378A2"/>
    <w:rsid w:val="00360479"/>
    <w:rsid w:val="00363647"/>
    <w:rsid w:val="0037567A"/>
    <w:rsid w:val="00380417"/>
    <w:rsid w:val="003815DF"/>
    <w:rsid w:val="00394192"/>
    <w:rsid w:val="003952A4"/>
    <w:rsid w:val="0039591D"/>
    <w:rsid w:val="003A48EB"/>
    <w:rsid w:val="003A729A"/>
    <w:rsid w:val="003D2B22"/>
    <w:rsid w:val="003D3213"/>
    <w:rsid w:val="003D65DF"/>
    <w:rsid w:val="003E3027"/>
    <w:rsid w:val="003F642F"/>
    <w:rsid w:val="003F76C0"/>
    <w:rsid w:val="0041580F"/>
    <w:rsid w:val="0041582D"/>
    <w:rsid w:val="00416EC2"/>
    <w:rsid w:val="00417945"/>
    <w:rsid w:val="004206DB"/>
    <w:rsid w:val="00421F55"/>
    <w:rsid w:val="00446353"/>
    <w:rsid w:val="004663B0"/>
    <w:rsid w:val="00494D6F"/>
    <w:rsid w:val="004958D8"/>
    <w:rsid w:val="004A0DC8"/>
    <w:rsid w:val="004B6D8F"/>
    <w:rsid w:val="004C5D4F"/>
    <w:rsid w:val="004C6112"/>
    <w:rsid w:val="004E0699"/>
    <w:rsid w:val="004F1B55"/>
    <w:rsid w:val="004F680C"/>
    <w:rsid w:val="0050040F"/>
    <w:rsid w:val="00502075"/>
    <w:rsid w:val="00506D5F"/>
    <w:rsid w:val="005108E6"/>
    <w:rsid w:val="00517E7E"/>
    <w:rsid w:val="00533D68"/>
    <w:rsid w:val="00540AE9"/>
    <w:rsid w:val="00574036"/>
    <w:rsid w:val="00581568"/>
    <w:rsid w:val="005960AE"/>
    <w:rsid w:val="005A458F"/>
    <w:rsid w:val="005B0262"/>
    <w:rsid w:val="005C1541"/>
    <w:rsid w:val="005C2F5F"/>
    <w:rsid w:val="005C3A33"/>
    <w:rsid w:val="005E28B9"/>
    <w:rsid w:val="005E439C"/>
    <w:rsid w:val="005F493C"/>
    <w:rsid w:val="005F57D4"/>
    <w:rsid w:val="005F741C"/>
    <w:rsid w:val="00614540"/>
    <w:rsid w:val="00622FAF"/>
    <w:rsid w:val="0065517C"/>
    <w:rsid w:val="0067120A"/>
    <w:rsid w:val="00672B3F"/>
    <w:rsid w:val="006A511D"/>
    <w:rsid w:val="006B141B"/>
    <w:rsid w:val="006B5DB4"/>
    <w:rsid w:val="006B7B0C"/>
    <w:rsid w:val="006C21FA"/>
    <w:rsid w:val="006D3126"/>
    <w:rsid w:val="006F1A22"/>
    <w:rsid w:val="00703969"/>
    <w:rsid w:val="00723D66"/>
    <w:rsid w:val="00726EE5"/>
    <w:rsid w:val="00731EE4"/>
    <w:rsid w:val="00750FF0"/>
    <w:rsid w:val="007515BB"/>
    <w:rsid w:val="00767BDA"/>
    <w:rsid w:val="00776102"/>
    <w:rsid w:val="00780720"/>
    <w:rsid w:val="007F6B0D"/>
    <w:rsid w:val="00834B38"/>
    <w:rsid w:val="0084675C"/>
    <w:rsid w:val="008557FA"/>
    <w:rsid w:val="00871F22"/>
    <w:rsid w:val="008808A5"/>
    <w:rsid w:val="008B78F9"/>
    <w:rsid w:val="008C68ED"/>
    <w:rsid w:val="008F2037"/>
    <w:rsid w:val="008F4D68"/>
    <w:rsid w:val="00906C2D"/>
    <w:rsid w:val="00915674"/>
    <w:rsid w:val="00921E58"/>
    <w:rsid w:val="009249A0"/>
    <w:rsid w:val="00927F81"/>
    <w:rsid w:val="00937BF3"/>
    <w:rsid w:val="00946978"/>
    <w:rsid w:val="00953D59"/>
    <w:rsid w:val="00954010"/>
    <w:rsid w:val="0096348C"/>
    <w:rsid w:val="00973D8B"/>
    <w:rsid w:val="009815DB"/>
    <w:rsid w:val="00984F1C"/>
    <w:rsid w:val="009A68FE"/>
    <w:rsid w:val="009B0A01"/>
    <w:rsid w:val="009B4EAD"/>
    <w:rsid w:val="009C3BE7"/>
    <w:rsid w:val="009D1BB5"/>
    <w:rsid w:val="009D6560"/>
    <w:rsid w:val="009F6E99"/>
    <w:rsid w:val="00A14803"/>
    <w:rsid w:val="00A258F2"/>
    <w:rsid w:val="00A401A5"/>
    <w:rsid w:val="00A46C20"/>
    <w:rsid w:val="00A55748"/>
    <w:rsid w:val="00A744C3"/>
    <w:rsid w:val="00A81721"/>
    <w:rsid w:val="00A84DE6"/>
    <w:rsid w:val="00A90C14"/>
    <w:rsid w:val="00A9262A"/>
    <w:rsid w:val="00AB083C"/>
    <w:rsid w:val="00AF7C8D"/>
    <w:rsid w:val="00B15788"/>
    <w:rsid w:val="00B3204F"/>
    <w:rsid w:val="00B54D41"/>
    <w:rsid w:val="00B64A91"/>
    <w:rsid w:val="00B85160"/>
    <w:rsid w:val="00B9203B"/>
    <w:rsid w:val="00BB1786"/>
    <w:rsid w:val="00C16B87"/>
    <w:rsid w:val="00C4713F"/>
    <w:rsid w:val="00C60220"/>
    <w:rsid w:val="00C702CD"/>
    <w:rsid w:val="00C901AA"/>
    <w:rsid w:val="00C919F3"/>
    <w:rsid w:val="00C92589"/>
    <w:rsid w:val="00C92A7A"/>
    <w:rsid w:val="00C93236"/>
    <w:rsid w:val="00CA39FE"/>
    <w:rsid w:val="00CB4BD3"/>
    <w:rsid w:val="00CF4289"/>
    <w:rsid w:val="00D12EAD"/>
    <w:rsid w:val="00D360F7"/>
    <w:rsid w:val="00D44270"/>
    <w:rsid w:val="00D52626"/>
    <w:rsid w:val="00D5385D"/>
    <w:rsid w:val="00D55F95"/>
    <w:rsid w:val="00D67826"/>
    <w:rsid w:val="00D90620"/>
    <w:rsid w:val="00D90722"/>
    <w:rsid w:val="00D93637"/>
    <w:rsid w:val="00D96F98"/>
    <w:rsid w:val="00DA3029"/>
    <w:rsid w:val="00DC58D9"/>
    <w:rsid w:val="00DD0388"/>
    <w:rsid w:val="00DD2E3A"/>
    <w:rsid w:val="00DD7DC3"/>
    <w:rsid w:val="00DE201B"/>
    <w:rsid w:val="00DF3EEE"/>
    <w:rsid w:val="00E33857"/>
    <w:rsid w:val="00E45D77"/>
    <w:rsid w:val="00E67EBA"/>
    <w:rsid w:val="00E916EA"/>
    <w:rsid w:val="00E92A77"/>
    <w:rsid w:val="00E9326E"/>
    <w:rsid w:val="00E948E9"/>
    <w:rsid w:val="00E96868"/>
    <w:rsid w:val="00EA7B53"/>
    <w:rsid w:val="00ED4EF3"/>
    <w:rsid w:val="00F064EF"/>
    <w:rsid w:val="00F35044"/>
    <w:rsid w:val="00F46F5A"/>
    <w:rsid w:val="00F70370"/>
    <w:rsid w:val="00F71AAB"/>
    <w:rsid w:val="00F93B25"/>
    <w:rsid w:val="00F968D3"/>
    <w:rsid w:val="00FA1E6F"/>
    <w:rsid w:val="00FA384F"/>
    <w:rsid w:val="00FB538C"/>
    <w:rsid w:val="00FC27CE"/>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6</Pages>
  <Words>1653</Words>
  <Characters>9690</Characters>
  <Application>Microsoft Office Word</Application>
  <DocSecurity>0</DocSecurity>
  <Lines>1076</Lines>
  <Paragraphs>246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2018-04-25T12:14:00Z</cp:lastPrinted>
  <dcterms:created xsi:type="dcterms:W3CDTF">2018-05-03T12:40:00Z</dcterms:created>
  <dcterms:modified xsi:type="dcterms:W3CDTF">2018-05-03T12:40:00Z</dcterms:modified>
</cp:coreProperties>
</file>