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DAE46" w14:textId="77777777" w:rsidR="00FB32B9" w:rsidRDefault="00E335DF" w:rsidP="00FB32B9">
      <w:pPr>
        <w:pStyle w:val="UDrubrik"/>
        <w:tabs>
          <w:tab w:val="left" w:pos="1701"/>
          <w:tab w:val="left" w:pos="1985"/>
        </w:tabs>
        <w:rPr>
          <w:rFonts w:cs="Arial"/>
          <w:sz w:val="28"/>
        </w:rPr>
      </w:pPr>
      <w:bookmarkStart w:id="0" w:name="_GoBack"/>
      <w:bookmarkEnd w:id="0"/>
    </w:p>
    <w:p w14:paraId="371DAE47" w14:textId="77777777" w:rsidR="00FB32B9" w:rsidRDefault="00E335DF" w:rsidP="00FB32B9">
      <w:pPr>
        <w:pStyle w:val="UDrubrik"/>
        <w:tabs>
          <w:tab w:val="left" w:pos="1701"/>
          <w:tab w:val="left" w:pos="1985"/>
        </w:tabs>
        <w:rPr>
          <w:rFonts w:cs="Arial"/>
          <w:sz w:val="28"/>
        </w:rPr>
      </w:pPr>
    </w:p>
    <w:p w14:paraId="371DAE48" w14:textId="77777777" w:rsidR="00FB32B9" w:rsidRDefault="00E335DF" w:rsidP="00FB32B9">
      <w:pPr>
        <w:pStyle w:val="UDrubrik"/>
        <w:tabs>
          <w:tab w:val="left" w:pos="1701"/>
          <w:tab w:val="left" w:pos="1985"/>
        </w:tabs>
        <w:rPr>
          <w:rFonts w:cs="Arial"/>
          <w:sz w:val="28"/>
        </w:rPr>
      </w:pPr>
    </w:p>
    <w:p w14:paraId="371DAE49" w14:textId="77777777" w:rsidR="00FB32B9" w:rsidRDefault="00E335DF" w:rsidP="00FB32B9">
      <w:pPr>
        <w:pStyle w:val="UDrubrik"/>
        <w:tabs>
          <w:tab w:val="left" w:pos="1701"/>
          <w:tab w:val="left" w:pos="1985"/>
        </w:tabs>
        <w:rPr>
          <w:rFonts w:cs="Arial"/>
          <w:sz w:val="28"/>
        </w:rPr>
      </w:pPr>
    </w:p>
    <w:p w14:paraId="371DAE4A" w14:textId="7B701F6B" w:rsidR="00FB32B9" w:rsidRDefault="00C46320" w:rsidP="00FB32B9">
      <w:pPr>
        <w:pStyle w:val="UDrubrik"/>
        <w:tabs>
          <w:tab w:val="left" w:pos="1701"/>
          <w:tab w:val="left" w:pos="1985"/>
        </w:tabs>
        <w:rPr>
          <w:rFonts w:cs="Arial"/>
          <w:sz w:val="28"/>
        </w:rPr>
      </w:pPr>
      <w:r>
        <w:rPr>
          <w:rFonts w:cs="Arial"/>
          <w:sz w:val="28"/>
        </w:rPr>
        <w:t xml:space="preserve">Troliga A-punkter inför kommande rådsmöten som </w:t>
      </w:r>
      <w:r w:rsidR="003A0C9A">
        <w:rPr>
          <w:rFonts w:cs="Arial"/>
          <w:sz w:val="28"/>
        </w:rPr>
        <w:t>godkändes</w:t>
      </w:r>
      <w:r>
        <w:rPr>
          <w:rFonts w:cs="Arial"/>
          <w:sz w:val="28"/>
        </w:rPr>
        <w:t xml:space="preserve"> vid Coreper II </w:t>
      </w:r>
      <w:r w:rsidR="003A0C9A">
        <w:rPr>
          <w:rFonts w:cs="Arial"/>
          <w:sz w:val="28"/>
        </w:rPr>
        <w:t xml:space="preserve">den 18 februari 2015, </w:t>
      </w:r>
      <w:r>
        <w:rPr>
          <w:rFonts w:cs="Arial"/>
          <w:sz w:val="28"/>
        </w:rPr>
        <w:t xml:space="preserve">vecka </w:t>
      </w:r>
      <w:r w:rsidR="003A0C9A">
        <w:rPr>
          <w:rFonts w:cs="Arial"/>
          <w:sz w:val="28"/>
        </w:rPr>
        <w:t>8</w:t>
      </w:r>
      <w:r>
        <w:rPr>
          <w:rFonts w:cs="Arial"/>
          <w:sz w:val="28"/>
        </w:rPr>
        <w:t>.</w:t>
      </w:r>
    </w:p>
    <w:p w14:paraId="371DAE4B" w14:textId="77777777" w:rsidR="00FB32B9" w:rsidRDefault="00E335DF" w:rsidP="00FB32B9">
      <w:pPr>
        <w:pStyle w:val="Brdtext"/>
      </w:pPr>
    </w:p>
    <w:p w14:paraId="371DAE4C" w14:textId="300DC0BE" w:rsidR="00FB32B9" w:rsidRDefault="00C46320" w:rsidP="00FB32B9">
      <w:pPr>
        <w:pStyle w:val="Brdtext"/>
      </w:pPr>
      <w:r>
        <w:t xml:space="preserve">Överlämnas för skriftligt samråd till </w:t>
      </w:r>
      <w:r w:rsidR="003A0C9A">
        <w:t>fredagen den 20 februari</w:t>
      </w:r>
      <w:r>
        <w:t xml:space="preserve">, </w:t>
      </w:r>
      <w:r w:rsidR="00185BF0">
        <w:t>kl.</w:t>
      </w:r>
      <w:r>
        <w:t xml:space="preserve"> </w:t>
      </w:r>
      <w:r w:rsidR="003A0C9A">
        <w:t>14.00</w:t>
      </w:r>
      <w:r>
        <w:t>.</w:t>
      </w:r>
    </w:p>
    <w:p w14:paraId="371DAE4D" w14:textId="77777777" w:rsidR="00FB32B9" w:rsidRDefault="00C4632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71DAE4E" w14:textId="77777777" w:rsidR="00D957FB" w:rsidRPr="00FB32B9" w:rsidRDefault="00C46320">
          <w:pPr>
            <w:pStyle w:val="Innehllsfrteckningsrubrik"/>
            <w:rPr>
              <w:color w:val="auto"/>
            </w:rPr>
          </w:pPr>
          <w:proofErr w:type="spellStart"/>
          <w:r w:rsidRPr="00FB32B9">
            <w:rPr>
              <w:color w:val="auto"/>
            </w:rPr>
            <w:t>Innehållsförteckning</w:t>
          </w:r>
          <w:proofErr w:type="spellEnd"/>
        </w:p>
        <w:p w14:paraId="371DAE4F" w14:textId="77777777" w:rsidR="00DA7250" w:rsidRPr="00DA7250" w:rsidRDefault="00E335DF" w:rsidP="00DA7250">
          <w:pPr>
            <w:rPr>
              <w:lang w:val="en-US" w:eastAsia="ja-JP"/>
            </w:rPr>
          </w:pPr>
        </w:p>
        <w:p w14:paraId="1369496B" w14:textId="77777777" w:rsidR="00DB0ABC" w:rsidRDefault="00C4632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2112764" w:history="1">
            <w:r w:rsidR="00DB0ABC" w:rsidRPr="00DB0B09">
              <w:rPr>
                <w:rStyle w:val="Hyperlnk"/>
                <w:noProof/>
              </w:rPr>
              <w:t>1.</w:t>
            </w:r>
            <w:r w:rsidR="00DB0ABC">
              <w:rPr>
                <w:rFonts w:asciiTheme="minorHAnsi" w:eastAsiaTheme="minorEastAsia" w:hAnsiTheme="minorHAnsi" w:cstheme="minorBidi"/>
                <w:noProof/>
                <w:lang w:eastAsia="sv-SE"/>
              </w:rPr>
              <w:tab/>
            </w:r>
            <w:r w:rsidR="00DB0ABC" w:rsidRPr="00DB0B09">
              <w:rPr>
                <w:rStyle w:val="Hyperlnk"/>
                <w:noProof/>
              </w:rPr>
              <w:t>Case before the Court of Justice Case C-14/15 (European Parliament v Council of the European Union)</w:t>
            </w:r>
            <w:r w:rsidR="00DB0ABC">
              <w:rPr>
                <w:noProof/>
                <w:webHidden/>
              </w:rPr>
              <w:tab/>
            </w:r>
            <w:r w:rsidR="00DB0ABC">
              <w:rPr>
                <w:noProof/>
                <w:webHidden/>
              </w:rPr>
              <w:fldChar w:fldCharType="begin"/>
            </w:r>
            <w:r w:rsidR="00DB0ABC">
              <w:rPr>
                <w:noProof/>
                <w:webHidden/>
              </w:rPr>
              <w:instrText xml:space="preserve"> PAGEREF _Toc412112764 \h </w:instrText>
            </w:r>
            <w:r w:rsidR="00DB0ABC">
              <w:rPr>
                <w:noProof/>
                <w:webHidden/>
              </w:rPr>
            </w:r>
            <w:r w:rsidR="00DB0ABC">
              <w:rPr>
                <w:noProof/>
                <w:webHidden/>
              </w:rPr>
              <w:fldChar w:fldCharType="separate"/>
            </w:r>
            <w:r w:rsidR="00DB0ABC">
              <w:rPr>
                <w:noProof/>
                <w:webHidden/>
              </w:rPr>
              <w:t>3</w:t>
            </w:r>
            <w:r w:rsidR="00DB0ABC">
              <w:rPr>
                <w:noProof/>
                <w:webHidden/>
              </w:rPr>
              <w:fldChar w:fldCharType="end"/>
            </w:r>
          </w:hyperlink>
        </w:p>
        <w:p w14:paraId="493241DF" w14:textId="77777777" w:rsidR="00DB0ABC" w:rsidRDefault="00E335DF">
          <w:pPr>
            <w:pStyle w:val="Innehll1"/>
            <w:tabs>
              <w:tab w:val="left" w:pos="440"/>
              <w:tab w:val="right" w:leader="dot" w:pos="9062"/>
            </w:tabs>
            <w:rPr>
              <w:rFonts w:asciiTheme="minorHAnsi" w:eastAsiaTheme="minorEastAsia" w:hAnsiTheme="minorHAnsi" w:cstheme="minorBidi"/>
              <w:noProof/>
              <w:lang w:eastAsia="sv-SE"/>
            </w:rPr>
          </w:pPr>
          <w:hyperlink w:anchor="_Toc412112765" w:history="1">
            <w:r w:rsidR="00DB0ABC" w:rsidRPr="00DB0B09">
              <w:rPr>
                <w:rStyle w:val="Hyperlnk"/>
                <w:noProof/>
              </w:rPr>
              <w:t>2.</w:t>
            </w:r>
            <w:r w:rsidR="00DB0ABC">
              <w:rPr>
                <w:rFonts w:asciiTheme="minorHAnsi" w:eastAsiaTheme="minorEastAsia" w:hAnsiTheme="minorHAnsi" w:cstheme="minorBidi"/>
                <w:noProof/>
                <w:lang w:eastAsia="sv-SE"/>
              </w:rPr>
              <w:tab/>
            </w:r>
            <w:r w:rsidR="00DB0ABC" w:rsidRPr="00DB0B09">
              <w:rPr>
                <w:rStyle w:val="Hyperlnk"/>
                <w:noProof/>
              </w:rPr>
              <w:t>Case before the General Court T-755/14 Herbert Smith Freehills against Commission</w:t>
            </w:r>
            <w:r w:rsidR="00DB0ABC">
              <w:rPr>
                <w:noProof/>
                <w:webHidden/>
              </w:rPr>
              <w:tab/>
            </w:r>
            <w:r w:rsidR="00DB0ABC">
              <w:rPr>
                <w:noProof/>
                <w:webHidden/>
              </w:rPr>
              <w:fldChar w:fldCharType="begin"/>
            </w:r>
            <w:r w:rsidR="00DB0ABC">
              <w:rPr>
                <w:noProof/>
                <w:webHidden/>
              </w:rPr>
              <w:instrText xml:space="preserve"> PAGEREF _Toc412112765 \h </w:instrText>
            </w:r>
            <w:r w:rsidR="00DB0ABC">
              <w:rPr>
                <w:noProof/>
                <w:webHidden/>
              </w:rPr>
            </w:r>
            <w:r w:rsidR="00DB0ABC">
              <w:rPr>
                <w:noProof/>
                <w:webHidden/>
              </w:rPr>
              <w:fldChar w:fldCharType="separate"/>
            </w:r>
            <w:r w:rsidR="00DB0ABC">
              <w:rPr>
                <w:noProof/>
                <w:webHidden/>
              </w:rPr>
              <w:t>3</w:t>
            </w:r>
            <w:r w:rsidR="00DB0ABC">
              <w:rPr>
                <w:noProof/>
                <w:webHidden/>
              </w:rPr>
              <w:fldChar w:fldCharType="end"/>
            </w:r>
          </w:hyperlink>
        </w:p>
        <w:p w14:paraId="2815E41A" w14:textId="77777777" w:rsidR="00DB0ABC" w:rsidRDefault="00E335DF">
          <w:pPr>
            <w:pStyle w:val="Innehll1"/>
            <w:tabs>
              <w:tab w:val="left" w:pos="440"/>
              <w:tab w:val="right" w:leader="dot" w:pos="9062"/>
            </w:tabs>
            <w:rPr>
              <w:rFonts w:asciiTheme="minorHAnsi" w:eastAsiaTheme="minorEastAsia" w:hAnsiTheme="minorHAnsi" w:cstheme="minorBidi"/>
              <w:noProof/>
              <w:lang w:eastAsia="sv-SE"/>
            </w:rPr>
          </w:pPr>
          <w:hyperlink w:anchor="_Toc412112766" w:history="1">
            <w:r w:rsidR="00DB0ABC" w:rsidRPr="00DB0B09">
              <w:rPr>
                <w:rStyle w:val="Hyperlnk"/>
                <w:noProof/>
              </w:rPr>
              <w:t>3.</w:t>
            </w:r>
            <w:r w:rsidR="00DB0ABC">
              <w:rPr>
                <w:rFonts w:asciiTheme="minorHAnsi" w:eastAsiaTheme="minorEastAsia" w:hAnsiTheme="minorHAnsi" w:cstheme="minorBidi"/>
                <w:noProof/>
                <w:lang w:eastAsia="sv-SE"/>
              </w:rPr>
              <w:tab/>
            </w:r>
            <w:r w:rsidR="00DB0ABC" w:rsidRPr="00DB0B09">
              <w:rPr>
                <w:rStyle w:val="Hyperlnk"/>
                <w:noProof/>
              </w:rPr>
              <w:t>Adoption of a Council Decision establishing the position to be taken on behalf of the European Union within the Joint Committee set up under the Agreement between the European Union and Ukraine on the facilitation of the issuance of visas, with regard to the adoption of Common Guidelines for the implementation of the Agreement</w:t>
            </w:r>
            <w:r w:rsidR="00DB0ABC">
              <w:rPr>
                <w:noProof/>
                <w:webHidden/>
              </w:rPr>
              <w:tab/>
            </w:r>
            <w:r w:rsidR="00DB0ABC">
              <w:rPr>
                <w:noProof/>
                <w:webHidden/>
              </w:rPr>
              <w:fldChar w:fldCharType="begin"/>
            </w:r>
            <w:r w:rsidR="00DB0ABC">
              <w:rPr>
                <w:noProof/>
                <w:webHidden/>
              </w:rPr>
              <w:instrText xml:space="preserve"> PAGEREF _Toc412112766 \h </w:instrText>
            </w:r>
            <w:r w:rsidR="00DB0ABC">
              <w:rPr>
                <w:noProof/>
                <w:webHidden/>
              </w:rPr>
            </w:r>
            <w:r w:rsidR="00DB0ABC">
              <w:rPr>
                <w:noProof/>
                <w:webHidden/>
              </w:rPr>
              <w:fldChar w:fldCharType="separate"/>
            </w:r>
            <w:r w:rsidR="00DB0ABC">
              <w:rPr>
                <w:noProof/>
                <w:webHidden/>
              </w:rPr>
              <w:t>4</w:t>
            </w:r>
            <w:r w:rsidR="00DB0ABC">
              <w:rPr>
                <w:noProof/>
                <w:webHidden/>
              </w:rPr>
              <w:fldChar w:fldCharType="end"/>
            </w:r>
          </w:hyperlink>
        </w:p>
        <w:p w14:paraId="6ADC75FC" w14:textId="77777777" w:rsidR="00DB0ABC" w:rsidRDefault="00E335DF">
          <w:pPr>
            <w:pStyle w:val="Innehll1"/>
            <w:tabs>
              <w:tab w:val="left" w:pos="440"/>
              <w:tab w:val="right" w:leader="dot" w:pos="9062"/>
            </w:tabs>
            <w:rPr>
              <w:rFonts w:asciiTheme="minorHAnsi" w:eastAsiaTheme="minorEastAsia" w:hAnsiTheme="minorHAnsi" w:cstheme="minorBidi"/>
              <w:noProof/>
              <w:lang w:eastAsia="sv-SE"/>
            </w:rPr>
          </w:pPr>
          <w:hyperlink w:anchor="_Toc412112767" w:history="1">
            <w:r w:rsidR="00DB0ABC" w:rsidRPr="00DB0B09">
              <w:rPr>
                <w:rStyle w:val="Hyperlnk"/>
                <w:noProof/>
              </w:rPr>
              <w:t>4.</w:t>
            </w:r>
            <w:r w:rsidR="00DB0ABC">
              <w:rPr>
                <w:rFonts w:asciiTheme="minorHAnsi" w:eastAsiaTheme="minorEastAsia" w:hAnsiTheme="minorHAnsi" w:cstheme="minorBidi"/>
                <w:noProof/>
                <w:lang w:eastAsia="sv-SE"/>
              </w:rPr>
              <w:tab/>
            </w:r>
            <w:r w:rsidR="00DB0ABC" w:rsidRPr="00DB0B09">
              <w:rPr>
                <w:rStyle w:val="Hyperlnk"/>
                <w:noProof/>
              </w:rPr>
              <w:t>Draft Joint Declaration on a Mobility Partnership between the Republic of Belarus and the European Union and its participating Member States</w:t>
            </w:r>
            <w:r w:rsidR="00DB0ABC">
              <w:rPr>
                <w:noProof/>
                <w:webHidden/>
              </w:rPr>
              <w:tab/>
            </w:r>
            <w:r w:rsidR="00DB0ABC">
              <w:rPr>
                <w:noProof/>
                <w:webHidden/>
              </w:rPr>
              <w:fldChar w:fldCharType="begin"/>
            </w:r>
            <w:r w:rsidR="00DB0ABC">
              <w:rPr>
                <w:noProof/>
                <w:webHidden/>
              </w:rPr>
              <w:instrText xml:space="preserve"> PAGEREF _Toc412112767 \h </w:instrText>
            </w:r>
            <w:r w:rsidR="00DB0ABC">
              <w:rPr>
                <w:noProof/>
                <w:webHidden/>
              </w:rPr>
            </w:r>
            <w:r w:rsidR="00DB0ABC">
              <w:rPr>
                <w:noProof/>
                <w:webHidden/>
              </w:rPr>
              <w:fldChar w:fldCharType="separate"/>
            </w:r>
            <w:r w:rsidR="00DB0ABC">
              <w:rPr>
                <w:noProof/>
                <w:webHidden/>
              </w:rPr>
              <w:t>4</w:t>
            </w:r>
            <w:r w:rsidR="00DB0ABC">
              <w:rPr>
                <w:noProof/>
                <w:webHidden/>
              </w:rPr>
              <w:fldChar w:fldCharType="end"/>
            </w:r>
          </w:hyperlink>
        </w:p>
        <w:p w14:paraId="26A73BC2" w14:textId="77777777" w:rsidR="00DB0ABC" w:rsidRDefault="00E335DF">
          <w:pPr>
            <w:pStyle w:val="Innehll1"/>
            <w:tabs>
              <w:tab w:val="left" w:pos="440"/>
              <w:tab w:val="right" w:leader="dot" w:pos="9062"/>
            </w:tabs>
            <w:rPr>
              <w:rFonts w:asciiTheme="minorHAnsi" w:eastAsiaTheme="minorEastAsia" w:hAnsiTheme="minorHAnsi" w:cstheme="minorBidi"/>
              <w:noProof/>
              <w:lang w:eastAsia="sv-SE"/>
            </w:rPr>
          </w:pPr>
          <w:hyperlink w:anchor="_Toc412112768" w:history="1">
            <w:r w:rsidR="00DB0ABC" w:rsidRPr="00DB0B09">
              <w:rPr>
                <w:rStyle w:val="Hyperlnk"/>
                <w:noProof/>
              </w:rPr>
              <w:t>5.</w:t>
            </w:r>
            <w:r w:rsidR="00DB0ABC">
              <w:rPr>
                <w:rFonts w:asciiTheme="minorHAnsi" w:eastAsiaTheme="minorEastAsia" w:hAnsiTheme="minorHAnsi" w:cstheme="minorBidi"/>
                <w:noProof/>
                <w:lang w:eastAsia="sv-SE"/>
              </w:rPr>
              <w:tab/>
            </w:r>
            <w:r w:rsidR="00DB0ABC" w:rsidRPr="00DB0B09">
              <w:rPr>
                <w:rStyle w:val="Hyperlnk"/>
                <w:noProof/>
              </w:rPr>
              <w:t>European Union Statement on the occasion of the Special segment on the preparations for the UNGA Special Session on the World Drug Problem to be held in Vienna on 9-12 March 2015, 58th CND session</w:t>
            </w:r>
            <w:r w:rsidR="00DB0ABC">
              <w:rPr>
                <w:noProof/>
                <w:webHidden/>
              </w:rPr>
              <w:tab/>
            </w:r>
            <w:r w:rsidR="00DB0ABC">
              <w:rPr>
                <w:noProof/>
                <w:webHidden/>
              </w:rPr>
              <w:fldChar w:fldCharType="begin"/>
            </w:r>
            <w:r w:rsidR="00DB0ABC">
              <w:rPr>
                <w:noProof/>
                <w:webHidden/>
              </w:rPr>
              <w:instrText xml:space="preserve"> PAGEREF _Toc412112768 \h </w:instrText>
            </w:r>
            <w:r w:rsidR="00DB0ABC">
              <w:rPr>
                <w:noProof/>
                <w:webHidden/>
              </w:rPr>
            </w:r>
            <w:r w:rsidR="00DB0ABC">
              <w:rPr>
                <w:noProof/>
                <w:webHidden/>
              </w:rPr>
              <w:fldChar w:fldCharType="separate"/>
            </w:r>
            <w:r w:rsidR="00DB0ABC">
              <w:rPr>
                <w:noProof/>
                <w:webHidden/>
              </w:rPr>
              <w:t>5</w:t>
            </w:r>
            <w:r w:rsidR="00DB0ABC">
              <w:rPr>
                <w:noProof/>
                <w:webHidden/>
              </w:rPr>
              <w:fldChar w:fldCharType="end"/>
            </w:r>
          </w:hyperlink>
        </w:p>
        <w:p w14:paraId="78AC5B03" w14:textId="77777777" w:rsidR="00DB0ABC" w:rsidRDefault="00E335DF">
          <w:pPr>
            <w:pStyle w:val="Innehll1"/>
            <w:tabs>
              <w:tab w:val="left" w:pos="440"/>
              <w:tab w:val="right" w:leader="dot" w:pos="9062"/>
            </w:tabs>
            <w:rPr>
              <w:rFonts w:asciiTheme="minorHAnsi" w:eastAsiaTheme="minorEastAsia" w:hAnsiTheme="minorHAnsi" w:cstheme="minorBidi"/>
              <w:noProof/>
              <w:lang w:eastAsia="sv-SE"/>
            </w:rPr>
          </w:pPr>
          <w:hyperlink w:anchor="_Toc412112769" w:history="1">
            <w:r w:rsidR="00DB0ABC" w:rsidRPr="00DB0B09">
              <w:rPr>
                <w:rStyle w:val="Hyperlnk"/>
                <w:noProof/>
              </w:rPr>
              <w:t>6.</w:t>
            </w:r>
            <w:r w:rsidR="00DB0ABC">
              <w:rPr>
                <w:rFonts w:asciiTheme="minorHAnsi" w:eastAsiaTheme="minorEastAsia" w:hAnsiTheme="minorHAnsi" w:cstheme="minorBidi"/>
                <w:noProof/>
                <w:lang w:eastAsia="sv-SE"/>
              </w:rPr>
              <w:tab/>
            </w:r>
            <w:r w:rsidR="00DB0ABC" w:rsidRPr="00DB0B09">
              <w:rPr>
                <w:rStyle w:val="Hyperlnk"/>
                <w:noProof/>
              </w:rPr>
              <w:t>Proposal for a Regulation of the European Parliament and of the Council on common rules for imports of textile products from certain third countries not covered by bilateral agreements, protocols or other arrangements, or by other specific Union import rules (recast) (First reading)</w:t>
            </w:r>
            <w:r w:rsidR="00DB0ABC">
              <w:rPr>
                <w:noProof/>
                <w:webHidden/>
              </w:rPr>
              <w:tab/>
            </w:r>
            <w:r w:rsidR="00DB0ABC">
              <w:rPr>
                <w:noProof/>
                <w:webHidden/>
              </w:rPr>
              <w:fldChar w:fldCharType="begin"/>
            </w:r>
            <w:r w:rsidR="00DB0ABC">
              <w:rPr>
                <w:noProof/>
                <w:webHidden/>
              </w:rPr>
              <w:instrText xml:space="preserve"> PAGEREF _Toc412112769 \h </w:instrText>
            </w:r>
            <w:r w:rsidR="00DB0ABC">
              <w:rPr>
                <w:noProof/>
                <w:webHidden/>
              </w:rPr>
            </w:r>
            <w:r w:rsidR="00DB0ABC">
              <w:rPr>
                <w:noProof/>
                <w:webHidden/>
              </w:rPr>
              <w:fldChar w:fldCharType="separate"/>
            </w:r>
            <w:r w:rsidR="00DB0ABC">
              <w:rPr>
                <w:noProof/>
                <w:webHidden/>
              </w:rPr>
              <w:t>5</w:t>
            </w:r>
            <w:r w:rsidR="00DB0ABC">
              <w:rPr>
                <w:noProof/>
                <w:webHidden/>
              </w:rPr>
              <w:fldChar w:fldCharType="end"/>
            </w:r>
          </w:hyperlink>
        </w:p>
        <w:p w14:paraId="072C849E" w14:textId="77777777" w:rsidR="00DB0ABC" w:rsidRDefault="00E335DF">
          <w:pPr>
            <w:pStyle w:val="Innehll1"/>
            <w:tabs>
              <w:tab w:val="left" w:pos="440"/>
              <w:tab w:val="right" w:leader="dot" w:pos="9062"/>
            </w:tabs>
            <w:rPr>
              <w:rFonts w:asciiTheme="minorHAnsi" w:eastAsiaTheme="minorEastAsia" w:hAnsiTheme="minorHAnsi" w:cstheme="minorBidi"/>
              <w:noProof/>
              <w:lang w:eastAsia="sv-SE"/>
            </w:rPr>
          </w:pPr>
          <w:hyperlink w:anchor="_Toc412112770" w:history="1">
            <w:r w:rsidR="00DB0ABC" w:rsidRPr="00DB0B09">
              <w:rPr>
                <w:rStyle w:val="Hyperlnk"/>
                <w:noProof/>
              </w:rPr>
              <w:t>7.</w:t>
            </w:r>
            <w:r w:rsidR="00DB0ABC">
              <w:rPr>
                <w:rFonts w:asciiTheme="minorHAnsi" w:eastAsiaTheme="minorEastAsia" w:hAnsiTheme="minorHAnsi" w:cstheme="minorBidi"/>
                <w:noProof/>
                <w:lang w:eastAsia="sv-SE"/>
              </w:rPr>
              <w:tab/>
            </w:r>
            <w:r w:rsidR="00DB0ABC" w:rsidRPr="00DB0B09">
              <w:rPr>
                <w:rStyle w:val="Hyperlnk"/>
                <w:noProof/>
              </w:rPr>
              <w:t>Proposal for a Council Decision establishing the position to be taken by the European Union within the General Council of the World Trade Organization on the United States' request for a WTO waiver to extend and expand the scope of the US Caribbean Basin Economic Recovery Act (CBERA)</w:t>
            </w:r>
            <w:r w:rsidR="00DB0ABC">
              <w:rPr>
                <w:noProof/>
                <w:webHidden/>
              </w:rPr>
              <w:tab/>
            </w:r>
            <w:r w:rsidR="00DB0ABC">
              <w:rPr>
                <w:noProof/>
                <w:webHidden/>
              </w:rPr>
              <w:fldChar w:fldCharType="begin"/>
            </w:r>
            <w:r w:rsidR="00DB0ABC">
              <w:rPr>
                <w:noProof/>
                <w:webHidden/>
              </w:rPr>
              <w:instrText xml:space="preserve"> PAGEREF _Toc412112770 \h </w:instrText>
            </w:r>
            <w:r w:rsidR="00DB0ABC">
              <w:rPr>
                <w:noProof/>
                <w:webHidden/>
              </w:rPr>
            </w:r>
            <w:r w:rsidR="00DB0ABC">
              <w:rPr>
                <w:noProof/>
                <w:webHidden/>
              </w:rPr>
              <w:fldChar w:fldCharType="separate"/>
            </w:r>
            <w:r w:rsidR="00DB0ABC">
              <w:rPr>
                <w:noProof/>
                <w:webHidden/>
              </w:rPr>
              <w:t>6</w:t>
            </w:r>
            <w:r w:rsidR="00DB0ABC">
              <w:rPr>
                <w:noProof/>
                <w:webHidden/>
              </w:rPr>
              <w:fldChar w:fldCharType="end"/>
            </w:r>
          </w:hyperlink>
        </w:p>
        <w:p w14:paraId="51E864E8" w14:textId="77777777" w:rsidR="00DB0ABC" w:rsidRDefault="00E335DF">
          <w:pPr>
            <w:pStyle w:val="Innehll1"/>
            <w:tabs>
              <w:tab w:val="left" w:pos="440"/>
              <w:tab w:val="right" w:leader="dot" w:pos="9062"/>
            </w:tabs>
            <w:rPr>
              <w:rFonts w:asciiTheme="minorHAnsi" w:eastAsiaTheme="minorEastAsia" w:hAnsiTheme="minorHAnsi" w:cstheme="minorBidi"/>
              <w:noProof/>
              <w:lang w:eastAsia="sv-SE"/>
            </w:rPr>
          </w:pPr>
          <w:hyperlink w:anchor="_Toc412112771" w:history="1">
            <w:r w:rsidR="00DB0ABC" w:rsidRPr="00DB0B09">
              <w:rPr>
                <w:rStyle w:val="Hyperlnk"/>
                <w:noProof/>
              </w:rPr>
              <w:t>8.</w:t>
            </w:r>
            <w:r w:rsidR="00DB0ABC">
              <w:rPr>
                <w:rFonts w:asciiTheme="minorHAnsi" w:eastAsiaTheme="minorEastAsia" w:hAnsiTheme="minorHAnsi" w:cstheme="minorBidi"/>
                <w:noProof/>
                <w:lang w:eastAsia="sv-SE"/>
              </w:rPr>
              <w:tab/>
            </w:r>
            <w:r w:rsidR="00DB0ABC" w:rsidRPr="00DB0B09">
              <w:rPr>
                <w:rStyle w:val="Hyperlnk"/>
                <w:noProof/>
              </w:rPr>
              <w:t>Draft Council Decision adopting the Rules of Procedure of the Investment Facility Committee set up under the auspices of the European Investment Facility</w:t>
            </w:r>
            <w:r w:rsidR="00DB0ABC">
              <w:rPr>
                <w:noProof/>
                <w:webHidden/>
              </w:rPr>
              <w:tab/>
            </w:r>
            <w:r w:rsidR="00DB0ABC">
              <w:rPr>
                <w:noProof/>
                <w:webHidden/>
              </w:rPr>
              <w:fldChar w:fldCharType="begin"/>
            </w:r>
            <w:r w:rsidR="00DB0ABC">
              <w:rPr>
                <w:noProof/>
                <w:webHidden/>
              </w:rPr>
              <w:instrText xml:space="preserve"> PAGEREF _Toc412112771 \h </w:instrText>
            </w:r>
            <w:r w:rsidR="00DB0ABC">
              <w:rPr>
                <w:noProof/>
                <w:webHidden/>
              </w:rPr>
            </w:r>
            <w:r w:rsidR="00DB0ABC">
              <w:rPr>
                <w:noProof/>
                <w:webHidden/>
              </w:rPr>
              <w:fldChar w:fldCharType="separate"/>
            </w:r>
            <w:r w:rsidR="00DB0ABC">
              <w:rPr>
                <w:noProof/>
                <w:webHidden/>
              </w:rPr>
              <w:t>7</w:t>
            </w:r>
            <w:r w:rsidR="00DB0ABC">
              <w:rPr>
                <w:noProof/>
                <w:webHidden/>
              </w:rPr>
              <w:fldChar w:fldCharType="end"/>
            </w:r>
          </w:hyperlink>
        </w:p>
        <w:p w14:paraId="5B740B5F" w14:textId="77777777" w:rsidR="00DB0ABC" w:rsidRDefault="00E335DF">
          <w:pPr>
            <w:pStyle w:val="Innehll1"/>
            <w:tabs>
              <w:tab w:val="left" w:pos="440"/>
              <w:tab w:val="right" w:leader="dot" w:pos="9062"/>
            </w:tabs>
            <w:rPr>
              <w:rFonts w:asciiTheme="minorHAnsi" w:eastAsiaTheme="minorEastAsia" w:hAnsiTheme="minorHAnsi" w:cstheme="minorBidi"/>
              <w:noProof/>
              <w:lang w:eastAsia="sv-SE"/>
            </w:rPr>
          </w:pPr>
          <w:hyperlink w:anchor="_Toc412112772" w:history="1">
            <w:r w:rsidR="00DB0ABC" w:rsidRPr="00DB0B09">
              <w:rPr>
                <w:rStyle w:val="Hyperlnk"/>
                <w:noProof/>
              </w:rPr>
              <w:t>9.</w:t>
            </w:r>
            <w:r w:rsidR="00DB0ABC">
              <w:rPr>
                <w:rFonts w:asciiTheme="minorHAnsi" w:eastAsiaTheme="minorEastAsia" w:hAnsiTheme="minorHAnsi" w:cstheme="minorBidi"/>
                <w:noProof/>
                <w:lang w:eastAsia="sv-SE"/>
              </w:rPr>
              <w:tab/>
            </w:r>
            <w:r w:rsidR="00DB0ABC" w:rsidRPr="00DB0B09">
              <w:rPr>
                <w:rStyle w:val="Hyperlnk"/>
                <w:noProof/>
              </w:rPr>
              <w:t>Council Implementing Decision implementing Decision 2013/798/CFSP concerning restrictive measures against the Central African Republic  =Council Implementing Regulation implementing Article 17(3) of Regulation (EU) No 224/2014 concerning restrictive measures in view of the situation in the Central African Republic</w:t>
            </w:r>
            <w:r w:rsidR="00DB0ABC">
              <w:rPr>
                <w:noProof/>
                <w:webHidden/>
              </w:rPr>
              <w:tab/>
            </w:r>
            <w:r w:rsidR="00DB0ABC">
              <w:rPr>
                <w:noProof/>
                <w:webHidden/>
              </w:rPr>
              <w:fldChar w:fldCharType="begin"/>
            </w:r>
            <w:r w:rsidR="00DB0ABC">
              <w:rPr>
                <w:noProof/>
                <w:webHidden/>
              </w:rPr>
              <w:instrText xml:space="preserve"> PAGEREF _Toc412112772 \h </w:instrText>
            </w:r>
            <w:r w:rsidR="00DB0ABC">
              <w:rPr>
                <w:noProof/>
                <w:webHidden/>
              </w:rPr>
            </w:r>
            <w:r w:rsidR="00DB0ABC">
              <w:rPr>
                <w:noProof/>
                <w:webHidden/>
              </w:rPr>
              <w:fldChar w:fldCharType="separate"/>
            </w:r>
            <w:r w:rsidR="00DB0ABC">
              <w:rPr>
                <w:noProof/>
                <w:webHidden/>
              </w:rPr>
              <w:t>7</w:t>
            </w:r>
            <w:r w:rsidR="00DB0ABC">
              <w:rPr>
                <w:noProof/>
                <w:webHidden/>
              </w:rPr>
              <w:fldChar w:fldCharType="end"/>
            </w:r>
          </w:hyperlink>
        </w:p>
        <w:p w14:paraId="0DE5155B" w14:textId="77777777" w:rsidR="00DB0ABC" w:rsidRDefault="00E335DF">
          <w:pPr>
            <w:pStyle w:val="Innehll1"/>
            <w:tabs>
              <w:tab w:val="left" w:pos="660"/>
              <w:tab w:val="right" w:leader="dot" w:pos="9062"/>
            </w:tabs>
            <w:rPr>
              <w:rFonts w:asciiTheme="minorHAnsi" w:eastAsiaTheme="minorEastAsia" w:hAnsiTheme="minorHAnsi" w:cstheme="minorBidi"/>
              <w:noProof/>
              <w:lang w:eastAsia="sv-SE"/>
            </w:rPr>
          </w:pPr>
          <w:hyperlink w:anchor="_Toc412112773" w:history="1">
            <w:r w:rsidR="00DB0ABC" w:rsidRPr="00DB0B09">
              <w:rPr>
                <w:rStyle w:val="Hyperlnk"/>
                <w:noProof/>
              </w:rPr>
              <w:t>10.</w:t>
            </w:r>
            <w:r w:rsidR="00DB0ABC">
              <w:rPr>
                <w:rFonts w:asciiTheme="minorHAnsi" w:eastAsiaTheme="minorEastAsia" w:hAnsiTheme="minorHAnsi" w:cstheme="minorBidi"/>
                <w:noProof/>
                <w:lang w:eastAsia="sv-SE"/>
              </w:rPr>
              <w:tab/>
            </w:r>
            <w:r w:rsidR="00DB0ABC" w:rsidRPr="00DB0B09">
              <w:rPr>
                <w:rStyle w:val="Hyperlnk"/>
                <w:noProof/>
              </w:rPr>
              <w:t>Council Implementing Decision implementing Decision 2010/231/CFSP concerning restrictive measures against Somalia =Council Implementing Regulation implementing Article 13 of Regulation (EU) No 356/2010 imposing certain specific restrictive measures directed against certain natural or legal persons, entities or bodies, in view of the situation in Somalia</w:t>
            </w:r>
            <w:r w:rsidR="00DB0ABC">
              <w:rPr>
                <w:noProof/>
                <w:webHidden/>
              </w:rPr>
              <w:tab/>
            </w:r>
            <w:r w:rsidR="00DB0ABC">
              <w:rPr>
                <w:noProof/>
                <w:webHidden/>
              </w:rPr>
              <w:fldChar w:fldCharType="begin"/>
            </w:r>
            <w:r w:rsidR="00DB0ABC">
              <w:rPr>
                <w:noProof/>
                <w:webHidden/>
              </w:rPr>
              <w:instrText xml:space="preserve"> PAGEREF _Toc412112773 \h </w:instrText>
            </w:r>
            <w:r w:rsidR="00DB0ABC">
              <w:rPr>
                <w:noProof/>
                <w:webHidden/>
              </w:rPr>
            </w:r>
            <w:r w:rsidR="00DB0ABC">
              <w:rPr>
                <w:noProof/>
                <w:webHidden/>
              </w:rPr>
              <w:fldChar w:fldCharType="separate"/>
            </w:r>
            <w:r w:rsidR="00DB0ABC">
              <w:rPr>
                <w:noProof/>
                <w:webHidden/>
              </w:rPr>
              <w:t>8</w:t>
            </w:r>
            <w:r w:rsidR="00DB0ABC">
              <w:rPr>
                <w:noProof/>
                <w:webHidden/>
              </w:rPr>
              <w:fldChar w:fldCharType="end"/>
            </w:r>
          </w:hyperlink>
        </w:p>
        <w:p w14:paraId="2870EF5E" w14:textId="77777777" w:rsidR="00DB0ABC" w:rsidRDefault="00E335DF">
          <w:pPr>
            <w:pStyle w:val="Innehll1"/>
            <w:tabs>
              <w:tab w:val="left" w:pos="660"/>
              <w:tab w:val="right" w:leader="dot" w:pos="9062"/>
            </w:tabs>
            <w:rPr>
              <w:rFonts w:asciiTheme="minorHAnsi" w:eastAsiaTheme="minorEastAsia" w:hAnsiTheme="minorHAnsi" w:cstheme="minorBidi"/>
              <w:noProof/>
              <w:lang w:eastAsia="sv-SE"/>
            </w:rPr>
          </w:pPr>
          <w:hyperlink w:anchor="_Toc412112774" w:history="1">
            <w:r w:rsidR="00DB0ABC" w:rsidRPr="00DB0B09">
              <w:rPr>
                <w:rStyle w:val="Hyperlnk"/>
                <w:noProof/>
              </w:rPr>
              <w:t>11.</w:t>
            </w:r>
            <w:r w:rsidR="00DB0ABC">
              <w:rPr>
                <w:rFonts w:asciiTheme="minorHAnsi" w:eastAsiaTheme="minorEastAsia" w:hAnsiTheme="minorHAnsi" w:cstheme="minorBidi"/>
                <w:noProof/>
                <w:lang w:eastAsia="sv-SE"/>
              </w:rPr>
              <w:tab/>
            </w:r>
            <w:r w:rsidR="00DB0ABC" w:rsidRPr="00DB0B09">
              <w:rPr>
                <w:rStyle w:val="Hyperlnk"/>
                <w:noProof/>
              </w:rPr>
              <w:t>Council Decision amending and extending Decision 2010/96/CFSP on a European Union military mission to contribute to the training of Somali security forces (EUTM Somalia)</w:t>
            </w:r>
            <w:r w:rsidR="00DB0ABC">
              <w:rPr>
                <w:noProof/>
                <w:webHidden/>
              </w:rPr>
              <w:tab/>
            </w:r>
            <w:r w:rsidR="00DB0ABC">
              <w:rPr>
                <w:noProof/>
                <w:webHidden/>
              </w:rPr>
              <w:fldChar w:fldCharType="begin"/>
            </w:r>
            <w:r w:rsidR="00DB0ABC">
              <w:rPr>
                <w:noProof/>
                <w:webHidden/>
              </w:rPr>
              <w:instrText xml:space="preserve"> PAGEREF _Toc412112774 \h </w:instrText>
            </w:r>
            <w:r w:rsidR="00DB0ABC">
              <w:rPr>
                <w:noProof/>
                <w:webHidden/>
              </w:rPr>
            </w:r>
            <w:r w:rsidR="00DB0ABC">
              <w:rPr>
                <w:noProof/>
                <w:webHidden/>
              </w:rPr>
              <w:fldChar w:fldCharType="separate"/>
            </w:r>
            <w:r w:rsidR="00DB0ABC">
              <w:rPr>
                <w:noProof/>
                <w:webHidden/>
              </w:rPr>
              <w:t>9</w:t>
            </w:r>
            <w:r w:rsidR="00DB0ABC">
              <w:rPr>
                <w:noProof/>
                <w:webHidden/>
              </w:rPr>
              <w:fldChar w:fldCharType="end"/>
            </w:r>
          </w:hyperlink>
        </w:p>
        <w:p w14:paraId="0F9BC28B" w14:textId="77777777" w:rsidR="00DB0ABC" w:rsidRDefault="00E335DF">
          <w:pPr>
            <w:pStyle w:val="Innehll1"/>
            <w:tabs>
              <w:tab w:val="left" w:pos="660"/>
              <w:tab w:val="right" w:leader="dot" w:pos="9062"/>
            </w:tabs>
            <w:rPr>
              <w:rFonts w:asciiTheme="minorHAnsi" w:eastAsiaTheme="minorEastAsia" w:hAnsiTheme="minorHAnsi" w:cstheme="minorBidi"/>
              <w:noProof/>
              <w:lang w:eastAsia="sv-SE"/>
            </w:rPr>
          </w:pPr>
          <w:hyperlink w:anchor="_Toc412112775" w:history="1">
            <w:r w:rsidR="00DB0ABC" w:rsidRPr="00DB0B09">
              <w:rPr>
                <w:rStyle w:val="Hyperlnk"/>
                <w:noProof/>
              </w:rPr>
              <w:t>12.</w:t>
            </w:r>
            <w:r w:rsidR="00DB0ABC">
              <w:rPr>
                <w:rFonts w:asciiTheme="minorHAnsi" w:eastAsiaTheme="minorEastAsia" w:hAnsiTheme="minorHAnsi" w:cstheme="minorBidi"/>
                <w:noProof/>
                <w:lang w:eastAsia="sv-SE"/>
              </w:rPr>
              <w:tab/>
            </w:r>
            <w:r w:rsidR="00DB0ABC" w:rsidRPr="00DB0B09">
              <w:rPr>
                <w:rStyle w:val="Hyperlnk"/>
                <w:noProof/>
              </w:rPr>
              <w:t>Council Decision concerning the temporary reception by Member States of the European Union of certain Palestinians</w:t>
            </w:r>
            <w:r w:rsidR="00DB0ABC">
              <w:rPr>
                <w:noProof/>
                <w:webHidden/>
              </w:rPr>
              <w:tab/>
            </w:r>
            <w:r w:rsidR="00DB0ABC">
              <w:rPr>
                <w:noProof/>
                <w:webHidden/>
              </w:rPr>
              <w:fldChar w:fldCharType="begin"/>
            </w:r>
            <w:r w:rsidR="00DB0ABC">
              <w:rPr>
                <w:noProof/>
                <w:webHidden/>
              </w:rPr>
              <w:instrText xml:space="preserve"> PAGEREF _Toc412112775 \h </w:instrText>
            </w:r>
            <w:r w:rsidR="00DB0ABC">
              <w:rPr>
                <w:noProof/>
                <w:webHidden/>
              </w:rPr>
            </w:r>
            <w:r w:rsidR="00DB0ABC">
              <w:rPr>
                <w:noProof/>
                <w:webHidden/>
              </w:rPr>
              <w:fldChar w:fldCharType="separate"/>
            </w:r>
            <w:r w:rsidR="00DB0ABC">
              <w:rPr>
                <w:noProof/>
                <w:webHidden/>
              </w:rPr>
              <w:t>10</w:t>
            </w:r>
            <w:r w:rsidR="00DB0ABC">
              <w:rPr>
                <w:noProof/>
                <w:webHidden/>
              </w:rPr>
              <w:fldChar w:fldCharType="end"/>
            </w:r>
          </w:hyperlink>
        </w:p>
        <w:p w14:paraId="6582F65B" w14:textId="77777777" w:rsidR="00DB0ABC" w:rsidRDefault="00E335DF">
          <w:pPr>
            <w:pStyle w:val="Innehll1"/>
            <w:tabs>
              <w:tab w:val="left" w:pos="660"/>
              <w:tab w:val="right" w:leader="dot" w:pos="9062"/>
            </w:tabs>
            <w:rPr>
              <w:rFonts w:asciiTheme="minorHAnsi" w:eastAsiaTheme="minorEastAsia" w:hAnsiTheme="minorHAnsi" w:cstheme="minorBidi"/>
              <w:noProof/>
              <w:lang w:eastAsia="sv-SE"/>
            </w:rPr>
          </w:pPr>
          <w:hyperlink w:anchor="_Toc412112776" w:history="1">
            <w:r w:rsidR="00DB0ABC" w:rsidRPr="00DB0B09">
              <w:rPr>
                <w:rStyle w:val="Hyperlnk"/>
                <w:noProof/>
              </w:rPr>
              <w:t>13.</w:t>
            </w:r>
            <w:r w:rsidR="00DB0ABC">
              <w:rPr>
                <w:rFonts w:asciiTheme="minorHAnsi" w:eastAsiaTheme="minorEastAsia" w:hAnsiTheme="minorHAnsi" w:cstheme="minorBidi"/>
                <w:noProof/>
                <w:lang w:eastAsia="sv-SE"/>
              </w:rPr>
              <w:tab/>
            </w:r>
            <w:r w:rsidR="00DB0ABC" w:rsidRPr="00DB0B09">
              <w:rPr>
                <w:rStyle w:val="Hyperlnk"/>
                <w:noProof/>
              </w:rPr>
              <w:t>Council Decision extending the mandate of the European Union Special Representative for the South Caucasus and the crisis in Georgia</w:t>
            </w:r>
            <w:r w:rsidR="00DB0ABC">
              <w:rPr>
                <w:noProof/>
                <w:webHidden/>
              </w:rPr>
              <w:tab/>
            </w:r>
            <w:r w:rsidR="00DB0ABC">
              <w:rPr>
                <w:noProof/>
                <w:webHidden/>
              </w:rPr>
              <w:fldChar w:fldCharType="begin"/>
            </w:r>
            <w:r w:rsidR="00DB0ABC">
              <w:rPr>
                <w:noProof/>
                <w:webHidden/>
              </w:rPr>
              <w:instrText xml:space="preserve"> PAGEREF _Toc412112776 \h </w:instrText>
            </w:r>
            <w:r w:rsidR="00DB0ABC">
              <w:rPr>
                <w:noProof/>
                <w:webHidden/>
              </w:rPr>
            </w:r>
            <w:r w:rsidR="00DB0ABC">
              <w:rPr>
                <w:noProof/>
                <w:webHidden/>
              </w:rPr>
              <w:fldChar w:fldCharType="separate"/>
            </w:r>
            <w:r w:rsidR="00DB0ABC">
              <w:rPr>
                <w:noProof/>
                <w:webHidden/>
              </w:rPr>
              <w:t>10</w:t>
            </w:r>
            <w:r w:rsidR="00DB0ABC">
              <w:rPr>
                <w:noProof/>
                <w:webHidden/>
              </w:rPr>
              <w:fldChar w:fldCharType="end"/>
            </w:r>
          </w:hyperlink>
        </w:p>
        <w:p w14:paraId="371DAE5D" w14:textId="77777777" w:rsidR="00D957FB" w:rsidRDefault="00C46320">
          <w:r>
            <w:rPr>
              <w:b/>
              <w:bCs/>
              <w:noProof/>
            </w:rPr>
            <w:fldChar w:fldCharType="end"/>
          </w:r>
        </w:p>
      </w:sdtContent>
    </w:sdt>
    <w:p w14:paraId="371DAE5E" w14:textId="77777777" w:rsidR="00D957FB" w:rsidRDefault="00C46320">
      <w:pPr>
        <w:ind w:left="0"/>
      </w:pPr>
      <w:r>
        <w:br w:type="page"/>
      </w:r>
    </w:p>
    <w:p w14:paraId="371DAE60" w14:textId="77777777" w:rsidR="00643D86" w:rsidRDefault="00C46320" w:rsidP="00643D86">
      <w:pPr>
        <w:pStyle w:val="Rubrik1"/>
      </w:pPr>
      <w:bookmarkStart w:id="1" w:name="_Toc412112764"/>
      <w:bookmarkStart w:id="2" w:name="_Toc364854645"/>
      <w:r>
        <w:rPr>
          <w:noProof/>
        </w:rPr>
        <w:lastRenderedPageBreak/>
        <w:t>Case before the Court of Justice</w:t>
      </w:r>
      <w:r>
        <w:rPr>
          <w:noProof/>
        </w:rPr>
        <w:br/>
        <w:t>Case C-14/15 (European Parliament v Council of the European Union)</w:t>
      </w:r>
      <w:bookmarkEnd w:id="1"/>
    </w:p>
    <w:p w14:paraId="371DAE61" w14:textId="77777777" w:rsidR="00643D86" w:rsidRDefault="00C46320" w:rsidP="00643D86">
      <w:pPr>
        <w:rPr>
          <w:lang w:val="en-US"/>
        </w:rPr>
      </w:pPr>
      <w:r>
        <w:rPr>
          <w:noProof/>
          <w:lang w:val="en-US"/>
        </w:rPr>
        <w:t>–</w:t>
      </w:r>
      <w:r>
        <w:rPr>
          <w:lang w:val="en-US"/>
        </w:rPr>
        <w:t>Action for annulment of Council Decisions 2014/731/EU, 2014/743/EU and 2014/744/EU on the launch of automated data exchange with regard to Vehicle Registration Data (VRD) in Malta, Cyprus and Estonia respectively (</w:t>
      </w:r>
      <w:proofErr w:type="spellStart"/>
      <w:r>
        <w:rPr>
          <w:lang w:val="en-US"/>
        </w:rPr>
        <w:t>Prüm</w:t>
      </w:r>
      <w:proofErr w:type="spellEnd"/>
      <w:proofErr w:type="gramStart"/>
      <w:r>
        <w:rPr>
          <w:lang w:val="en-US"/>
        </w:rPr>
        <w:t>)6050</w:t>
      </w:r>
      <w:proofErr w:type="gramEnd"/>
      <w:r>
        <w:rPr>
          <w:lang w:val="en-US"/>
        </w:rPr>
        <w:t>/15 JUR 103 JAI 77 DAPIX 22 CRIMORG 20 ENFOPOL 37ENFOCUSTOM 11</w:t>
      </w:r>
      <w:r>
        <w:rPr>
          <w:lang w:val="en-US"/>
        </w:rPr>
        <w:br/>
      </w:r>
      <w:r>
        <w:rPr>
          <w:noProof/>
          <w:lang w:val="en-US"/>
        </w:rPr>
        <w:t>6050</w:t>
      </w:r>
      <w:r>
        <w:rPr>
          <w:lang w:val="en-US"/>
        </w:rPr>
        <w:t>/15 JUR 103 JAI 77 DAPIX 22 CRIMORG 20 ENFOPOL 37ENFOCUSTOM 11</w:t>
      </w:r>
    </w:p>
    <w:p w14:paraId="371DAE62" w14:textId="77777777" w:rsidR="00643D86" w:rsidRDefault="00C46320" w:rsidP="00643D86">
      <w:r>
        <w:rPr>
          <w:b/>
        </w:rPr>
        <w:t>Ansvarigt statsråd</w:t>
      </w:r>
      <w:r>
        <w:rPr>
          <w:b/>
        </w:rPr>
        <w:br/>
      </w:r>
      <w:r>
        <w:rPr>
          <w:noProof/>
        </w:rPr>
        <w:t>Margot Wallström</w:t>
      </w:r>
    </w:p>
    <w:p w14:paraId="371DAE65" w14:textId="77777777" w:rsidR="00643D86" w:rsidRDefault="00C46320" w:rsidP="00643D86">
      <w:r w:rsidRPr="00B44CE2">
        <w:rPr>
          <w:b/>
        </w:rPr>
        <w:t>Annotering</w:t>
      </w:r>
      <w:r>
        <w:rPr>
          <w:b/>
        </w:rPr>
        <w:br/>
      </w:r>
      <w:r>
        <w:rPr>
          <w:b/>
          <w:bCs/>
        </w:rPr>
        <w:t>Avsikt med behandlingen i rådet: </w:t>
      </w:r>
      <w:r>
        <w:t xml:space="preserve">Information om ett mål vid EU-domstolen där rådet har utsett ombud.  </w:t>
      </w:r>
    </w:p>
    <w:p w14:paraId="371DAE66" w14:textId="77777777" w:rsidR="00E6448C" w:rsidRDefault="00C46320">
      <w:pPr>
        <w:spacing w:after="280" w:afterAutospacing="1"/>
      </w:pPr>
      <w:r>
        <w:rPr>
          <w:b/>
          <w:bCs/>
        </w:rPr>
        <w:t>Hur regeringen ställer sig till den blivande A-punkten:</w:t>
      </w:r>
      <w:r>
        <w:t xml:space="preserve"> Regeringen har ingen erinran mot denna informationspunkt. </w:t>
      </w:r>
    </w:p>
    <w:p w14:paraId="371DAE67" w14:textId="77777777" w:rsidR="00E6448C" w:rsidRDefault="00C46320">
      <w:pPr>
        <w:spacing w:after="280" w:afterAutospacing="1"/>
      </w:pPr>
      <w:r>
        <w:rPr>
          <w:b/>
          <w:bCs/>
        </w:rPr>
        <w:t xml:space="preserve">Bakgrund: </w:t>
      </w:r>
      <w:r>
        <w:t>Europaparlamentet har väckt en ogiltighetstalan mot rådets beslut 2014/731/EU, 2014/743/EU och 2014/744/EU om inledande av automatiskt utbyte av uppgifter ur fordonsregister i Malta, Cypern och Estland.</w:t>
      </w:r>
    </w:p>
    <w:p w14:paraId="371DAE69" w14:textId="77777777" w:rsidR="00643D86" w:rsidRDefault="00C46320" w:rsidP="00643D86">
      <w:pPr>
        <w:pStyle w:val="Rubrik1"/>
      </w:pPr>
      <w:bookmarkStart w:id="3" w:name="_Toc412112765"/>
      <w:r>
        <w:rPr>
          <w:noProof/>
        </w:rPr>
        <w:t>Case before the General Court T-755/14 Herbert Smith Freehills against Commission</w:t>
      </w:r>
      <w:bookmarkEnd w:id="3"/>
    </w:p>
    <w:p w14:paraId="371DAE6A" w14:textId="77777777" w:rsidR="00643D86" w:rsidRDefault="00C46320" w:rsidP="00643D86">
      <w:pPr>
        <w:rPr>
          <w:lang w:val="en-US"/>
        </w:rPr>
      </w:pPr>
      <w:r>
        <w:rPr>
          <w:noProof/>
          <w:lang w:val="en-US"/>
        </w:rPr>
        <w:t>6098</w:t>
      </w:r>
      <w:r>
        <w:rPr>
          <w:lang w:val="en-US"/>
        </w:rPr>
        <w:t>/15 JUR 105 INST 35 API 19 INFO 1 SAN 43</w:t>
      </w:r>
      <w:r>
        <w:rPr>
          <w:lang w:val="en-US"/>
        </w:rPr>
        <w:br/>
      </w:r>
      <w:r>
        <w:rPr>
          <w:noProof/>
          <w:lang w:val="en-US"/>
        </w:rPr>
        <w:t>6098</w:t>
      </w:r>
      <w:r>
        <w:rPr>
          <w:lang w:val="en-US"/>
        </w:rPr>
        <w:t>/15 JUR 105 INST 35 API 19 INFO 1 SAN 43</w:t>
      </w:r>
    </w:p>
    <w:p w14:paraId="371DAE6B" w14:textId="77777777" w:rsidR="00643D86" w:rsidRDefault="00C46320" w:rsidP="00643D86">
      <w:r>
        <w:rPr>
          <w:b/>
        </w:rPr>
        <w:t>Ansvarigt statsråd</w:t>
      </w:r>
      <w:r>
        <w:rPr>
          <w:b/>
        </w:rPr>
        <w:br/>
      </w:r>
      <w:r>
        <w:rPr>
          <w:noProof/>
        </w:rPr>
        <w:t>Margot Wallström</w:t>
      </w:r>
    </w:p>
    <w:p w14:paraId="371DAE6E" w14:textId="77777777" w:rsidR="00643D86" w:rsidRDefault="00C46320" w:rsidP="00643D86">
      <w:r w:rsidRPr="00B44CE2">
        <w:rPr>
          <w:b/>
        </w:rPr>
        <w:t>Annotering</w:t>
      </w:r>
      <w:r>
        <w:rPr>
          <w:b/>
        </w:rPr>
        <w:br/>
      </w:r>
      <w:r>
        <w:rPr>
          <w:b/>
          <w:bCs/>
        </w:rPr>
        <w:t>Avsikt med behandlingen i rådet:</w:t>
      </w:r>
      <w:r>
        <w:t xml:space="preserve"> Coreper föreslås rekommendera rådet att en interventionsansökan ges in i mål T-755/14 till stöd för kommissionens slutsatser.</w:t>
      </w:r>
      <w:r>
        <w:rPr>
          <w:b/>
          <w:bCs/>
        </w:rPr>
        <w:t> </w:t>
      </w:r>
      <w:r>
        <w:t xml:space="preserve">  </w:t>
      </w:r>
    </w:p>
    <w:p w14:paraId="371DAE6F" w14:textId="77777777" w:rsidR="00E6448C" w:rsidRDefault="00C46320">
      <w:pPr>
        <w:spacing w:after="280" w:afterAutospacing="1"/>
      </w:pPr>
      <w:r>
        <w:rPr>
          <w:b/>
          <w:bCs/>
        </w:rPr>
        <w:t>Hur regeringen ställer sig till den blivande A-punkten:</w:t>
      </w:r>
      <w:r>
        <w:t xml:space="preserve"> Regeringen har ingen erinran mot att rådet rekommenderas att godkänna interventionsansökan. </w:t>
      </w:r>
    </w:p>
    <w:p w14:paraId="3D4D2671" w14:textId="54F78F3E" w:rsidR="00185BF0" w:rsidRDefault="00C46320">
      <w:pPr>
        <w:spacing w:after="280" w:afterAutospacing="1"/>
        <w:rPr>
          <w:noProof/>
        </w:rPr>
      </w:pPr>
      <w:r>
        <w:rPr>
          <w:b/>
          <w:bCs/>
        </w:rPr>
        <w:t xml:space="preserve">Bakgrund: </w:t>
      </w:r>
      <w:r>
        <w:t xml:space="preserve">Herbert Smith </w:t>
      </w:r>
      <w:proofErr w:type="spellStart"/>
      <w:r>
        <w:t>Freehills</w:t>
      </w:r>
      <w:proofErr w:type="spellEnd"/>
      <w:r>
        <w:t xml:space="preserve"> LLP har väckt en ogiltighetstalan mot kommissionens beslut att vägra allmänheten tillgång till vissa e-postmeddelanden som sänts av anställda vid kommissionens rättstjänst under vissa trepartsförhandlingar. En del av dessa e-postmeddelanden utgör en del av en brevväxling med en anställd vid rådets juridiska avdelning och innehåller rättsuppfattningar. Begäran om ogiltigförklaring har nära koppling till ett parallellt mål där samma sökande har väckt talan mot rådet avseende rådets vägran att lämna ut de e-postmeddelanden som sänts från en anställd vid dess juridiska avdelning till kommissionens rättstjänst inom ramen för samma brevväxling till allmänheten (mål T-710/14, Herbert Smith </w:t>
      </w:r>
      <w:proofErr w:type="spellStart"/>
      <w:r>
        <w:t>Freehills</w:t>
      </w:r>
      <w:proofErr w:type="spellEnd"/>
      <w:r>
        <w:t xml:space="preserve"> LLP mot Europeiska unionens råd). De faktiska och rättsliga omständigheter som tas upp i de båda målen överlappar varandra till stor del. Kommissionen har beslutat att intervenera till stöd för rådets ståndpunkt i målet mot rådet och rådets juridiska avdelning rekommenderar rådet att intervenera i föreliggande mål och stödja kommissionens slutsatser.</w:t>
      </w:r>
    </w:p>
    <w:p w14:paraId="371DAE72" w14:textId="77777777" w:rsidR="00643D86" w:rsidRDefault="00C46320" w:rsidP="00643D86">
      <w:pPr>
        <w:pStyle w:val="Rubrik1"/>
      </w:pPr>
      <w:bookmarkStart w:id="4" w:name="_Toc412112766"/>
      <w:r>
        <w:rPr>
          <w:noProof/>
        </w:rPr>
        <w:lastRenderedPageBreak/>
        <w:t>Adoption of a Council Decision establishing the position to be taken on behalf of the European Union within the Joint Committee set up under the Agreement between the European Union and Ukraine on the facilitation of the issuance of visas, with regard to the adoption of Common Guidelines for the implementation of the Agreement</w:t>
      </w:r>
      <w:bookmarkEnd w:id="4"/>
    </w:p>
    <w:p w14:paraId="371DAE73" w14:textId="77777777" w:rsidR="00643D86" w:rsidRDefault="00C46320" w:rsidP="00643D86">
      <w:pPr>
        <w:rPr>
          <w:lang w:val="en-US"/>
        </w:rPr>
      </w:pPr>
      <w:r>
        <w:rPr>
          <w:noProof/>
          <w:lang w:val="en-US"/>
        </w:rPr>
        <w:t>16173</w:t>
      </w:r>
      <w:r>
        <w:rPr>
          <w:lang w:val="en-US"/>
        </w:rPr>
        <w:t>/14 VISA 314 COEST 44715902/14 VISA 303 COEST 434</w:t>
      </w:r>
      <w:r>
        <w:rPr>
          <w:lang w:val="en-US"/>
        </w:rPr>
        <w:br/>
      </w:r>
      <w:r>
        <w:rPr>
          <w:noProof/>
          <w:lang w:val="en-US"/>
        </w:rPr>
        <w:t>16173</w:t>
      </w:r>
      <w:r>
        <w:rPr>
          <w:lang w:val="en-US"/>
        </w:rPr>
        <w:t>/14 VISA 314 COEST 44715902/14 VISA 303 COEST 434</w:t>
      </w:r>
    </w:p>
    <w:p w14:paraId="371DAE74" w14:textId="77777777" w:rsidR="00643D86" w:rsidRDefault="00C46320" w:rsidP="00643D86">
      <w:r>
        <w:rPr>
          <w:b/>
        </w:rPr>
        <w:t>Ansvarigt statsråd</w:t>
      </w:r>
      <w:r>
        <w:rPr>
          <w:b/>
        </w:rPr>
        <w:br/>
      </w:r>
      <w:r>
        <w:rPr>
          <w:noProof/>
        </w:rPr>
        <w:t>Morgan Johansson</w:t>
      </w:r>
    </w:p>
    <w:p w14:paraId="371DAE79" w14:textId="0B3D8A9F" w:rsidR="00E6448C" w:rsidRPr="003A0C9A" w:rsidRDefault="00C46320" w:rsidP="003A0C9A">
      <w:r w:rsidRPr="00B44CE2">
        <w:rPr>
          <w:b/>
        </w:rPr>
        <w:t>Annotering</w:t>
      </w:r>
      <w:r>
        <w:rPr>
          <w:b/>
        </w:rPr>
        <w:br/>
      </w:r>
      <w:r w:rsidRPr="003A0C9A">
        <w:rPr>
          <w:b/>
        </w:rPr>
        <w:t>Avsikt med behandlingen i rådet:</w:t>
      </w:r>
      <w:r w:rsidR="003A0C9A">
        <w:rPr>
          <w:b/>
        </w:rPr>
        <w:t xml:space="preserve"> </w:t>
      </w:r>
      <w:r w:rsidRPr="003A0C9A">
        <w:t>Rådet föreslås anta beslut om ståndpunkt.  </w:t>
      </w:r>
    </w:p>
    <w:p w14:paraId="371DAE7B" w14:textId="0B7BDB38" w:rsidR="00E6448C" w:rsidRDefault="00C46320">
      <w:pPr>
        <w:spacing w:after="280" w:afterAutospacing="1"/>
      </w:pPr>
      <w:r>
        <w:rPr>
          <w:b/>
          <w:bCs/>
        </w:rPr>
        <w:t>Hur regeringen ställer sig till den blivande A-punkten:</w:t>
      </w:r>
      <w:r>
        <w:t xml:space="preserve"> Regeringen avser rösta ja till förslaget.  </w:t>
      </w:r>
    </w:p>
    <w:p w14:paraId="371DAE7D" w14:textId="52FB9C46" w:rsidR="00E6448C" w:rsidRDefault="00C46320" w:rsidP="003A0C9A">
      <w:pPr>
        <w:spacing w:after="100" w:afterAutospacing="1" w:line="240" w:lineRule="atLeast"/>
      </w:pPr>
      <w:r w:rsidRPr="003A0C9A">
        <w:rPr>
          <w:b/>
        </w:rPr>
        <w:t>Bakgrund:</w:t>
      </w:r>
      <w:r w:rsidR="003A0C9A">
        <w:rPr>
          <w:b/>
        </w:rPr>
        <w:t xml:space="preserve"> </w:t>
      </w:r>
      <w:r w:rsidRPr="003A0C9A">
        <w:rPr>
          <w:noProof/>
        </w:rPr>
        <w:t>Den gemensamma kommittèn som upprättades genom viseringsförenklingsavtalet mellan EU</w:t>
      </w:r>
      <w:r>
        <w:t xml:space="preserve"> och Ukraina antog år 2009 riktlinjer för viseringshanteringen i Ukraina. Dessa riktlinjer har nu uppdateras för att bättre anpassas till det reviderade viseringsförenklingsavtal som började gälla den 1 juli 2013. Riktlinjerna utgör inte en del av viseringsförenklingsavtalet och är således inte rättsligt bindande. Däremot rekommenderas konsulaten i Ukraina att följa dessa riktlinjer för ett mer harmoniserat genomförande av avtalet.</w:t>
      </w:r>
    </w:p>
    <w:p w14:paraId="371DAE7F" w14:textId="77777777" w:rsidR="00643D86" w:rsidRDefault="00C46320" w:rsidP="00643D86">
      <w:pPr>
        <w:pStyle w:val="Rubrik1"/>
      </w:pPr>
      <w:bookmarkStart w:id="5" w:name="_Toc412112767"/>
      <w:r>
        <w:rPr>
          <w:noProof/>
        </w:rPr>
        <w:t>Draft Joint Declaration on a Mobility Partnership between the Republic of Belarus and the European Union and its participating Member States</w:t>
      </w:r>
      <w:bookmarkEnd w:id="5"/>
    </w:p>
    <w:p w14:paraId="371DAE80" w14:textId="77777777" w:rsidR="00643D86" w:rsidRDefault="00C46320" w:rsidP="00643D86">
      <w:pPr>
        <w:rPr>
          <w:lang w:val="en-US"/>
        </w:rPr>
      </w:pPr>
      <w:r>
        <w:rPr>
          <w:noProof/>
          <w:lang w:val="en-US"/>
        </w:rPr>
        <w:t>6114</w:t>
      </w:r>
      <w:r>
        <w:rPr>
          <w:lang w:val="en-US"/>
        </w:rPr>
        <w:t>/15 ASIM 8 COEST 61</w:t>
      </w:r>
      <w:r>
        <w:rPr>
          <w:lang w:val="en-US"/>
        </w:rPr>
        <w:br/>
      </w:r>
      <w:r>
        <w:rPr>
          <w:noProof/>
          <w:lang w:val="en-US"/>
        </w:rPr>
        <w:t>6114</w:t>
      </w:r>
      <w:r>
        <w:rPr>
          <w:lang w:val="en-US"/>
        </w:rPr>
        <w:t>/15 ASIM 8 COEST 61</w:t>
      </w:r>
    </w:p>
    <w:p w14:paraId="371DAE81" w14:textId="77777777" w:rsidR="00643D86" w:rsidRDefault="00C46320" w:rsidP="00643D86">
      <w:r>
        <w:rPr>
          <w:b/>
        </w:rPr>
        <w:t>Ansvarigt statsråd</w:t>
      </w:r>
      <w:r>
        <w:rPr>
          <w:b/>
        </w:rPr>
        <w:br/>
      </w:r>
      <w:r>
        <w:rPr>
          <w:noProof/>
        </w:rPr>
        <w:t>Morgan Johansson</w:t>
      </w:r>
    </w:p>
    <w:p w14:paraId="371DAE86" w14:textId="7CBC90F5" w:rsidR="00E6448C" w:rsidRDefault="00C46320" w:rsidP="003A0C9A">
      <w:r w:rsidRPr="00B44CE2">
        <w:rPr>
          <w:b/>
        </w:rPr>
        <w:t>Annotering</w:t>
      </w:r>
      <w:r>
        <w:rPr>
          <w:b/>
        </w:rPr>
        <w:br/>
      </w:r>
      <w:r>
        <w:rPr>
          <w:b/>
          <w:bCs/>
        </w:rPr>
        <w:t>Avsikt med behandlingen i rådet:</w:t>
      </w:r>
      <w:r w:rsidR="003A0C9A">
        <w:rPr>
          <w:b/>
          <w:bCs/>
        </w:rPr>
        <w:t xml:space="preserve"> </w:t>
      </w:r>
      <w:r>
        <w:t>Rådet uppmanas bekräfta överenskommelsen om utkastet till gemensam förklaring så det kan översändas till de vitryska myndigheterna och förhandlingarna om ett partnerskap för rörlighet (</w:t>
      </w:r>
      <w:proofErr w:type="spellStart"/>
      <w:r>
        <w:t>Mobility</w:t>
      </w:r>
      <w:proofErr w:type="spellEnd"/>
      <w:r>
        <w:t xml:space="preserve"> Partnership) mellan EU och Vitryssland kan inledas. </w:t>
      </w:r>
    </w:p>
    <w:p w14:paraId="371DAE88" w14:textId="7BAE9D6D" w:rsidR="00E6448C" w:rsidRDefault="00C46320">
      <w:pPr>
        <w:spacing w:after="280" w:afterAutospacing="1"/>
      </w:pPr>
      <w:r>
        <w:rPr>
          <w:b/>
          <w:bCs/>
        </w:rPr>
        <w:t>Hur regeringen ställer sig till den blivande A-punkten:</w:t>
      </w:r>
      <w:r>
        <w:t xml:space="preserve"> Regeringen avser godkänna den gemensamma förklaringen för etablerande av partnerskapet för rörlighet. </w:t>
      </w:r>
    </w:p>
    <w:p w14:paraId="371DAE8A" w14:textId="59C15FA5" w:rsidR="00E6448C" w:rsidRDefault="00C46320">
      <w:pPr>
        <w:spacing w:after="280" w:afterAutospacing="1"/>
      </w:pPr>
      <w:r>
        <w:rPr>
          <w:b/>
          <w:bCs/>
        </w:rPr>
        <w:t>Bakgrund:</w:t>
      </w:r>
      <w:r w:rsidR="003A0C9A">
        <w:rPr>
          <w:b/>
          <w:bCs/>
        </w:rPr>
        <w:t xml:space="preserve"> </w:t>
      </w:r>
      <w:r>
        <w:t>Partnerskapen för rörlighet är inom EU:s övergripande strategi för migration och rörlighet det prioriterade instrumentet för samarbete med grannskapsländerna. Partnerskapen fungerar som paraply för projekt och initiativ mellan intresserade medlemsstater och partnerlandet på de fyra huvudområden som ingår i den övergripande strategin: bättre organisera laglig migration och rörlighet, förebygga och bekämpa olaglig invandring, maximera de positiva kopplingarna mellan migration och utveckling och främja internationellt skydd.</w:t>
      </w:r>
    </w:p>
    <w:p w14:paraId="371DAE8B" w14:textId="77777777" w:rsidR="00E6448C" w:rsidRDefault="00C46320">
      <w:pPr>
        <w:spacing w:after="280" w:afterAutospacing="1"/>
      </w:pPr>
      <w:r>
        <w:lastRenderedPageBreak/>
        <w:t xml:space="preserve">EU avser att utveckla ett migrationssamarbete även med Vitryssland eftersom partnerskap för rörlighet redan har inrättats med majoriteten av länderna i det östliga partnerskapet (Armenien, Azerbajdzjan, Georgien och Republiken Moldavien).  </w:t>
      </w:r>
    </w:p>
    <w:p w14:paraId="371DAE8C" w14:textId="77777777" w:rsidR="00E6448C" w:rsidRDefault="00C46320">
      <w:pPr>
        <w:spacing w:after="280" w:afterAutospacing="1"/>
      </w:pPr>
      <w:r>
        <w:t xml:space="preserve">Högnivågruppen för asyl och migration enades den 2 februari 2015 om EU:s strategi inför förhandlingarna enligt det aktuella utkastet till gemensam förklaring.  </w:t>
      </w:r>
    </w:p>
    <w:p w14:paraId="371DAE8E" w14:textId="77777777" w:rsidR="00643D86" w:rsidRDefault="00C46320" w:rsidP="00643D86">
      <w:pPr>
        <w:pStyle w:val="Rubrik1"/>
      </w:pPr>
      <w:bookmarkStart w:id="6" w:name="_Toc412112768"/>
      <w:r>
        <w:rPr>
          <w:noProof/>
        </w:rPr>
        <w:t>European Union Statement on the occasion of the Special segment on the preparations for the UNGA Special Session on the World Drug Problem to be held in Vienna on 9-12 March 2015, 58th CND session</w:t>
      </w:r>
      <w:bookmarkEnd w:id="6"/>
    </w:p>
    <w:p w14:paraId="371DAE8F" w14:textId="77777777" w:rsidR="00643D86" w:rsidRDefault="00C46320" w:rsidP="00643D86">
      <w:pPr>
        <w:rPr>
          <w:lang w:val="en-US"/>
        </w:rPr>
      </w:pPr>
      <w:r>
        <w:rPr>
          <w:noProof/>
          <w:lang w:val="en-US"/>
        </w:rPr>
        <w:t>6193</w:t>
      </w:r>
      <w:r>
        <w:rPr>
          <w:lang w:val="en-US"/>
        </w:rPr>
        <w:t>/15 CORDROGUE 9</w:t>
      </w:r>
      <w:r>
        <w:rPr>
          <w:lang w:val="en-US"/>
        </w:rPr>
        <w:br/>
      </w:r>
      <w:r>
        <w:rPr>
          <w:noProof/>
          <w:lang w:val="en-US"/>
        </w:rPr>
        <w:t>6193</w:t>
      </w:r>
      <w:r>
        <w:rPr>
          <w:lang w:val="en-US"/>
        </w:rPr>
        <w:t>/15 CORDROGUE 9</w:t>
      </w:r>
    </w:p>
    <w:p w14:paraId="371DAE90" w14:textId="77777777" w:rsidR="00643D86" w:rsidRDefault="00C46320" w:rsidP="00643D86">
      <w:r>
        <w:rPr>
          <w:b/>
        </w:rPr>
        <w:t>Ansvarigt statsråd</w:t>
      </w:r>
      <w:r>
        <w:rPr>
          <w:b/>
        </w:rPr>
        <w:br/>
      </w:r>
      <w:r>
        <w:rPr>
          <w:noProof/>
        </w:rPr>
        <w:t>Gabriel Wikström</w:t>
      </w:r>
    </w:p>
    <w:p w14:paraId="371DAE93" w14:textId="13450489" w:rsidR="00643D86" w:rsidRDefault="00C46320" w:rsidP="00643D86">
      <w:r w:rsidRPr="00B44CE2">
        <w:rPr>
          <w:b/>
        </w:rPr>
        <w:t>Annotering</w:t>
      </w:r>
      <w:r>
        <w:rPr>
          <w:b/>
        </w:rPr>
        <w:br/>
      </w:r>
      <w:r>
        <w:rPr>
          <w:b/>
          <w:bCs/>
        </w:rPr>
        <w:t xml:space="preserve">Avsikt med behandlingen i rådet: </w:t>
      </w:r>
      <w:r w:rsidR="003D701F">
        <w:t>Fastställa EU-</w:t>
      </w:r>
      <w:r>
        <w:t xml:space="preserve">anförande.  </w:t>
      </w:r>
    </w:p>
    <w:p w14:paraId="371DAE94" w14:textId="77777777" w:rsidR="00E6448C" w:rsidRDefault="00C46320">
      <w:pPr>
        <w:spacing w:after="280" w:afterAutospacing="1"/>
      </w:pPr>
      <w:r>
        <w:rPr>
          <w:b/>
          <w:bCs/>
        </w:rPr>
        <w:t>Hur regeringen ställer sig till den blivande A-punkten:</w:t>
      </w:r>
      <w:r>
        <w:t xml:space="preserve"> SE kan acceptera anförandet såsom det är skrivet, men anser att dokumentet kan behöva finjusteras vid EU samråd i Wien. </w:t>
      </w:r>
    </w:p>
    <w:p w14:paraId="371DAE95" w14:textId="77777777" w:rsidR="00E6448C" w:rsidRDefault="00C46320">
      <w:pPr>
        <w:spacing w:after="280" w:afterAutospacing="1"/>
      </w:pPr>
      <w:r>
        <w:rPr>
          <w:b/>
          <w:bCs/>
        </w:rPr>
        <w:t xml:space="preserve">Bakgrund: </w:t>
      </w:r>
      <w:r>
        <w:t>EU anförandet som ska framföras vid UNGASS segmentet av CND 9-12 mars har diskuterats och förhandlats i HNG sedan december och de svenska ståndpunkterna, om prevention, narkotikafrågan som en tvärsektoriell fråga inom FN systemet samt vikten av att fokusera på jämställdhet, har införts i anförandet. Vidare har uttalanden som stod i strid med vår strafflagstiftning korrigerats.</w:t>
      </w:r>
    </w:p>
    <w:p w14:paraId="371DAE97" w14:textId="77777777" w:rsidR="00643D86" w:rsidRDefault="00C46320" w:rsidP="00643D86">
      <w:pPr>
        <w:pStyle w:val="Rubrik1"/>
      </w:pPr>
      <w:bookmarkStart w:id="7" w:name="_Toc412112769"/>
      <w:r>
        <w:rPr>
          <w:noProof/>
        </w:rPr>
        <w:t>Proposal for a Regulation of the European Parliament and of the Council on common rules for imports of textile products from certain third countries not covered by bilateral agreements, protocols or other arrangements, or by other specific Union import rules (recast) (First reading)</w:t>
      </w:r>
      <w:bookmarkEnd w:id="7"/>
    </w:p>
    <w:p w14:paraId="371DAE98" w14:textId="77777777" w:rsidR="00643D86" w:rsidRDefault="00C46320" w:rsidP="00643D86">
      <w:pPr>
        <w:rPr>
          <w:lang w:val="en-US"/>
        </w:rPr>
      </w:pPr>
      <w:r>
        <w:rPr>
          <w:noProof/>
          <w:lang w:val="en-US"/>
        </w:rPr>
        <w:t>–</w:t>
      </w:r>
      <w:r>
        <w:rPr>
          <w:lang w:val="en-US"/>
        </w:rPr>
        <w:t>Confirmation of the final compromise text with a view to agreement6211/15 STIS 6 TEXT 1 WTO 47 CODIF 20 CODEC 187</w:t>
      </w:r>
      <w:r>
        <w:rPr>
          <w:lang w:val="en-US"/>
        </w:rPr>
        <w:br/>
      </w:r>
      <w:r>
        <w:rPr>
          <w:noProof/>
          <w:lang w:val="en-US"/>
        </w:rPr>
        <w:t>6211</w:t>
      </w:r>
      <w:r>
        <w:rPr>
          <w:lang w:val="en-US"/>
        </w:rPr>
        <w:t>/15 STIS 6 TEXT 1 WTO 47 CODIF 20 CODEC 187</w:t>
      </w:r>
    </w:p>
    <w:p w14:paraId="371DAE99" w14:textId="77777777" w:rsidR="00643D86" w:rsidRDefault="00C46320" w:rsidP="00643D86">
      <w:r>
        <w:rPr>
          <w:b/>
        </w:rPr>
        <w:t>Ansvarigt statsråd</w:t>
      </w:r>
      <w:r>
        <w:rPr>
          <w:b/>
        </w:rPr>
        <w:br/>
      </w:r>
      <w:r>
        <w:rPr>
          <w:noProof/>
        </w:rPr>
        <w:t>Mikael Damberg</w:t>
      </w:r>
    </w:p>
    <w:p w14:paraId="371DAE9B" w14:textId="77777777" w:rsidR="00643D86" w:rsidRPr="00643D86" w:rsidRDefault="00C46320" w:rsidP="00643D86">
      <w:r w:rsidRPr="00643D86">
        <w:rPr>
          <w:b/>
        </w:rPr>
        <w:t>Tidigare behandling vid rådsmöte</w:t>
      </w:r>
      <w:r>
        <w:rPr>
          <w:b/>
        </w:rPr>
        <w:br/>
      </w:r>
      <w:r>
        <w:rPr>
          <w:noProof/>
        </w:rPr>
        <w:t>2014-11-25</w:t>
      </w:r>
    </w:p>
    <w:p w14:paraId="371DAE9E" w14:textId="5693EFEF" w:rsidR="00E6448C" w:rsidRDefault="00C46320" w:rsidP="003A0C9A">
      <w:r w:rsidRPr="00B44CE2">
        <w:rPr>
          <w:b/>
        </w:rPr>
        <w:t>Annotering</w:t>
      </w:r>
      <w:r>
        <w:rPr>
          <w:b/>
        </w:rPr>
        <w:br/>
      </w:r>
      <w:r w:rsidRPr="003A0C9A">
        <w:rPr>
          <w:b/>
        </w:rPr>
        <w:t>Avsikt med behandlingen i rådet:</w:t>
      </w:r>
      <w:r>
        <w:t xml:space="preserve"> Rådet föreslås godkänna förslaget.</w:t>
      </w:r>
    </w:p>
    <w:p w14:paraId="371DAEA0" w14:textId="52AA7DFF" w:rsidR="00E6448C" w:rsidRDefault="00C46320">
      <w:pPr>
        <w:spacing w:after="280" w:afterAutospacing="1"/>
      </w:pPr>
      <w:r w:rsidRPr="003A0C9A">
        <w:rPr>
          <w:b/>
        </w:rPr>
        <w:t>Hur regeringen ställer sig till den blivande a-punkten:</w:t>
      </w:r>
      <w:r>
        <w:t xml:space="preserve"> Regeringen avser rösta ja till att rådet godkänner Europaparlamentets och rådets förordning om gemensamma bestämmelser för import av textilprodukter eller andra överenskommelser eller av andra särskilda unionsbestämmelser för import (omarbetning).</w:t>
      </w:r>
    </w:p>
    <w:p w14:paraId="371DAEA2" w14:textId="78354314" w:rsidR="00E6448C" w:rsidRDefault="00C46320">
      <w:pPr>
        <w:spacing w:after="280" w:afterAutospacing="1"/>
      </w:pPr>
      <w:r w:rsidRPr="003A0C9A">
        <w:rPr>
          <w:b/>
        </w:rPr>
        <w:lastRenderedPageBreak/>
        <w:t xml:space="preserve">Bakgrund: </w:t>
      </w:r>
      <w:r>
        <w:t xml:space="preserve">Detta förslag avser en kodifiering rådets förordning (EG) nr 517/94 av den 7 mars 1994 om gemensamma bestämmelser för import av textilprodukter från vissa tredjeländer som inte omfattas av bilaterala avtal, protokoll eller andra överenskommelser eller av andra särskilda gemenskapsbestämmelser för import. Den nya förordningen ersätter de olika rättsakter som omfattas av kodifieringen och följer fullt ut de kodifierade texterna vad beträffar innehållet i sak. Samtidigt är det också lämpligt att införa vissa smärre materiella ändringar i några artiklar (4.2, 6.4 och 23) i den förordningen. Förslaget läggs därför fram i form av en omarbetning, nu för första läsning med arbetshypotesen att förslaget ska antas efter ordförandeskapets ändringsförslag. Syftet med förordningen är att förenkla förfaranden för importörer från tredjeländer. Frågan har tidigare behandlats i STIS-kommittén (Steel, </w:t>
      </w:r>
      <w:proofErr w:type="spellStart"/>
      <w:r>
        <w:t>textiles</w:t>
      </w:r>
      <w:proofErr w:type="spellEnd"/>
      <w:r>
        <w:t xml:space="preserve"> and </w:t>
      </w:r>
      <w:proofErr w:type="spellStart"/>
      <w:r>
        <w:t>other</w:t>
      </w:r>
      <w:proofErr w:type="spellEnd"/>
      <w:r>
        <w:t xml:space="preserve"> </w:t>
      </w:r>
      <w:proofErr w:type="spellStart"/>
      <w:r>
        <w:t>industrial</w:t>
      </w:r>
      <w:proofErr w:type="spellEnd"/>
      <w:r>
        <w:t xml:space="preserve"> </w:t>
      </w:r>
      <w:proofErr w:type="spellStart"/>
      <w:r>
        <w:t>sectors</w:t>
      </w:r>
      <w:proofErr w:type="spellEnd"/>
      <w:r>
        <w:t xml:space="preserve">). </w:t>
      </w:r>
    </w:p>
    <w:p w14:paraId="371DAEA4" w14:textId="77777777" w:rsidR="00643D86" w:rsidRDefault="00C46320" w:rsidP="00643D86">
      <w:pPr>
        <w:pStyle w:val="Rubrik1"/>
      </w:pPr>
      <w:bookmarkStart w:id="8" w:name="_Toc412112770"/>
      <w:r>
        <w:rPr>
          <w:noProof/>
        </w:rPr>
        <w:t>Proposal for a Council Decision establishing the position to be taken by the European Union within the General Council of the World Trade Organization on the United States' request for a WTO waiver to extend and expand the scope of the US Caribbean Basin Economic Recovery Act (CBERA)</w:t>
      </w:r>
      <w:bookmarkEnd w:id="8"/>
    </w:p>
    <w:p w14:paraId="371DAEA5" w14:textId="77777777" w:rsidR="00643D86" w:rsidRDefault="00C46320" w:rsidP="00643D86">
      <w:pPr>
        <w:rPr>
          <w:lang w:val="en-US"/>
        </w:rPr>
      </w:pPr>
      <w:r>
        <w:rPr>
          <w:noProof/>
          <w:lang w:val="en-US"/>
        </w:rPr>
        <w:t>–</w:t>
      </w:r>
      <w:r>
        <w:rPr>
          <w:lang w:val="en-US"/>
        </w:rPr>
        <w:t>Adoption5803/15 WTO 34 COLAC 5 USA 25804/15 WTO 35 COLAC 6 USA 3</w:t>
      </w:r>
      <w:r>
        <w:rPr>
          <w:lang w:val="en-US"/>
        </w:rPr>
        <w:br/>
      </w:r>
      <w:r>
        <w:rPr>
          <w:noProof/>
          <w:lang w:val="en-US"/>
        </w:rPr>
        <w:t>5803</w:t>
      </w:r>
      <w:r>
        <w:rPr>
          <w:lang w:val="en-US"/>
        </w:rPr>
        <w:t>/15 WTO 34 COLAC 5 USA 25804/15 WTO 35 COLAC 6 USA 3</w:t>
      </w:r>
    </w:p>
    <w:p w14:paraId="371DAEA6" w14:textId="77777777" w:rsidR="00643D86" w:rsidRDefault="00C46320" w:rsidP="00643D86">
      <w:r>
        <w:rPr>
          <w:b/>
        </w:rPr>
        <w:t>Ansvarigt statsråd</w:t>
      </w:r>
      <w:r>
        <w:rPr>
          <w:b/>
        </w:rPr>
        <w:br/>
      </w:r>
      <w:r>
        <w:rPr>
          <w:noProof/>
        </w:rPr>
        <w:t>Mikael Damberg</w:t>
      </w:r>
    </w:p>
    <w:p w14:paraId="371DAEA9" w14:textId="77777777" w:rsidR="00643D86" w:rsidRDefault="00C46320" w:rsidP="00643D86">
      <w:r w:rsidRPr="00B44CE2">
        <w:rPr>
          <w:b/>
        </w:rPr>
        <w:t>Annotering</w:t>
      </w:r>
      <w:r>
        <w:rPr>
          <w:b/>
        </w:rPr>
        <w:br/>
      </w:r>
      <w:r>
        <w:rPr>
          <w:b/>
          <w:bCs/>
        </w:rPr>
        <w:t>Avsikt med behandlingen i rådet:</w:t>
      </w:r>
      <w:r>
        <w:t xml:space="preserve"> Rådet föreslås anta en gemensam ståndpunkt.   </w:t>
      </w:r>
    </w:p>
    <w:p w14:paraId="371DAEAA" w14:textId="77777777" w:rsidR="00E6448C" w:rsidRDefault="00C46320">
      <w:pPr>
        <w:spacing w:after="280" w:afterAutospacing="1"/>
      </w:pPr>
      <w:r>
        <w:rPr>
          <w:b/>
          <w:bCs/>
        </w:rPr>
        <w:t>Hur regeringen ställer sig till den blivande A-punkten:</w:t>
      </w:r>
      <w:r>
        <w:t xml:space="preserve"> Regeringen avser rösta ja till att rådet antar den gemensamma ståndpunkten gällande den amerikanska begäran om ett WTO-undantag för att förlänga och utvidga omfattningen av den amerikanska lagstiftningen </w:t>
      </w:r>
      <w:proofErr w:type="spellStart"/>
      <w:r>
        <w:t>Caribbean</w:t>
      </w:r>
      <w:proofErr w:type="spellEnd"/>
      <w:r>
        <w:t xml:space="preserve"> Basin </w:t>
      </w:r>
      <w:proofErr w:type="spellStart"/>
      <w:r>
        <w:t>Economic</w:t>
      </w:r>
      <w:proofErr w:type="spellEnd"/>
      <w:r>
        <w:t xml:space="preserve"> </w:t>
      </w:r>
      <w:proofErr w:type="spellStart"/>
      <w:r>
        <w:t>Recovery</w:t>
      </w:r>
      <w:proofErr w:type="spellEnd"/>
      <w:r>
        <w:t xml:space="preserve"> </w:t>
      </w:r>
      <w:proofErr w:type="spellStart"/>
      <w:r>
        <w:t>Act</w:t>
      </w:r>
      <w:proofErr w:type="spellEnd"/>
      <w:r>
        <w:t xml:space="preserve"> (CBERA). </w:t>
      </w:r>
    </w:p>
    <w:p w14:paraId="371DAEAB" w14:textId="77777777" w:rsidR="00E6448C" w:rsidRDefault="00C46320">
      <w:pPr>
        <w:spacing w:after="280" w:afterAutospacing="1"/>
      </w:pPr>
      <w:r>
        <w:rPr>
          <w:b/>
          <w:bCs/>
        </w:rPr>
        <w:t xml:space="preserve">Bakgrund: </w:t>
      </w:r>
      <w:r>
        <w:t xml:space="preserve">Kommissionens förslag till rådsbeslut stödjer den amerikanska begäran om ett WTO-undantag för att förlänga och utvidga omfattningen av den amerikanska lagstiftningen </w:t>
      </w:r>
      <w:proofErr w:type="spellStart"/>
      <w:r>
        <w:t>Caribbean</w:t>
      </w:r>
      <w:proofErr w:type="spellEnd"/>
      <w:r>
        <w:t xml:space="preserve"> Basin </w:t>
      </w:r>
      <w:proofErr w:type="spellStart"/>
      <w:r>
        <w:t>Economic</w:t>
      </w:r>
      <w:proofErr w:type="spellEnd"/>
      <w:r>
        <w:t xml:space="preserve"> </w:t>
      </w:r>
      <w:proofErr w:type="spellStart"/>
      <w:r>
        <w:t>Recovery</w:t>
      </w:r>
      <w:proofErr w:type="spellEnd"/>
      <w:r>
        <w:t xml:space="preserve"> </w:t>
      </w:r>
      <w:proofErr w:type="spellStart"/>
      <w:r>
        <w:t>Act</w:t>
      </w:r>
      <w:proofErr w:type="spellEnd"/>
      <w:r>
        <w:t xml:space="preserve"> (CBERA). USA har sedan tidigare WTO-undantag för att ge tullfri behandling till ett antal produkter med ursprung från vissa karibiska och centralamerikanska länder. Syftet med </w:t>
      </w:r>
      <w:proofErr w:type="spellStart"/>
      <w:r>
        <w:t>Caribbean</w:t>
      </w:r>
      <w:proofErr w:type="spellEnd"/>
      <w:r>
        <w:t xml:space="preserve"> Basin </w:t>
      </w:r>
      <w:proofErr w:type="spellStart"/>
      <w:r>
        <w:t>Economic</w:t>
      </w:r>
      <w:proofErr w:type="spellEnd"/>
      <w:r>
        <w:t xml:space="preserve"> </w:t>
      </w:r>
      <w:proofErr w:type="spellStart"/>
      <w:r>
        <w:t>Recovery</w:t>
      </w:r>
      <w:proofErr w:type="spellEnd"/>
      <w:r>
        <w:t xml:space="preserve"> </w:t>
      </w:r>
      <w:proofErr w:type="spellStart"/>
      <w:r>
        <w:t>Act</w:t>
      </w:r>
      <w:proofErr w:type="spellEnd"/>
      <w:r>
        <w:t xml:space="preserve"> (CBERA), som funnits sedan 1983, är att möjliggöra för de karibiska och centralamerikanska länderna att utveckla sina ekonomier och diversifiera sin export. De ändringar som gjorts i </w:t>
      </w:r>
      <w:proofErr w:type="spellStart"/>
      <w:r>
        <w:t>Caribbean</w:t>
      </w:r>
      <w:proofErr w:type="spellEnd"/>
      <w:r>
        <w:t xml:space="preserve"> Basin </w:t>
      </w:r>
      <w:proofErr w:type="spellStart"/>
      <w:r>
        <w:t>Economic</w:t>
      </w:r>
      <w:proofErr w:type="spellEnd"/>
      <w:r>
        <w:t xml:space="preserve"> </w:t>
      </w:r>
      <w:proofErr w:type="spellStart"/>
      <w:r>
        <w:t>Recovery</w:t>
      </w:r>
      <w:proofErr w:type="spellEnd"/>
      <w:r>
        <w:t xml:space="preserve"> </w:t>
      </w:r>
      <w:proofErr w:type="spellStart"/>
      <w:r>
        <w:t>Act</w:t>
      </w:r>
      <w:proofErr w:type="spellEnd"/>
      <w:r>
        <w:t xml:space="preserve"> (CBERA) främjar detta syfte genom att skapa möjligheter för att öka handeln mellan USA och regionen i fråga.</w:t>
      </w:r>
    </w:p>
    <w:p w14:paraId="371DAEAC" w14:textId="77777777" w:rsidR="00E6448C" w:rsidRDefault="00C46320">
      <w:pPr>
        <w:spacing w:after="280" w:afterAutospacing="1"/>
      </w:pPr>
      <w:r>
        <w:t xml:space="preserve">I WTO:s varuhandelsråd den 17 november 2014 bad USA om att få sitt undantag förlängt till 31 december 2019, och utvidgat för att kunna omfatta de ändringar och tillägg som gjort till </w:t>
      </w:r>
      <w:proofErr w:type="spellStart"/>
      <w:r>
        <w:t>Caribbean</w:t>
      </w:r>
      <w:proofErr w:type="spellEnd"/>
      <w:r>
        <w:t xml:space="preserve"> Basin </w:t>
      </w:r>
      <w:proofErr w:type="spellStart"/>
      <w:r>
        <w:t>Economic</w:t>
      </w:r>
      <w:proofErr w:type="spellEnd"/>
      <w:r>
        <w:t xml:space="preserve"> </w:t>
      </w:r>
      <w:proofErr w:type="spellStart"/>
      <w:r>
        <w:t>Recovery</w:t>
      </w:r>
      <w:proofErr w:type="spellEnd"/>
      <w:r>
        <w:t xml:space="preserve"> </w:t>
      </w:r>
      <w:proofErr w:type="spellStart"/>
      <w:r>
        <w:t>Act</w:t>
      </w:r>
      <w:proofErr w:type="spellEnd"/>
      <w:r>
        <w:t xml:space="preserve"> (CBERA). USA vill att WTO:s medlemmar ska godkänna förlängningen och ändringarna vid WTO:s Allmänna råd den 20 februari 2015. Vid rådets möte (handelspolitiska kommittéen) den 6 februari godkände kommittéen förslaget till rådsbeslut. Ett beviljande av WTO-undantag kommer inte påverka EU:s relationer till de karibiska och centralamerikanska länderna negativt, och Sverige stödjer åtgärder för att bekämpa fattigdom och främja stabilitet i de karibiska och centralamerikanska länderna.</w:t>
      </w:r>
    </w:p>
    <w:p w14:paraId="371DAEAE" w14:textId="77777777" w:rsidR="00643D86" w:rsidRDefault="00C46320" w:rsidP="00643D86">
      <w:pPr>
        <w:pStyle w:val="Rubrik1"/>
      </w:pPr>
      <w:bookmarkStart w:id="9" w:name="_Toc412112771"/>
      <w:r>
        <w:rPr>
          <w:noProof/>
        </w:rPr>
        <w:lastRenderedPageBreak/>
        <w:t>Draft Council Decision adopting the Rules of Procedure of the Investment Facility Committee set up under the auspices of the European Investment Facility</w:t>
      </w:r>
      <w:bookmarkEnd w:id="9"/>
    </w:p>
    <w:p w14:paraId="371DAEAF" w14:textId="77777777" w:rsidR="00643D86" w:rsidRDefault="00C46320" w:rsidP="00643D86">
      <w:pPr>
        <w:rPr>
          <w:lang w:val="en-US"/>
        </w:rPr>
      </w:pPr>
      <w:r>
        <w:rPr>
          <w:noProof/>
          <w:lang w:val="en-US"/>
        </w:rPr>
        <w:t>–</w:t>
      </w:r>
      <w:r>
        <w:rPr>
          <w:lang w:val="en-US"/>
        </w:rPr>
        <w:t>Adoption5505/15 ACP 11 FIN 53 PTOM 55504/15 ACP 10 FIN 52 PTOM 4</w:t>
      </w:r>
      <w:r>
        <w:rPr>
          <w:lang w:val="en-US"/>
        </w:rPr>
        <w:br/>
      </w:r>
      <w:r>
        <w:rPr>
          <w:noProof/>
          <w:lang w:val="en-US"/>
        </w:rPr>
        <w:t>5505</w:t>
      </w:r>
      <w:r>
        <w:rPr>
          <w:lang w:val="en-US"/>
        </w:rPr>
        <w:t>/15 ACP 11 FIN 53 PTOM 55504/15 ACP 10 FIN 52 PTOM 4</w:t>
      </w:r>
    </w:p>
    <w:p w14:paraId="371DAEB0" w14:textId="77777777" w:rsidR="00643D86" w:rsidRDefault="00C46320" w:rsidP="00643D86">
      <w:r>
        <w:rPr>
          <w:b/>
        </w:rPr>
        <w:t>Ansvarigt statsråd</w:t>
      </w:r>
      <w:r>
        <w:rPr>
          <w:b/>
        </w:rPr>
        <w:br/>
      </w:r>
      <w:r>
        <w:rPr>
          <w:noProof/>
        </w:rPr>
        <w:t>Isabella Lövin</w:t>
      </w:r>
    </w:p>
    <w:p w14:paraId="371DAEB3" w14:textId="3B9F0EE4" w:rsidR="00643D86" w:rsidRDefault="00C46320" w:rsidP="00643D86">
      <w:r w:rsidRPr="00B44CE2">
        <w:rPr>
          <w:b/>
        </w:rPr>
        <w:t>Annotering</w:t>
      </w:r>
    </w:p>
    <w:p w14:paraId="371DAEB5" w14:textId="3C3FF143" w:rsidR="00E6448C" w:rsidRDefault="00C46320">
      <w:pPr>
        <w:spacing w:after="280" w:afterAutospacing="1"/>
      </w:pPr>
      <w:r>
        <w:rPr>
          <w:b/>
          <w:bCs/>
        </w:rPr>
        <w:t>Avsikt med behandlingen i rådet:</w:t>
      </w:r>
      <w:r>
        <w:t xml:space="preserve"> Antagande av arbetsordning för Investment </w:t>
      </w:r>
      <w:proofErr w:type="spellStart"/>
      <w:r>
        <w:t>Facility</w:t>
      </w:r>
      <w:proofErr w:type="spellEnd"/>
      <w:r>
        <w:t>-kommittén.</w:t>
      </w:r>
    </w:p>
    <w:p w14:paraId="371DAEB7" w14:textId="2CFE97EF" w:rsidR="00E6448C" w:rsidRDefault="00C46320">
      <w:pPr>
        <w:spacing w:after="280" w:afterAutospacing="1"/>
      </w:pPr>
      <w:r>
        <w:rPr>
          <w:b/>
          <w:bCs/>
        </w:rPr>
        <w:t>Hur regeringen ställer sig till den blivande A-punkten:</w:t>
      </w:r>
      <w:r>
        <w:t xml:space="preserve"> Regeringen avser godta förslaget. </w:t>
      </w:r>
    </w:p>
    <w:p w14:paraId="371DAEB9" w14:textId="70104BE9" w:rsidR="00E6448C" w:rsidRDefault="00C46320">
      <w:pPr>
        <w:spacing w:after="280" w:afterAutospacing="1"/>
      </w:pPr>
      <w:r>
        <w:rPr>
          <w:b/>
          <w:bCs/>
        </w:rPr>
        <w:t>Bakgrund:</w:t>
      </w:r>
      <w:r w:rsidR="003A0C9A">
        <w:rPr>
          <w:b/>
          <w:bCs/>
        </w:rPr>
        <w:t xml:space="preserve"> </w:t>
      </w:r>
      <w:r>
        <w:t xml:space="preserve">Europeiska investeringsbanken (EIB) presenterade vid </w:t>
      </w:r>
      <w:proofErr w:type="spellStart"/>
      <w:r>
        <w:t>Investement</w:t>
      </w:r>
      <w:proofErr w:type="spellEnd"/>
      <w:r>
        <w:t xml:space="preserve"> </w:t>
      </w:r>
      <w:proofErr w:type="spellStart"/>
      <w:r>
        <w:t>Facility</w:t>
      </w:r>
      <w:proofErr w:type="spellEnd"/>
      <w:r>
        <w:t xml:space="preserve"> (IF)-kommitténs möte 7 oktober 2014 ett utkast till reviderad arbetsordning för kommittén. EIB förklarade att de föreslagna ändringarna främst handlade om tekniska anpassningar till skrivningar i implementeringsförordningen för EDF-11. Några av de ändringar som lyftes fram var ändrade röstregler </w:t>
      </w:r>
      <w:proofErr w:type="spellStart"/>
      <w:r>
        <w:t>pga</w:t>
      </w:r>
      <w:proofErr w:type="spellEnd"/>
      <w:r>
        <w:t xml:space="preserve"> HR anslutning, att EEAS få</w:t>
      </w:r>
      <w:r w:rsidR="003D701F">
        <w:t>r status som observatör</w:t>
      </w:r>
      <w:r w:rsidR="003D701F">
        <w:br/>
        <w:t>och en </w:t>
      </w:r>
      <w:r>
        <w:t>tydlig hänvisning till IF:s resultatramverk.</w:t>
      </w:r>
      <w:r>
        <w:br/>
        <w:t>Förtydligande hade även införts i de fall då kommittén förväntades uttrycka sin åsikt.</w:t>
      </w:r>
      <w:r>
        <w:br/>
        <w:t>En ändring gällande även att det land som innehar ordförandeskapet får resekostnader ersatta båda för ordföranden och kommittémedlemmen.</w:t>
      </w:r>
    </w:p>
    <w:p w14:paraId="371DAEBB" w14:textId="04E7FCEC" w:rsidR="00E6448C" w:rsidRDefault="00C46320">
      <w:pPr>
        <w:spacing w:after="280" w:afterAutospacing="1"/>
      </w:pPr>
      <w:r>
        <w:t>MS kunde i IF-kommittén godta de föreslagna ändringarna i arbetsordningen och att utkastet skulle sändas till AVS-arbetsgruppen. Efter en obruten tyst procedur kunde förslaget på ny arbetsordning godtas.  </w:t>
      </w:r>
    </w:p>
    <w:p w14:paraId="371DAEBD" w14:textId="66217633" w:rsidR="00643D86" w:rsidRDefault="00C46320" w:rsidP="00643D86">
      <w:pPr>
        <w:pStyle w:val="Rubrik1"/>
      </w:pPr>
      <w:bookmarkStart w:id="10" w:name="_Toc412112772"/>
      <w:r>
        <w:rPr>
          <w:noProof/>
        </w:rPr>
        <w:t xml:space="preserve">Council Implementing Decision implementing Decision 2013/798/CFSP concerning restrictive measures against the Central African Republic </w:t>
      </w:r>
      <w:r>
        <w:rPr>
          <w:noProof/>
        </w:rPr>
        <w:br/>
        <w:t>=Council Implementing Regulation implementing Article 17(3) of Regulation (EU) No 224/2014 concerning restrictive measures in view of the situation in the Central African Republic</w:t>
      </w:r>
      <w:bookmarkEnd w:id="10"/>
    </w:p>
    <w:p w14:paraId="371DAEBE" w14:textId="77777777" w:rsidR="00643D86" w:rsidRDefault="00C46320" w:rsidP="00643D86">
      <w:pPr>
        <w:rPr>
          <w:lang w:val="en-US"/>
        </w:rPr>
      </w:pPr>
      <w:r>
        <w:rPr>
          <w:noProof/>
          <w:lang w:val="en-US"/>
        </w:rPr>
        <w:t>5763</w:t>
      </w:r>
      <w:r>
        <w:rPr>
          <w:lang w:val="en-US"/>
        </w:rPr>
        <w:t>/15 PESC 102 RELEX 73 COAFR 39 CONUN 18 COARM 275631/15 PESC 80 COAFR 29 CONUN 13 COARM 225633/15 PESC 81 RELEX 62 COAFR 30 CONUN 14 COARM 23</w:t>
      </w:r>
      <w:r>
        <w:rPr>
          <w:lang w:val="en-US"/>
        </w:rPr>
        <w:br/>
      </w:r>
      <w:r>
        <w:rPr>
          <w:noProof/>
          <w:lang w:val="en-US"/>
        </w:rPr>
        <w:t>5763</w:t>
      </w:r>
      <w:r>
        <w:rPr>
          <w:lang w:val="en-US"/>
        </w:rPr>
        <w:t>/15 PESC 102 RELEX 73 COAFR 39 CONUN 18 COARM 275631/15 PESC 80 COAFR 29 CONUN 13 COARM 225633/15 PESC 81 RELEX 62 COAFR 30 CONUN 14 COARM 23</w:t>
      </w:r>
    </w:p>
    <w:p w14:paraId="371DAEBF" w14:textId="77777777" w:rsidR="00643D86" w:rsidRDefault="00C46320" w:rsidP="00643D86">
      <w:r>
        <w:rPr>
          <w:b/>
        </w:rPr>
        <w:t>Ansvarigt statsråd</w:t>
      </w:r>
      <w:r>
        <w:rPr>
          <w:b/>
        </w:rPr>
        <w:br/>
      </w:r>
      <w:r>
        <w:rPr>
          <w:noProof/>
        </w:rPr>
        <w:t>Margot Wallström</w:t>
      </w:r>
    </w:p>
    <w:p w14:paraId="371DAEC4" w14:textId="42A7D1C5" w:rsidR="00E6448C" w:rsidRDefault="00C46320" w:rsidP="003A0C9A">
      <w:r w:rsidRPr="00B44CE2">
        <w:rPr>
          <w:b/>
        </w:rPr>
        <w:t>Annotering</w:t>
      </w:r>
      <w:r>
        <w:rPr>
          <w:b/>
        </w:rPr>
        <w:br/>
      </w:r>
      <w:r>
        <w:rPr>
          <w:b/>
          <w:bCs/>
        </w:rPr>
        <w:t>Avsikt med behandlingen i rådet:</w:t>
      </w:r>
      <w:r>
        <w:t xml:space="preserve"> Rådet föreslås anta utkast till rådsbeslut och rådsförordning för att genomföra de ändringar av sanktionsregimen mot Centralafrikanska republiken som FN:s säkerhetsråd fattade beslut om genom resolution 2134 (2014). Ändringen </w:t>
      </w:r>
      <w:r>
        <w:lastRenderedPageBreak/>
        <w:t xml:space="preserve">avser anpassning av namnlistan till FN:s sanktionskommittés beslut den 31 december 2014 varigenom ett namn ströks. </w:t>
      </w:r>
    </w:p>
    <w:p w14:paraId="371DAEC6" w14:textId="21A70A00" w:rsidR="00E6448C" w:rsidRDefault="00C46320">
      <w:pPr>
        <w:spacing w:after="280" w:afterAutospacing="1"/>
      </w:pPr>
      <w:r>
        <w:rPr>
          <w:b/>
          <w:bCs/>
        </w:rPr>
        <w:t>Hur regeringen ställer sig till den blivande A-punkten:</w:t>
      </w:r>
      <w:r>
        <w:t xml:space="preserve"> Regeringen avser rösta ja. </w:t>
      </w:r>
    </w:p>
    <w:p w14:paraId="371DAEC8" w14:textId="0FC9F1B7" w:rsidR="00E6448C" w:rsidRDefault="00C46320">
      <w:pPr>
        <w:spacing w:after="280" w:afterAutospacing="1"/>
      </w:pPr>
      <w:r>
        <w:rPr>
          <w:b/>
          <w:bCs/>
        </w:rPr>
        <w:t>Bakgrund:</w:t>
      </w:r>
      <w:r>
        <w:t xml:space="preserve"> FN:s säkerhetsråd antog den 28 januari 2014 resolution 2134 (2014). Genom resolutionen skapades möjligheten att införa riktade restriktiva åtgärder i form av reserestriktioner och frysning av tillgångar mot personer - och i förekommande fall även enheter - som av FN:s sanktionskommitté anses svara upp mot angivna listningskriterier för åtgärderna. I maj 2014 listades tre personer av FN för sådana restriktiva åtgärder.</w:t>
      </w:r>
    </w:p>
    <w:p w14:paraId="371DAEC9" w14:textId="77777777" w:rsidR="00E6448C" w:rsidRDefault="00C46320">
      <w:pPr>
        <w:spacing w:after="280" w:afterAutospacing="1"/>
      </w:pPr>
      <w:r>
        <w:t>Den 31 december 2014 beslöt FN:s säkerhetsråds sanktionskommitté för Centralafrikanska republiken att stryka en person från listan över individer som omfattas av sanktionerna införda genom säkerhetsrådets resolution 2134 (2014).</w:t>
      </w:r>
    </w:p>
    <w:p w14:paraId="371DAECA" w14:textId="77777777" w:rsidR="00E6448C" w:rsidRDefault="00C46320">
      <w:pPr>
        <w:spacing w:after="280" w:afterAutospacing="1"/>
      </w:pPr>
      <w:r>
        <w:t xml:space="preserve">EU har genomfört de av FN beslutade sanktionerna. De unionsrättsliga delarna av vapenembargot samt möjligheten att frysa tillgångar regleras i rådets beslut 2013/798 den 23 december 2013 och förordning 224/2014 av den 10 mars 2014. Som en följd av sanktionskommitténs senaste beslut bör listan över individer som omfattas av restriktiva åtgärder enligt nämnda rådsbeslut och rådsförordning ändras på samma sätt, </w:t>
      </w:r>
      <w:proofErr w:type="gramStart"/>
      <w:r>
        <w:t>dvs</w:t>
      </w:r>
      <w:proofErr w:type="gramEnd"/>
      <w:r>
        <w:t xml:space="preserve"> genom att en person stryks. </w:t>
      </w:r>
    </w:p>
    <w:p w14:paraId="371DAECB" w14:textId="602A682D" w:rsidR="00E6448C" w:rsidRDefault="00C46320">
      <w:pPr>
        <w:spacing w:after="280" w:afterAutospacing="1"/>
      </w:pPr>
      <w:r>
        <w:t>Tidigare ändring i namnlistan har varit föremål för skriftligt samråd 26-27 november 2014.</w:t>
      </w:r>
    </w:p>
    <w:p w14:paraId="371DAECD" w14:textId="77777777" w:rsidR="00643D86" w:rsidRDefault="00C46320" w:rsidP="00643D86">
      <w:pPr>
        <w:pStyle w:val="Rubrik1"/>
      </w:pPr>
      <w:bookmarkStart w:id="11" w:name="_Toc412112773"/>
      <w:r>
        <w:rPr>
          <w:noProof/>
        </w:rPr>
        <w:t>Council Implementing Decision implementing Decision 2010/231/CFSP concerning restrictive measures against Somalia</w:t>
      </w:r>
      <w:r>
        <w:rPr>
          <w:noProof/>
        </w:rPr>
        <w:br/>
        <w:t>=Council Implementing Regulation implementing Article 13 of Regulation (EU) No 356/2010 imposing certain specific restrictive measures directed against certain natural or legal persons, entities or bodies, in view of the situation in Somalia</w:t>
      </w:r>
      <w:bookmarkEnd w:id="11"/>
    </w:p>
    <w:p w14:paraId="371DAECE" w14:textId="77777777" w:rsidR="00643D86" w:rsidRDefault="00C46320" w:rsidP="00643D86">
      <w:pPr>
        <w:rPr>
          <w:lang w:val="en-US"/>
        </w:rPr>
      </w:pPr>
      <w:r>
        <w:rPr>
          <w:noProof/>
          <w:lang w:val="en-US"/>
        </w:rPr>
        <w:t>6113</w:t>
      </w:r>
      <w:r>
        <w:rPr>
          <w:lang w:val="en-US"/>
        </w:rPr>
        <w:t>/15 PESC 160 RELEX 113 COAFR 58 CONUN 29 COARM 32 FIN 1115680/15 PESC 85 COAFR 32 CONUN 15 COARM 24 FIN 825683/15 PESC 86 RELEX 68 COAFR 33 CONUN 16 COARM 25 FIN 83</w:t>
      </w:r>
      <w:r>
        <w:rPr>
          <w:lang w:val="en-US"/>
        </w:rPr>
        <w:br/>
      </w:r>
      <w:r>
        <w:rPr>
          <w:noProof/>
          <w:lang w:val="en-US"/>
        </w:rPr>
        <w:t>6113</w:t>
      </w:r>
      <w:r>
        <w:rPr>
          <w:lang w:val="en-US"/>
        </w:rPr>
        <w:t>/15 PESC 160 RELEX 113 COAFR 58 CONUN 29 COARM 32 FIN 1115680/15 PESC 85 COAFR 32 CONUN 15 COARM 24 FIN 825683/15 PESC 86 RELEX 68 COAFR 33 CONUN 16 COARM 25 FIN 83</w:t>
      </w:r>
    </w:p>
    <w:p w14:paraId="371DAECF" w14:textId="77777777" w:rsidR="00643D86" w:rsidRDefault="00C46320" w:rsidP="00643D86">
      <w:r>
        <w:rPr>
          <w:b/>
        </w:rPr>
        <w:t>Ansvarigt statsråd</w:t>
      </w:r>
      <w:r>
        <w:rPr>
          <w:b/>
        </w:rPr>
        <w:br/>
      </w:r>
      <w:r>
        <w:rPr>
          <w:noProof/>
        </w:rPr>
        <w:t>Margot Wallström</w:t>
      </w:r>
    </w:p>
    <w:p w14:paraId="371DAED3" w14:textId="746B76B0" w:rsidR="00E6448C" w:rsidRPr="00185BF0" w:rsidRDefault="00C46320" w:rsidP="003A0C9A">
      <w:r w:rsidRPr="00B44CE2">
        <w:rPr>
          <w:b/>
        </w:rPr>
        <w:t>Annotering</w:t>
      </w:r>
      <w:r>
        <w:rPr>
          <w:b/>
        </w:rPr>
        <w:br/>
      </w:r>
      <w:r>
        <w:rPr>
          <w:b/>
          <w:bCs/>
        </w:rPr>
        <w:t xml:space="preserve">Avsikt med </w:t>
      </w:r>
      <w:r w:rsidRPr="00185BF0">
        <w:rPr>
          <w:b/>
          <w:bCs/>
        </w:rPr>
        <w:t xml:space="preserve">behandlingen i rådet: </w:t>
      </w:r>
      <w:r w:rsidRPr="00185BF0">
        <w:t xml:space="preserve">Rådet föreslås anta ett genomförandebeslut och genomförandeförordning kopplat till det reviderade rådsbeslutet 2010/231/CFSP, som införlivar FN:s säkerhetsråds ändringar i Somaliasanktionerna. </w:t>
      </w:r>
    </w:p>
    <w:p w14:paraId="371DAED4" w14:textId="27688337" w:rsidR="00E6448C" w:rsidRPr="00185BF0" w:rsidRDefault="00C46320">
      <w:pPr>
        <w:spacing w:after="280" w:afterAutospacing="1"/>
      </w:pPr>
      <w:r w:rsidRPr="00185BF0">
        <w:rPr>
          <w:b/>
          <w:bCs/>
        </w:rPr>
        <w:t xml:space="preserve">Hur regeringen ställer sig till den blivande A-punkten: </w:t>
      </w:r>
      <w:r w:rsidRPr="00185BF0">
        <w:t>Regeringen avser rösta</w:t>
      </w:r>
      <w:r w:rsidR="003D701F">
        <w:t xml:space="preserve"> ja</w:t>
      </w:r>
      <w:r w:rsidR="006C44C4">
        <w:t>.</w:t>
      </w:r>
      <w:r w:rsidRPr="00185BF0">
        <w:t xml:space="preserve"> </w:t>
      </w:r>
    </w:p>
    <w:p w14:paraId="371DAED5" w14:textId="77777777" w:rsidR="00E6448C" w:rsidRDefault="00C46320">
      <w:pPr>
        <w:spacing w:after="280" w:afterAutospacing="1"/>
      </w:pPr>
      <w:r w:rsidRPr="00185BF0">
        <w:rPr>
          <w:b/>
          <w:bCs/>
        </w:rPr>
        <w:t>Bakgrund:</w:t>
      </w:r>
      <w:r w:rsidRPr="00185BF0">
        <w:t xml:space="preserve"> Den 24 oktober 2014 gjorde FN:s säkerhetsråd en uppdatering</w:t>
      </w:r>
      <w:r>
        <w:t xml:space="preserve"> gällande sanktionerna gentemot Somalia. I och med den antagna resolutionen (2182/2014) tillåter FN </w:t>
      </w:r>
      <w:r>
        <w:lastRenderedPageBreak/>
        <w:t xml:space="preserve">att FN:s medlemsstater inspekterar skepp på somaliskt vatten och på öppna havet utanför Somalia, där det finns skäl att tro att man bryter mot förbudet att exportera träkol eller bryter mot sanktionerna gällande att tillhandahålla vapen och militär utrustning till Somalia. I och med säkerhetsrådets resolution bemyndigas länder att göra inspektioner </w:t>
      </w:r>
      <w:proofErr w:type="spellStart"/>
      <w:r>
        <w:t>etc</w:t>
      </w:r>
      <w:proofErr w:type="spellEnd"/>
      <w:r>
        <w:t xml:space="preserve"> (med viss övertagande av kompetens från somaliska myndigheter </w:t>
      </w:r>
      <w:proofErr w:type="spellStart"/>
      <w:r>
        <w:t>resp</w:t>
      </w:r>
      <w:proofErr w:type="spellEnd"/>
      <w:r>
        <w:t xml:space="preserve"> flaggstaten) men man pålägger ingen stat en skyldighet att göra det. Bemyndigandet gäller också när länder samverkar i internationella insatser, exempelvis EUNAVFOR Atalanta utanför Somalias kust. De tvingande element som finns gäller administrativa ting – om länder utnyttjar bemyndigandet så ska de på visst sätt rapportera till sanktionskommittén vad man beslagtagit etc. </w:t>
      </w:r>
    </w:p>
    <w:p w14:paraId="371DAED7" w14:textId="4641A089" w:rsidR="00FB32B9" w:rsidRDefault="00C46320" w:rsidP="003D701F">
      <w:pPr>
        <w:spacing w:after="280" w:afterAutospacing="1"/>
      </w:pPr>
      <w:r>
        <w:t>Det reviderade rådsbeslutet 2010/231/CFSP var föremål för skriftligt samråd med EU-nämnden den 22-23 januari 2015.</w:t>
      </w:r>
    </w:p>
    <w:p w14:paraId="371DAED8" w14:textId="77777777" w:rsidR="00643D86" w:rsidRDefault="00C46320" w:rsidP="00643D86">
      <w:pPr>
        <w:pStyle w:val="Rubrik1"/>
      </w:pPr>
      <w:bookmarkStart w:id="12" w:name="_Toc412112774"/>
      <w:r>
        <w:rPr>
          <w:noProof/>
        </w:rPr>
        <w:t>Council Decision amending and extending Decision 2010/96/CFSP on a European Union military mission to contribute to the training of Somali security forces (EUTM Somalia)</w:t>
      </w:r>
      <w:bookmarkEnd w:id="12"/>
    </w:p>
    <w:p w14:paraId="371DAED9" w14:textId="77777777" w:rsidR="00643D86" w:rsidRDefault="00C46320" w:rsidP="00643D86">
      <w:pPr>
        <w:rPr>
          <w:lang w:val="en-US"/>
        </w:rPr>
      </w:pPr>
      <w:r>
        <w:rPr>
          <w:noProof/>
          <w:lang w:val="en-US"/>
        </w:rPr>
        <w:t>6125</w:t>
      </w:r>
      <w:r>
        <w:rPr>
          <w:lang w:val="en-US"/>
        </w:rPr>
        <w:t>/15 CSDP/PSDC 79 PESC 162 COAFR 59 EUTM SOMALIA 4RELEX 115 CONUN 30 CSC 295875/15 CSDP/PSDC 58 PESC 122 COAFR 40 EUTM SOMALIA 2RELEX 86 CONUN 21 CSC 24</w:t>
      </w:r>
      <w:r>
        <w:rPr>
          <w:lang w:val="en-US"/>
        </w:rPr>
        <w:br/>
      </w:r>
      <w:r>
        <w:rPr>
          <w:noProof/>
          <w:lang w:val="en-US"/>
        </w:rPr>
        <w:t>6125</w:t>
      </w:r>
      <w:r>
        <w:rPr>
          <w:lang w:val="en-US"/>
        </w:rPr>
        <w:t>/15 CSDP/PSDC 79 PESC 162 COAFR 59 EUTM SOMALIA 4RELEX 115 CONUN 30 CSC 295875/15 CSDP/PSDC 58 PESC 122 COAFR 40 EUTM SOMALIA 2RELEX 86 CONUN 21 CSC 24</w:t>
      </w:r>
    </w:p>
    <w:p w14:paraId="371DAEDF" w14:textId="1C617720" w:rsidR="00E6448C" w:rsidRPr="00185BF0" w:rsidRDefault="00C46320" w:rsidP="003A0C9A">
      <w:r>
        <w:rPr>
          <w:b/>
        </w:rPr>
        <w:t>Ansvarigt statsråd</w:t>
      </w:r>
      <w:r w:rsidR="000C3E2D">
        <w:rPr>
          <w:b/>
        </w:rPr>
        <w:t xml:space="preserve">: </w:t>
      </w:r>
      <w:r w:rsidR="000C3E2D" w:rsidRPr="000C3E2D">
        <w:t>Margot Wallström</w:t>
      </w:r>
      <w:r>
        <w:rPr>
          <w:b/>
        </w:rPr>
        <w:br/>
      </w:r>
      <w:r w:rsidRPr="00185BF0">
        <w:rPr>
          <w:b/>
        </w:rPr>
        <w:t>Annotering</w:t>
      </w:r>
      <w:r w:rsidRPr="00185BF0">
        <w:rPr>
          <w:b/>
        </w:rPr>
        <w:br/>
      </w:r>
      <w:r w:rsidRPr="00185BF0">
        <w:rPr>
          <w:b/>
          <w:bCs/>
        </w:rPr>
        <w:t>Avsikt med behandlingen i rådet:</w:t>
      </w:r>
      <w:r w:rsidRPr="00185BF0">
        <w:t xml:space="preserve"> Rådet väntas fatta beslut vid ett kommande ministerrådsmöte om ändring och förlängning av rådsbeslut 2010/96/GUSP om Europeiska unionens militära uppdrag i syfte att bidra till utbildning av somaliska säkerhetsstyrkor, EUTM Somalia.</w:t>
      </w:r>
    </w:p>
    <w:p w14:paraId="371DAEE1" w14:textId="7CAA59EB" w:rsidR="00E6448C" w:rsidRPr="00185BF0" w:rsidRDefault="00C46320">
      <w:pPr>
        <w:spacing w:after="280" w:afterAutospacing="1"/>
      </w:pPr>
      <w:r w:rsidRPr="00185BF0">
        <w:rPr>
          <w:b/>
          <w:bCs/>
        </w:rPr>
        <w:t>Hur regeringen ställer sig till den blivande A-punkten:</w:t>
      </w:r>
      <w:r w:rsidRPr="00185BF0">
        <w:t xml:space="preserve"> Regeringen avser att rösta ja efter planerat regeringsbeslut den 26 februari.</w:t>
      </w:r>
    </w:p>
    <w:p w14:paraId="371DAEE3" w14:textId="3142A78C" w:rsidR="00E6448C" w:rsidRDefault="00C46320">
      <w:pPr>
        <w:spacing w:after="280" w:afterAutospacing="1"/>
      </w:pPr>
      <w:r w:rsidRPr="00185BF0">
        <w:rPr>
          <w:b/>
          <w:bCs/>
        </w:rPr>
        <w:t>Bakgrund</w:t>
      </w:r>
      <w:r w:rsidR="003A0C9A" w:rsidRPr="00185BF0">
        <w:rPr>
          <w:b/>
          <w:bCs/>
        </w:rPr>
        <w:t xml:space="preserve">: </w:t>
      </w:r>
      <w:r w:rsidRPr="00185BF0">
        <w:t>Den 15 februari 2010 antog Europeiska unionens</w:t>
      </w:r>
      <w:r>
        <w:t xml:space="preserve"> råd rådsbeslut 2010/96/GUSP om Europeiska unionens militära uppdrag i syfte att bidra till utbildning av somaliska säkerhetsstyrkor, EUTM Somalia (</w:t>
      </w:r>
      <w:proofErr w:type="spellStart"/>
      <w:r>
        <w:t>European</w:t>
      </w:r>
      <w:proofErr w:type="spellEnd"/>
      <w:r>
        <w:t xml:space="preserve"> Union </w:t>
      </w:r>
      <w:proofErr w:type="spellStart"/>
      <w:r>
        <w:t>Training</w:t>
      </w:r>
      <w:proofErr w:type="spellEnd"/>
      <w:r>
        <w:t xml:space="preserve"> Mission Somalia). Insatsens mandat förlängdes senast den 22 januari 2013 genom rådsbeslut 2013/44/GUSP och löper för närvarande till den 31 mars 2015.</w:t>
      </w:r>
    </w:p>
    <w:p w14:paraId="371DAEE4" w14:textId="77777777" w:rsidR="00E6448C" w:rsidRDefault="00C46320">
      <w:pPr>
        <w:spacing w:after="280" w:afterAutospacing="1"/>
      </w:pPr>
      <w:r>
        <w:t>Rådet väntas nu fatta beslut om ändring och förlängning av rådsbeslut 2010/96/GUSP. Ändring och förlängning av rådsbeslutet innebär ett justerat mandat och en förlängning av insatsen till 31 december 2016.</w:t>
      </w:r>
    </w:p>
    <w:p w14:paraId="371DAEE6" w14:textId="224A78DF" w:rsidR="00FB32B9" w:rsidRDefault="00C46320">
      <w:pPr>
        <w:spacing w:after="280" w:afterAutospacing="1"/>
        <w:rPr>
          <w:noProof/>
        </w:rPr>
      </w:pPr>
      <w:r>
        <w:t xml:space="preserve">Insatsen genomförs i Somalias huvudstad Mogadishu och dess högkvarter är placerat på Mogadishus internationella flygplats. Fram till och med 2014 genomfördes utbildningen i Uganda. </w:t>
      </w:r>
    </w:p>
    <w:p w14:paraId="371DAEE7" w14:textId="77777777" w:rsidR="00643D86" w:rsidRDefault="00C46320" w:rsidP="00643D86">
      <w:pPr>
        <w:pStyle w:val="Rubrik1"/>
      </w:pPr>
      <w:bookmarkStart w:id="13" w:name="_Toc412112775"/>
      <w:r>
        <w:rPr>
          <w:noProof/>
        </w:rPr>
        <w:lastRenderedPageBreak/>
        <w:t>Council Decision concerning the temporary reception by Member States of the European Union of certain Palestinians</w:t>
      </w:r>
      <w:bookmarkEnd w:id="13"/>
    </w:p>
    <w:p w14:paraId="371DAEE8" w14:textId="77777777" w:rsidR="00643D86" w:rsidRDefault="00C46320" w:rsidP="00643D86">
      <w:pPr>
        <w:rPr>
          <w:lang w:val="en-US"/>
        </w:rPr>
      </w:pPr>
      <w:r>
        <w:rPr>
          <w:noProof/>
          <w:lang w:val="en-US"/>
        </w:rPr>
        <w:t>6124</w:t>
      </w:r>
      <w:r>
        <w:rPr>
          <w:lang w:val="en-US"/>
        </w:rPr>
        <w:t>/15 PESC 161 COMEP 35913/15 PESC 126 COMEP 2</w:t>
      </w:r>
      <w:r>
        <w:rPr>
          <w:lang w:val="en-US"/>
        </w:rPr>
        <w:br/>
      </w:r>
      <w:r>
        <w:rPr>
          <w:noProof/>
          <w:lang w:val="en-US"/>
        </w:rPr>
        <w:t>6124</w:t>
      </w:r>
      <w:r>
        <w:rPr>
          <w:lang w:val="en-US"/>
        </w:rPr>
        <w:t>/15 PESC 161 COMEP 35913/15 PESC 126 COMEP 2</w:t>
      </w:r>
    </w:p>
    <w:p w14:paraId="371DAEE9" w14:textId="77777777" w:rsidR="00643D86" w:rsidRDefault="00C46320" w:rsidP="00643D86">
      <w:r>
        <w:rPr>
          <w:b/>
        </w:rPr>
        <w:t>Ansvarigt statsråd</w:t>
      </w:r>
      <w:r>
        <w:rPr>
          <w:b/>
        </w:rPr>
        <w:br/>
      </w:r>
      <w:r>
        <w:rPr>
          <w:noProof/>
        </w:rPr>
        <w:t>Margot Wallström</w:t>
      </w:r>
    </w:p>
    <w:p w14:paraId="371DAEEB" w14:textId="77777777" w:rsidR="00643D86" w:rsidRPr="00643D86" w:rsidRDefault="00C46320" w:rsidP="00643D86">
      <w:r w:rsidRPr="00643D86">
        <w:rPr>
          <w:b/>
        </w:rPr>
        <w:t>Tidigare behandling vid rådsmöte</w:t>
      </w:r>
      <w:r>
        <w:rPr>
          <w:b/>
        </w:rPr>
        <w:br/>
      </w:r>
      <w:r>
        <w:rPr>
          <w:noProof/>
        </w:rPr>
        <w:t>2002-05-21</w:t>
      </w:r>
    </w:p>
    <w:p w14:paraId="371DAEEE" w14:textId="65BE4E76" w:rsidR="00E6448C" w:rsidRDefault="00C46320" w:rsidP="00185BF0">
      <w:r w:rsidRPr="00B44CE2">
        <w:rPr>
          <w:b/>
        </w:rPr>
        <w:t>Annotering</w:t>
      </w:r>
      <w:r>
        <w:rPr>
          <w:b/>
        </w:rPr>
        <w:br/>
      </w:r>
      <w:r>
        <w:rPr>
          <w:b/>
          <w:bCs/>
        </w:rPr>
        <w:t>Avsikt med behandlingen i rådet:</w:t>
      </w:r>
      <w:r>
        <w:t xml:space="preserve"> Anta rådets beslut om förlängning av tillfälligt mottagande av medlemsstaterna i Europeiska unionen av vissa palestinier.</w:t>
      </w:r>
    </w:p>
    <w:p w14:paraId="371DAEF0" w14:textId="49E66D41" w:rsidR="00E6448C" w:rsidRDefault="00C46320">
      <w:pPr>
        <w:spacing w:after="280" w:afterAutospacing="1"/>
      </w:pPr>
      <w:r>
        <w:rPr>
          <w:b/>
          <w:bCs/>
        </w:rPr>
        <w:t>Hur regeringen ställer sig till den blivande A-punkten:</w:t>
      </w:r>
      <w:r>
        <w:t xml:space="preserve"> Regeringen avser rösta ja. </w:t>
      </w:r>
    </w:p>
    <w:p w14:paraId="371DAEF2" w14:textId="4E82521F" w:rsidR="00E6448C" w:rsidRDefault="00C46320">
      <w:pPr>
        <w:spacing w:after="280" w:afterAutospacing="1"/>
      </w:pPr>
      <w:r>
        <w:rPr>
          <w:b/>
          <w:bCs/>
        </w:rPr>
        <w:t>Bakgrund:</w:t>
      </w:r>
      <w:r w:rsidR="00185BF0">
        <w:rPr>
          <w:b/>
          <w:bCs/>
        </w:rPr>
        <w:t xml:space="preserve"> </w:t>
      </w:r>
      <w:r>
        <w:t>Den 21 maj 2002 antog rådet gemensam ståndpunkt 2002/</w:t>
      </w:r>
      <w:proofErr w:type="gramStart"/>
      <w:r>
        <w:t>400 / GUSP</w:t>
      </w:r>
      <w:proofErr w:type="gramEnd"/>
      <w:r>
        <w:t xml:space="preserve"> om tillfälligt mottagande i medlemsstaterna i Europeiska unionen av vissa palestinier, som skulle utfärdas nationella tillstånd att komma in och stanna på deras territorium. Rådet föreslås nu förlänga beslutet i 12 månader.</w:t>
      </w:r>
    </w:p>
    <w:p w14:paraId="371DAEF4" w14:textId="77777777" w:rsidR="00643D86" w:rsidRDefault="00C46320" w:rsidP="00643D86">
      <w:pPr>
        <w:pStyle w:val="Rubrik1"/>
      </w:pPr>
      <w:bookmarkStart w:id="14" w:name="_Toc412112776"/>
      <w:r>
        <w:rPr>
          <w:noProof/>
        </w:rPr>
        <w:t>Council Decision extending the mandate of the European Union Special Representative for the South Caucasus and the crisis in Georgia</w:t>
      </w:r>
      <w:bookmarkEnd w:id="14"/>
    </w:p>
    <w:p w14:paraId="371DAEF5" w14:textId="77777777" w:rsidR="00643D86" w:rsidRDefault="00C46320" w:rsidP="00643D86">
      <w:pPr>
        <w:rPr>
          <w:lang w:val="en-US"/>
        </w:rPr>
      </w:pPr>
      <w:r>
        <w:rPr>
          <w:lang w:val="en-US"/>
        </w:rPr>
        <w:br/>
      </w:r>
      <w:r>
        <w:rPr>
          <w:noProof/>
          <w:lang w:val="en-US"/>
        </w:rPr>
        <w:t>6271</w:t>
      </w:r>
      <w:r>
        <w:rPr>
          <w:lang w:val="en-US"/>
        </w:rPr>
        <w:t>/15 PESC 183 COEST 62 CSDP/PSDC 91 CSC 39</w:t>
      </w:r>
    </w:p>
    <w:p w14:paraId="371DAEF6" w14:textId="77777777" w:rsidR="00643D86" w:rsidRDefault="00C46320" w:rsidP="00643D86">
      <w:pPr>
        <w:rPr>
          <w:lang w:val="en-US"/>
        </w:rPr>
      </w:pPr>
      <w:r>
        <w:rPr>
          <w:lang w:val="en-US"/>
        </w:rPr>
        <w:t>5723/15 PESC 97 COEST 34 CSDP/PSDC 46 CSC 20</w:t>
      </w:r>
    </w:p>
    <w:p w14:paraId="371DAEF7" w14:textId="77777777" w:rsidR="00643D86" w:rsidRDefault="00C46320" w:rsidP="00643D86">
      <w:r>
        <w:rPr>
          <w:b/>
        </w:rPr>
        <w:t>Ansvarigt statsråd</w:t>
      </w:r>
      <w:r>
        <w:rPr>
          <w:b/>
        </w:rPr>
        <w:br/>
      </w:r>
      <w:r>
        <w:rPr>
          <w:noProof/>
        </w:rPr>
        <w:t>Margot Wallström</w:t>
      </w:r>
    </w:p>
    <w:p w14:paraId="371DAEFB" w14:textId="4B683645" w:rsidR="00E6448C" w:rsidRDefault="00C46320" w:rsidP="00185BF0">
      <w:r w:rsidRPr="00B44CE2">
        <w:rPr>
          <w:b/>
        </w:rPr>
        <w:t>Annotering</w:t>
      </w:r>
      <w:r>
        <w:rPr>
          <w:b/>
        </w:rPr>
        <w:br/>
      </w:r>
      <w:r>
        <w:rPr>
          <w:b/>
          <w:bCs/>
        </w:rPr>
        <w:t>Avsikt med behandlingen i rådet:</w:t>
      </w:r>
      <w:r>
        <w:t xml:space="preserve"> Rådet föreslås fatta beslut om </w:t>
      </w:r>
      <w:r w:rsidR="00185BF0">
        <w:t>förlängning</w:t>
      </w:r>
      <w:r>
        <w:t xml:space="preserve"> av mandatet för EUSR för Södra Kaukasien och krisen i Georgien till 31 oktober 2015. </w:t>
      </w:r>
    </w:p>
    <w:p w14:paraId="371DAEFD" w14:textId="4846E39A" w:rsidR="00E6448C" w:rsidRDefault="00C46320">
      <w:pPr>
        <w:spacing w:after="280" w:afterAutospacing="1"/>
      </w:pPr>
      <w:r>
        <w:rPr>
          <w:b/>
          <w:bCs/>
        </w:rPr>
        <w:t>Hur regeringen ställer sig till den blivande A-punkten:</w:t>
      </w:r>
      <w:r>
        <w:t xml:space="preserve"> Regeringen avser rösta ja till antagandet av rådsbeslutet. </w:t>
      </w:r>
    </w:p>
    <w:p w14:paraId="371DAEFF" w14:textId="78955FF3" w:rsidR="00E6448C" w:rsidRDefault="00C46320">
      <w:pPr>
        <w:spacing w:after="280" w:afterAutospacing="1"/>
      </w:pPr>
      <w:r>
        <w:rPr>
          <w:b/>
          <w:bCs/>
        </w:rPr>
        <w:t>Bakgrund:</w:t>
      </w:r>
      <w:r w:rsidR="00185BF0">
        <w:rPr>
          <w:b/>
          <w:bCs/>
        </w:rPr>
        <w:t xml:space="preserve"> </w:t>
      </w:r>
      <w:r>
        <w:t xml:space="preserve">Den 8 juli 2014 utsågs Herbert </w:t>
      </w:r>
      <w:proofErr w:type="spellStart"/>
      <w:r>
        <w:t>Salber</w:t>
      </w:r>
      <w:proofErr w:type="spellEnd"/>
      <w:r>
        <w:t xml:space="preserve"> till EUSR för Södra Kaukasien och krisen i Georgien. Mandatet löper ut den 28 februari 2015. Mandatet föreslås förlängas med åtta månader, till den 31 oktober 2015. Motsvarande åtta månaders förlängningar sker för de flesta EUSR, för att ge tid åt en samlad översyn av EUSR-instrumentet till dess.</w:t>
      </w:r>
    </w:p>
    <w:p w14:paraId="371DAF00" w14:textId="77777777" w:rsidR="00FB32B9" w:rsidRDefault="00E335DF">
      <w:pPr>
        <w:spacing w:after="280" w:afterAutospacing="1"/>
        <w:rPr>
          <w:noProof/>
        </w:rPr>
      </w:pPr>
    </w:p>
    <w:bookmarkEnd w:id="2"/>
    <w:p w14:paraId="371DAF01" w14:textId="77777777" w:rsidR="00643D86" w:rsidRPr="00643D86" w:rsidRDefault="00E335DF" w:rsidP="00643D86">
      <w:pPr>
        <w:ind w:left="0"/>
        <w:rPr>
          <w:lang w:val="en-US"/>
        </w:rPr>
      </w:pPr>
    </w:p>
    <w:sectPr w:rsidR="00643D86" w:rsidRPr="00643D86" w:rsidSect="006E71D7">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089A1" w14:textId="77777777" w:rsidR="005F1BAC" w:rsidRDefault="005F1BAC">
      <w:pPr>
        <w:spacing w:after="0" w:line="240" w:lineRule="auto"/>
      </w:pPr>
      <w:r>
        <w:separator/>
      </w:r>
    </w:p>
  </w:endnote>
  <w:endnote w:type="continuationSeparator" w:id="0">
    <w:p w14:paraId="57FC50EF" w14:textId="77777777" w:rsidR="005F1BAC" w:rsidRDefault="005F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593192"/>
      <w:docPartObj>
        <w:docPartGallery w:val="Page Numbers (Bottom of Page)"/>
        <w:docPartUnique/>
      </w:docPartObj>
    </w:sdtPr>
    <w:sdtEndPr/>
    <w:sdtContent>
      <w:p w14:paraId="6CA2674A" w14:textId="0DF11863" w:rsidR="003D701F" w:rsidRDefault="003D701F">
        <w:pPr>
          <w:pStyle w:val="Sidfot"/>
          <w:jc w:val="right"/>
        </w:pPr>
        <w:r>
          <w:fldChar w:fldCharType="begin"/>
        </w:r>
        <w:r>
          <w:instrText>PAGE   \* MERGEFORMAT</w:instrText>
        </w:r>
        <w:r>
          <w:fldChar w:fldCharType="separate"/>
        </w:r>
        <w:r w:rsidR="00E335DF">
          <w:rPr>
            <w:noProof/>
          </w:rPr>
          <w:t>10</w:t>
        </w:r>
        <w:r>
          <w:fldChar w:fldCharType="end"/>
        </w:r>
      </w:p>
    </w:sdtContent>
  </w:sdt>
  <w:p w14:paraId="535E99CA" w14:textId="77777777" w:rsidR="003D701F" w:rsidRDefault="003D701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B1915" w14:textId="77777777" w:rsidR="005F1BAC" w:rsidRDefault="005F1BAC">
      <w:pPr>
        <w:spacing w:after="0" w:line="240" w:lineRule="auto"/>
      </w:pPr>
      <w:r>
        <w:separator/>
      </w:r>
    </w:p>
  </w:footnote>
  <w:footnote w:type="continuationSeparator" w:id="0">
    <w:p w14:paraId="661E3691" w14:textId="77777777" w:rsidR="005F1BAC" w:rsidRDefault="005F1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DAF02" w14:textId="77777777" w:rsidR="006E71D7" w:rsidRDefault="00E335DF" w:rsidP="006E71D7">
    <w:pPr>
      <w:pStyle w:val="Sidhuvud"/>
      <w:ind w:left="0"/>
    </w:pPr>
  </w:p>
  <w:p w14:paraId="371DAF03" w14:textId="77777777" w:rsidR="006F1C0D" w:rsidRDefault="00E335D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6448C" w14:paraId="371DAF09" w14:textId="77777777" w:rsidTr="006E71D7">
      <w:tc>
        <w:tcPr>
          <w:tcW w:w="4606" w:type="dxa"/>
        </w:tcPr>
        <w:p w14:paraId="371DAF04" w14:textId="77777777" w:rsidR="006E71D7" w:rsidRDefault="00C46320" w:rsidP="00752770">
          <w:pPr>
            <w:pStyle w:val="Sidhuvud"/>
            <w:ind w:left="0"/>
          </w:pPr>
          <w:r>
            <w:rPr>
              <w:noProof/>
              <w:lang w:eastAsia="sv-SE"/>
            </w:rPr>
            <w:drawing>
              <wp:inline distT="0" distB="0" distL="0" distR="0" wp14:anchorId="371DAF0F" wp14:editId="371DAF1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71DAF05" w14:textId="77777777" w:rsidR="00FB32B9" w:rsidRDefault="00E335DF" w:rsidP="00FB32B9">
          <w:pPr>
            <w:ind w:right="916"/>
            <w:rPr>
              <w:rFonts w:ascii="TradeGothic" w:hAnsi="TradeGothic"/>
              <w:b/>
            </w:rPr>
          </w:pPr>
        </w:p>
        <w:p w14:paraId="371DAF06" w14:textId="77777777" w:rsidR="00FB32B9" w:rsidRDefault="00C46320" w:rsidP="00FB32B9">
          <w:pPr>
            <w:ind w:right="916"/>
          </w:pPr>
          <w:r>
            <w:rPr>
              <w:rFonts w:ascii="TradeGothic" w:hAnsi="TradeGothic"/>
              <w:b/>
            </w:rPr>
            <w:t>Promemoria</w:t>
          </w:r>
        </w:p>
        <w:p w14:paraId="371DAF07" w14:textId="77777777" w:rsidR="00FB32B9" w:rsidRDefault="00E335DF" w:rsidP="00FB32B9">
          <w:pPr>
            <w:jc w:val="right"/>
          </w:pPr>
        </w:p>
        <w:p w14:paraId="371DAF08" w14:textId="77777777" w:rsidR="006E71D7" w:rsidRDefault="00C46320" w:rsidP="00FB32B9">
          <w:pPr>
            <w:ind w:right="916"/>
          </w:pPr>
          <w:r>
            <w:rPr>
              <w:rFonts w:ascii="TradeGothic" w:hAnsi="TradeGothic"/>
              <w:b/>
              <w:noProof/>
            </w:rPr>
            <w:t>2015-02-19</w:t>
          </w:r>
          <w:r w:rsidRPr="00934953">
            <w:t xml:space="preserve"> </w:t>
          </w:r>
        </w:p>
      </w:tc>
    </w:tr>
  </w:tbl>
  <w:p w14:paraId="371DAF0A" w14:textId="77777777" w:rsidR="00FB32B9" w:rsidRDefault="00E335DF" w:rsidP="00FB32B9">
    <w:pPr>
      <w:pStyle w:val="Avsndare"/>
      <w:framePr w:w="0" w:hRule="auto" w:hSpace="0" w:wrap="auto" w:vAnchor="margin" w:hAnchor="text" w:xAlign="left" w:yAlign="inline"/>
      <w:rPr>
        <w:b/>
        <w:i w:val="0"/>
        <w:sz w:val="22"/>
      </w:rPr>
    </w:pPr>
  </w:p>
  <w:p w14:paraId="371DAF0B" w14:textId="77777777" w:rsidR="00FB32B9" w:rsidRDefault="00C46320" w:rsidP="00FB32B9">
    <w:pPr>
      <w:pStyle w:val="Avsndare"/>
      <w:framePr w:w="0" w:hRule="auto" w:hSpace="0" w:wrap="auto" w:vAnchor="margin" w:hAnchor="text" w:xAlign="left" w:yAlign="inline"/>
      <w:rPr>
        <w:b/>
        <w:i w:val="0"/>
        <w:sz w:val="22"/>
      </w:rPr>
    </w:pPr>
    <w:r>
      <w:rPr>
        <w:b/>
        <w:i w:val="0"/>
        <w:sz w:val="22"/>
      </w:rPr>
      <w:t>Statsrådsberedningen</w:t>
    </w:r>
  </w:p>
  <w:p w14:paraId="371DAF0C" w14:textId="77777777" w:rsidR="00FB32B9" w:rsidRDefault="00E335DF" w:rsidP="00FB32B9">
    <w:pPr>
      <w:pStyle w:val="Avsndare"/>
      <w:framePr w:w="0" w:hRule="auto" w:hSpace="0" w:wrap="auto" w:vAnchor="margin" w:hAnchor="text" w:xAlign="left" w:yAlign="inline"/>
    </w:pPr>
  </w:p>
  <w:p w14:paraId="371DAF0D" w14:textId="77777777" w:rsidR="00FB32B9" w:rsidRDefault="00C46320" w:rsidP="00FB32B9">
    <w:pPr>
      <w:pStyle w:val="Avsndare"/>
      <w:framePr w:w="0" w:hRule="auto" w:hSpace="0" w:wrap="auto" w:vAnchor="margin" w:hAnchor="text" w:xAlign="left" w:yAlign="inline"/>
    </w:pPr>
    <w:r>
      <w:t>EU-kansliet</w:t>
    </w:r>
  </w:p>
  <w:p w14:paraId="371DAF0E" w14:textId="77777777" w:rsidR="0012376B" w:rsidRDefault="00E335D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1A2C7B74">
      <w:start w:val="1"/>
      <w:numFmt w:val="decimal"/>
      <w:pStyle w:val="Rubrik1"/>
      <w:lvlText w:val="%1."/>
      <w:lvlJc w:val="left"/>
      <w:pPr>
        <w:ind w:left="720" w:hanging="360"/>
      </w:pPr>
    </w:lvl>
    <w:lvl w:ilvl="1" w:tplc="A56E0EE4" w:tentative="1">
      <w:start w:val="1"/>
      <w:numFmt w:val="lowerLetter"/>
      <w:lvlText w:val="%2."/>
      <w:lvlJc w:val="left"/>
      <w:pPr>
        <w:ind w:left="1440" w:hanging="360"/>
      </w:pPr>
    </w:lvl>
    <w:lvl w:ilvl="2" w:tplc="C0C60306" w:tentative="1">
      <w:start w:val="1"/>
      <w:numFmt w:val="lowerRoman"/>
      <w:lvlText w:val="%3."/>
      <w:lvlJc w:val="right"/>
      <w:pPr>
        <w:ind w:left="2160" w:hanging="180"/>
      </w:pPr>
    </w:lvl>
    <w:lvl w:ilvl="3" w:tplc="55AAD2A4" w:tentative="1">
      <w:start w:val="1"/>
      <w:numFmt w:val="decimal"/>
      <w:lvlText w:val="%4."/>
      <w:lvlJc w:val="left"/>
      <w:pPr>
        <w:ind w:left="2880" w:hanging="360"/>
      </w:pPr>
    </w:lvl>
    <w:lvl w:ilvl="4" w:tplc="58ECE964" w:tentative="1">
      <w:start w:val="1"/>
      <w:numFmt w:val="lowerLetter"/>
      <w:lvlText w:val="%5."/>
      <w:lvlJc w:val="left"/>
      <w:pPr>
        <w:ind w:left="3600" w:hanging="360"/>
      </w:pPr>
    </w:lvl>
    <w:lvl w:ilvl="5" w:tplc="204427D4" w:tentative="1">
      <w:start w:val="1"/>
      <w:numFmt w:val="lowerRoman"/>
      <w:lvlText w:val="%6."/>
      <w:lvlJc w:val="right"/>
      <w:pPr>
        <w:ind w:left="4320" w:hanging="180"/>
      </w:pPr>
    </w:lvl>
    <w:lvl w:ilvl="6" w:tplc="3C6AFDD8" w:tentative="1">
      <w:start w:val="1"/>
      <w:numFmt w:val="decimal"/>
      <w:lvlText w:val="%7."/>
      <w:lvlJc w:val="left"/>
      <w:pPr>
        <w:ind w:left="5040" w:hanging="360"/>
      </w:pPr>
    </w:lvl>
    <w:lvl w:ilvl="7" w:tplc="FE6884EE" w:tentative="1">
      <w:start w:val="1"/>
      <w:numFmt w:val="lowerLetter"/>
      <w:lvlText w:val="%8."/>
      <w:lvlJc w:val="left"/>
      <w:pPr>
        <w:ind w:left="5760" w:hanging="360"/>
      </w:pPr>
    </w:lvl>
    <w:lvl w:ilvl="8" w:tplc="22207770" w:tentative="1">
      <w:start w:val="1"/>
      <w:numFmt w:val="lowerRoman"/>
      <w:lvlText w:val="%9."/>
      <w:lvlJc w:val="right"/>
      <w:pPr>
        <w:ind w:left="6480" w:hanging="180"/>
      </w:pPr>
    </w:lvl>
  </w:abstractNum>
  <w:abstractNum w:abstractNumId="1">
    <w:nsid w:val="73990993"/>
    <w:multiLevelType w:val="hybridMultilevel"/>
    <w:tmpl w:val="3BD822EE"/>
    <w:lvl w:ilvl="0" w:tplc="CE16CC4A">
      <w:start w:val="1"/>
      <w:numFmt w:val="decimal"/>
      <w:lvlText w:val="%1."/>
      <w:lvlJc w:val="left"/>
      <w:pPr>
        <w:ind w:left="360" w:hanging="360"/>
      </w:pPr>
      <w:rPr>
        <w:b w:val="0"/>
      </w:rPr>
    </w:lvl>
    <w:lvl w:ilvl="1" w:tplc="A6F82A18" w:tentative="1">
      <w:start w:val="1"/>
      <w:numFmt w:val="lowerLetter"/>
      <w:lvlText w:val="%2."/>
      <w:lvlJc w:val="left"/>
      <w:pPr>
        <w:ind w:left="1080" w:hanging="360"/>
      </w:pPr>
    </w:lvl>
    <w:lvl w:ilvl="2" w:tplc="5FBE8A8E" w:tentative="1">
      <w:start w:val="1"/>
      <w:numFmt w:val="lowerRoman"/>
      <w:lvlText w:val="%3."/>
      <w:lvlJc w:val="right"/>
      <w:pPr>
        <w:ind w:left="1800" w:hanging="180"/>
      </w:pPr>
    </w:lvl>
    <w:lvl w:ilvl="3" w:tplc="CF28E498" w:tentative="1">
      <w:start w:val="1"/>
      <w:numFmt w:val="decimal"/>
      <w:lvlText w:val="%4."/>
      <w:lvlJc w:val="left"/>
      <w:pPr>
        <w:ind w:left="2520" w:hanging="360"/>
      </w:pPr>
    </w:lvl>
    <w:lvl w:ilvl="4" w:tplc="3D0C4020" w:tentative="1">
      <w:start w:val="1"/>
      <w:numFmt w:val="lowerLetter"/>
      <w:lvlText w:val="%5."/>
      <w:lvlJc w:val="left"/>
      <w:pPr>
        <w:ind w:left="3240" w:hanging="360"/>
      </w:pPr>
    </w:lvl>
    <w:lvl w:ilvl="5" w:tplc="86AE3500" w:tentative="1">
      <w:start w:val="1"/>
      <w:numFmt w:val="lowerRoman"/>
      <w:lvlText w:val="%6."/>
      <w:lvlJc w:val="right"/>
      <w:pPr>
        <w:ind w:left="3960" w:hanging="180"/>
      </w:pPr>
    </w:lvl>
    <w:lvl w:ilvl="6" w:tplc="87A2B0C2" w:tentative="1">
      <w:start w:val="1"/>
      <w:numFmt w:val="decimal"/>
      <w:lvlText w:val="%7."/>
      <w:lvlJc w:val="left"/>
      <w:pPr>
        <w:ind w:left="4680" w:hanging="360"/>
      </w:pPr>
    </w:lvl>
    <w:lvl w:ilvl="7" w:tplc="7AD82000" w:tentative="1">
      <w:start w:val="1"/>
      <w:numFmt w:val="lowerLetter"/>
      <w:lvlText w:val="%8."/>
      <w:lvlJc w:val="left"/>
      <w:pPr>
        <w:ind w:left="5400" w:hanging="360"/>
      </w:pPr>
    </w:lvl>
    <w:lvl w:ilvl="8" w:tplc="00946CB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8C"/>
    <w:rsid w:val="000C3E2D"/>
    <w:rsid w:val="00185BF0"/>
    <w:rsid w:val="00343A8D"/>
    <w:rsid w:val="003A0C9A"/>
    <w:rsid w:val="003D701F"/>
    <w:rsid w:val="00560937"/>
    <w:rsid w:val="005F1BAC"/>
    <w:rsid w:val="006C44C4"/>
    <w:rsid w:val="007F6FA4"/>
    <w:rsid w:val="0089088D"/>
    <w:rsid w:val="00925E20"/>
    <w:rsid w:val="00A57C2A"/>
    <w:rsid w:val="00C46320"/>
    <w:rsid w:val="00DB0ABC"/>
    <w:rsid w:val="00DF5636"/>
    <w:rsid w:val="00E335DF"/>
    <w:rsid w:val="00E64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AE46"/>
  <w15:docId w15:val="{E5F3E947-9C60-486B-B191-32893B79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JE6N4JFJXNNF-9-66677</_dlc_DocId>
    <_dlc_DocIdUrl xmlns="8b66ae41-1ec6-402e-b662-35d1932ca064">
      <Url>http://rkdhs-sb/enhet/EUKansli/_layouts/DocIdRedir.aspx?ID=JE6N4JFJXNNF-9-66677</Url>
      <Description>JE6N4JFJXNNF-9-66677</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4681C-FD2A-48D9-BEAE-9A74921F7571}">
  <ds:schemaRefs>
    <ds:schemaRef ds:uri="http://schemas.microsoft.com/sharepoint/v3/contenttype/forms"/>
  </ds:schemaRefs>
</ds:datastoreItem>
</file>

<file path=customXml/itemProps2.xml><?xml version="1.0" encoding="utf-8"?>
<ds:datastoreItem xmlns:ds="http://schemas.openxmlformats.org/officeDocument/2006/customXml" ds:itemID="{830791C9-50DA-4321-BAA8-72C2C4AE003D}">
  <ds:schemaRefs>
    <ds:schemaRef ds:uri="http://schemas.microsoft.com/office/2006/documentManagement/types"/>
    <ds:schemaRef ds:uri="http://schemas.microsoft.com/office/2006/metadata/properties"/>
    <ds:schemaRef ds:uri="e4c0beb7-0294-4d25-9600-346807c0961e"/>
    <ds:schemaRef ds:uri="8b66ae41-1ec6-402e-b662-35d1932ca064"/>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BD2D428-35DB-433E-ABC9-706D4919969A}">
  <ds:schemaRefs>
    <ds:schemaRef ds:uri="http://schemas.microsoft.com/sharepoint/v3/contenttype/forms/url"/>
  </ds:schemaRefs>
</ds:datastoreItem>
</file>

<file path=customXml/itemProps4.xml><?xml version="1.0" encoding="utf-8"?>
<ds:datastoreItem xmlns:ds="http://schemas.openxmlformats.org/officeDocument/2006/customXml" ds:itemID="{20A617BA-F919-44A4-9A34-3374806AD2E3}">
  <ds:schemaRefs>
    <ds:schemaRef ds:uri="http://schemas.microsoft.com/office/2006/metadata/customXsn"/>
  </ds:schemaRefs>
</ds:datastoreItem>
</file>

<file path=customXml/itemProps5.xml><?xml version="1.0" encoding="utf-8"?>
<ds:datastoreItem xmlns:ds="http://schemas.openxmlformats.org/officeDocument/2006/customXml" ds:itemID="{1DB5AA40-0699-4CB7-9BBF-E07F90381B15}">
  <ds:schemaRefs>
    <ds:schemaRef ds:uri="http://schemas.microsoft.com/sharepoint/events"/>
  </ds:schemaRefs>
</ds:datastoreItem>
</file>

<file path=customXml/itemProps6.xml><?xml version="1.0" encoding="utf-8"?>
<ds:datastoreItem xmlns:ds="http://schemas.openxmlformats.org/officeDocument/2006/customXml" ds:itemID="{8CFE8F4B-37B0-4D58-8856-5A506CD5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6382FE1-3B39-4B98-B065-535C4C19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3734</Words>
  <Characters>19794</Characters>
  <Application>Microsoft Office Word</Application>
  <DocSecurity>4</DocSecurity>
  <Lines>164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2015-02-19T12:04:00Z</dcterms:created>
  <dcterms:modified xsi:type="dcterms:W3CDTF">2015-02-19T12:04:00Z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sofia.wennerstrand@regeringskansliet.se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248dbc22-8e37-4494-97d9-1d407552ee3f</vt:lpwstr>
  </property>
</Properties>
</file>