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A82E61">
              <w:rPr>
                <w:b/>
              </w:rPr>
              <w:t>61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A82E61">
              <w:t>05-25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2C065C">
              <w:t>3</w:t>
            </w:r>
            <w:r w:rsidR="00FB3CAB">
              <w:t>0-</w:t>
            </w:r>
            <w:r w:rsidR="00974220">
              <w:t>11.26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61C12" w:rsidRDefault="00761C12" w:rsidP="0096348C">
      <w:pPr>
        <w:tabs>
          <w:tab w:val="left" w:pos="1701"/>
        </w:tabs>
        <w:rPr>
          <w:snapToGrid w:val="0"/>
          <w:color w:val="000000"/>
        </w:rPr>
      </w:pPr>
    </w:p>
    <w:p w:rsidR="00F01354" w:rsidRDefault="00F0135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796"/>
      </w:tblGrid>
      <w:tr w:rsidR="00717F37" w:rsidTr="00A82E61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796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="00EC34B7" w:rsidRPr="00EC34B7">
              <w:rPr>
                <w:snapToGrid w:val="0"/>
                <w:szCs w:val="24"/>
              </w:rPr>
              <w:t xml:space="preserve">Gunilla Carlsson (S), </w:t>
            </w:r>
            <w:r w:rsidR="00EC34B7">
              <w:rPr>
                <w:snapToGrid w:val="0"/>
                <w:szCs w:val="24"/>
              </w:rPr>
              <w:t>Ingela Nylund Watz (S), Ingemar Nilsson (S), Eva Lindh (S)</w:t>
            </w:r>
            <w:r w:rsidR="003A30CA">
              <w:rPr>
                <w:snapToGrid w:val="0"/>
                <w:szCs w:val="24"/>
              </w:rPr>
              <w:t>,</w:t>
            </w:r>
            <w:r w:rsidR="00EC34B7">
              <w:rPr>
                <w:snapToGrid w:val="0"/>
                <w:szCs w:val="24"/>
              </w:rPr>
              <w:t xml:space="preserve"> </w:t>
            </w:r>
            <w:r w:rsidR="0075384A" w:rsidRPr="00EC34B7">
              <w:rPr>
                <w:szCs w:val="24"/>
              </w:rPr>
              <w:t xml:space="preserve">Elisabeth Svantesson (M), </w:t>
            </w:r>
            <w:r w:rsidR="000E3445" w:rsidRPr="00EC34B7">
              <w:rPr>
                <w:snapToGrid w:val="0"/>
                <w:szCs w:val="24"/>
              </w:rPr>
              <w:t>Edward Riedl (M), Jan Ericson (M),</w:t>
            </w:r>
            <w:r w:rsidR="00EC34B7">
              <w:rPr>
                <w:snapToGrid w:val="0"/>
                <w:szCs w:val="24"/>
              </w:rPr>
              <w:t xml:space="preserve"> Magdalena Schröder (M), </w:t>
            </w:r>
            <w:r w:rsidR="00EC34B7" w:rsidRPr="00EC34B7">
              <w:rPr>
                <w:snapToGrid w:val="0"/>
                <w:szCs w:val="24"/>
              </w:rPr>
              <w:t xml:space="preserve">Sofia Westergren (M), </w:t>
            </w:r>
            <w:r w:rsidR="000E3445" w:rsidRPr="00EC34B7">
              <w:rPr>
                <w:snapToGrid w:val="0"/>
                <w:szCs w:val="24"/>
              </w:rPr>
              <w:t>Dennis Dioukarev (SD),</w:t>
            </w:r>
            <w:r w:rsidR="00EC34B7">
              <w:rPr>
                <w:snapToGrid w:val="0"/>
                <w:szCs w:val="24"/>
              </w:rPr>
              <w:t xml:space="preserve"> Emil Källström (C), </w:t>
            </w:r>
            <w:r w:rsidR="0075384A" w:rsidRPr="00EC34B7">
              <w:rPr>
                <w:snapToGrid w:val="0"/>
                <w:szCs w:val="24"/>
              </w:rPr>
              <w:t xml:space="preserve">Lars Thomsson (C), </w:t>
            </w:r>
            <w:r w:rsidR="00EC34B7">
              <w:rPr>
                <w:snapToGrid w:val="0"/>
                <w:szCs w:val="24"/>
              </w:rPr>
              <w:t xml:space="preserve">Ulla Andersson (V), </w:t>
            </w:r>
            <w:r w:rsidR="000E3445" w:rsidRPr="00EC34B7">
              <w:rPr>
                <w:snapToGrid w:val="0"/>
                <w:szCs w:val="24"/>
              </w:rPr>
              <w:t>Ilona Szatmari Waldau (V)</w:t>
            </w:r>
            <w:r w:rsidR="00EC34B7" w:rsidRPr="00EC34B7">
              <w:rPr>
                <w:snapToGrid w:val="0"/>
                <w:szCs w:val="24"/>
              </w:rPr>
              <w:t xml:space="preserve">, </w:t>
            </w:r>
            <w:r w:rsidR="00EC34B7">
              <w:rPr>
                <w:snapToGrid w:val="0"/>
                <w:szCs w:val="24"/>
              </w:rPr>
              <w:t xml:space="preserve">Jakob Forssmed (KD), </w:t>
            </w:r>
            <w:r w:rsidR="000E3445" w:rsidRPr="00EC34B7">
              <w:rPr>
                <w:snapToGrid w:val="0"/>
                <w:szCs w:val="24"/>
              </w:rPr>
              <w:t>Robert Halef (KD)</w:t>
            </w:r>
            <w:r w:rsidR="00EC34B7">
              <w:rPr>
                <w:snapToGrid w:val="0"/>
                <w:szCs w:val="24"/>
              </w:rPr>
              <w:t xml:space="preserve">, </w:t>
            </w:r>
            <w:r w:rsidR="00EC34B7" w:rsidRPr="00EC34B7">
              <w:rPr>
                <w:snapToGrid w:val="0"/>
                <w:szCs w:val="24"/>
              </w:rPr>
              <w:t>Mats Persson (L)</w:t>
            </w:r>
            <w:r w:rsidR="00EC34B7">
              <w:rPr>
                <w:snapToGrid w:val="0"/>
                <w:szCs w:val="24"/>
              </w:rPr>
              <w:t xml:space="preserve"> </w:t>
            </w:r>
            <w:r w:rsidR="00EC34B7" w:rsidRPr="00EC34B7">
              <w:rPr>
                <w:snapToGrid w:val="0"/>
                <w:szCs w:val="24"/>
              </w:rPr>
              <w:t>och Karolina Skoog (MP)</w:t>
            </w:r>
            <w:r w:rsidR="00EC34B7">
              <w:rPr>
                <w:snapToGrid w:val="0"/>
                <w:szCs w:val="24"/>
              </w:rPr>
              <w:t xml:space="preserve">. </w:t>
            </w:r>
          </w:p>
          <w:p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:rsidR="00FB3CAB" w:rsidRPr="000E3445" w:rsidRDefault="00EC34B7" w:rsidP="00FB3CAB">
            <w:pPr>
              <w:outlineLvl w:val="0"/>
              <w:rPr>
                <w:snapToGrid w:val="0"/>
                <w:szCs w:val="24"/>
              </w:rPr>
            </w:pPr>
            <w:r w:rsidRPr="00EC34B7">
              <w:rPr>
                <w:snapToGrid w:val="0"/>
                <w:szCs w:val="24"/>
              </w:rPr>
              <w:t>Tio</w:t>
            </w:r>
            <w:r w:rsidR="00FB3CAB" w:rsidRPr="000E3445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A82E61">
        <w:tc>
          <w:tcPr>
            <w:tcW w:w="639" w:type="dxa"/>
          </w:tcPr>
          <w:p w:rsidR="00717F37" w:rsidRPr="00C3030B" w:rsidRDefault="00717F37" w:rsidP="00C3030B">
            <w:pPr>
              <w:outlineLvl w:val="0"/>
              <w:rPr>
                <w:b/>
                <w:color w:val="000000"/>
                <w:szCs w:val="24"/>
              </w:rPr>
            </w:pPr>
            <w:r w:rsidRPr="00C3030B">
              <w:rPr>
                <w:b/>
                <w:color w:val="000000"/>
                <w:szCs w:val="24"/>
              </w:rPr>
              <w:t>§ 2</w:t>
            </w:r>
          </w:p>
        </w:tc>
        <w:tc>
          <w:tcPr>
            <w:tcW w:w="7796" w:type="dxa"/>
          </w:tcPr>
          <w:p w:rsidR="0075384A" w:rsidRPr="00C3030B" w:rsidRDefault="00A82E61" w:rsidP="00C3030B">
            <w:pPr>
              <w:outlineLvl w:val="0"/>
              <w:rPr>
                <w:color w:val="000000"/>
                <w:szCs w:val="24"/>
              </w:rPr>
            </w:pPr>
            <w:r w:rsidRPr="00C3030B">
              <w:rPr>
                <w:b/>
                <w:color w:val="000000"/>
                <w:szCs w:val="24"/>
              </w:rPr>
              <w:t>Kommissionens strategi för hantering av nödlidande lån i spåren av covid-19-pandemin (</w:t>
            </w:r>
            <w:proofErr w:type="gramStart"/>
            <w:r w:rsidRPr="00C3030B">
              <w:rPr>
                <w:b/>
                <w:color w:val="000000"/>
                <w:szCs w:val="24"/>
              </w:rPr>
              <w:t>COM(</w:t>
            </w:r>
            <w:proofErr w:type="gramEnd"/>
            <w:r w:rsidRPr="00C3030B">
              <w:rPr>
                <w:b/>
                <w:color w:val="000000"/>
                <w:szCs w:val="24"/>
              </w:rPr>
              <w:t>2020) 822)</w:t>
            </w:r>
            <w:r w:rsidRPr="00C3030B"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Statssekreterare Ulf Holm</w:t>
            </w:r>
            <w:r w:rsidRPr="00C3030B">
              <w:rPr>
                <w:color w:val="000000"/>
                <w:szCs w:val="24"/>
              </w:rPr>
              <w:t xml:space="preserve"> </w:t>
            </w:r>
            <w:r w:rsidRPr="0075384A">
              <w:rPr>
                <w:color w:val="000000"/>
                <w:szCs w:val="24"/>
              </w:rPr>
              <w:t>överlade med utskottet</w:t>
            </w:r>
            <w:r>
              <w:rPr>
                <w:color w:val="000000"/>
                <w:szCs w:val="24"/>
              </w:rPr>
              <w:t xml:space="preserve"> om </w:t>
            </w:r>
            <w:r w:rsidR="003A30CA" w:rsidRPr="00C3030B">
              <w:rPr>
                <w:color w:val="000000"/>
                <w:szCs w:val="24"/>
              </w:rPr>
              <w:t>k</w:t>
            </w:r>
            <w:r w:rsidRPr="00C3030B">
              <w:rPr>
                <w:color w:val="000000"/>
                <w:szCs w:val="24"/>
              </w:rPr>
              <w:t>ommissionens strategi för hantering av nödlidande lån i spåren av covid-19-pandemin</w:t>
            </w:r>
            <w:r w:rsidR="00974220" w:rsidRPr="00C3030B">
              <w:rPr>
                <w:color w:val="000000"/>
                <w:szCs w:val="24"/>
              </w:rPr>
              <w:t xml:space="preserve">. </w:t>
            </w:r>
          </w:p>
          <w:p w:rsidR="00974220" w:rsidRDefault="00974220" w:rsidP="00C3030B">
            <w:pPr>
              <w:outlineLvl w:val="0"/>
              <w:rPr>
                <w:color w:val="000000"/>
                <w:szCs w:val="24"/>
              </w:rPr>
            </w:pPr>
          </w:p>
          <w:p w:rsidR="00974220" w:rsidRDefault="00974220" w:rsidP="00C3030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Underlaget utgjordes av en översänd Fakta-PM 2020/</w:t>
            </w:r>
            <w:proofErr w:type="gramStart"/>
            <w:r>
              <w:rPr>
                <w:color w:val="000000"/>
                <w:szCs w:val="24"/>
              </w:rPr>
              <w:t>21:FPM</w:t>
            </w:r>
            <w:proofErr w:type="gramEnd"/>
            <w:r>
              <w:rPr>
                <w:color w:val="000000"/>
                <w:szCs w:val="24"/>
              </w:rPr>
              <w:t xml:space="preserve">73 och en presentation (dnr. </w:t>
            </w:r>
            <w:proofErr w:type="gramStart"/>
            <w:r w:rsidR="00462C17">
              <w:t>2074-2020</w:t>
            </w:r>
            <w:proofErr w:type="gramEnd"/>
            <w:r w:rsidR="00462C17">
              <w:t>/21</w:t>
            </w:r>
            <w:r w:rsidRPr="00C3030B">
              <w:rPr>
                <w:color w:val="000000"/>
                <w:szCs w:val="24"/>
              </w:rPr>
              <w:t>)</w:t>
            </w:r>
          </w:p>
          <w:p w:rsidR="00A82E61" w:rsidRPr="00C3030B" w:rsidRDefault="00A82E61" w:rsidP="00C3030B">
            <w:pPr>
              <w:outlineLvl w:val="0"/>
              <w:rPr>
                <w:color w:val="000000"/>
                <w:szCs w:val="24"/>
              </w:rPr>
            </w:pPr>
          </w:p>
          <w:p w:rsidR="00CC6D3E" w:rsidRPr="00C3030B" w:rsidRDefault="00A82E61" w:rsidP="00C3030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Statssekreteraren och </w:t>
            </w:r>
            <w:r w:rsidR="00974220">
              <w:rPr>
                <w:color w:val="000000"/>
                <w:szCs w:val="24"/>
              </w:rPr>
              <w:t xml:space="preserve">6 </w:t>
            </w:r>
            <w:r>
              <w:rPr>
                <w:color w:val="000000"/>
                <w:szCs w:val="24"/>
              </w:rPr>
              <w:t>tjänstemän från Finansdepartementet</w:t>
            </w:r>
            <w:r w:rsidR="00CC6D3E" w:rsidRPr="00C3030B">
              <w:rPr>
                <w:color w:val="000000"/>
                <w:szCs w:val="24"/>
              </w:rPr>
              <w:t xml:space="preserve"> deltog </w:t>
            </w:r>
            <w:r w:rsidR="00974220" w:rsidRPr="00C3030B">
              <w:rPr>
                <w:color w:val="000000"/>
                <w:szCs w:val="24"/>
              </w:rPr>
              <w:t xml:space="preserve">på </w:t>
            </w:r>
            <w:r w:rsidR="00CC6D3E" w:rsidRPr="00C3030B">
              <w:rPr>
                <w:color w:val="000000"/>
                <w:szCs w:val="24"/>
              </w:rPr>
              <w:t>distans</w:t>
            </w:r>
            <w:r w:rsidRPr="00C3030B">
              <w:rPr>
                <w:color w:val="000000"/>
                <w:szCs w:val="24"/>
              </w:rPr>
              <w:t xml:space="preserve"> under punkterna </w:t>
            </w:r>
            <w:proofErr w:type="gramStart"/>
            <w:r w:rsidRPr="00C3030B">
              <w:rPr>
                <w:color w:val="000000"/>
                <w:szCs w:val="24"/>
              </w:rPr>
              <w:t>2-4</w:t>
            </w:r>
            <w:proofErr w:type="gramEnd"/>
            <w:r w:rsidRPr="00C3030B">
              <w:rPr>
                <w:color w:val="000000"/>
                <w:szCs w:val="24"/>
              </w:rPr>
              <w:t>.</w:t>
            </w:r>
          </w:p>
          <w:p w:rsidR="00A82E61" w:rsidRPr="00C3030B" w:rsidRDefault="00A82E61" w:rsidP="00C3030B">
            <w:pPr>
              <w:outlineLvl w:val="0"/>
              <w:rPr>
                <w:color w:val="000000"/>
                <w:szCs w:val="24"/>
              </w:rPr>
            </w:pPr>
          </w:p>
          <w:p w:rsidR="00A82E61" w:rsidRDefault="00A82E61" w:rsidP="00C3030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Statssekreteraren redogjorde för regeringens ståndpunkt i enlighet med </w:t>
            </w:r>
            <w:r w:rsidR="004E59CD">
              <w:rPr>
                <w:color w:val="000000"/>
                <w:szCs w:val="24"/>
              </w:rPr>
              <w:t>faktapromemorian</w:t>
            </w:r>
            <w:r>
              <w:rPr>
                <w:color w:val="000000"/>
                <w:szCs w:val="24"/>
              </w:rPr>
              <w:t xml:space="preserve">: 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Regeringen välkomnar kommissionens strategi. Fokus bör vara på att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förebygga att nödlidande lån uppstår. Om lån blir nödlidande så ska dessa i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första hand hanteras av den privata sektorn på ett sätt som värnar den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finansiella stabiliteten och konsumentskyddet.</w:t>
            </w:r>
          </w:p>
          <w:p w:rsidR="00C3030B" w:rsidRDefault="00C3030B" w:rsidP="00C3030B">
            <w:pPr>
              <w:widowControl/>
              <w:autoSpaceDE w:val="0"/>
              <w:autoSpaceDN w:val="0"/>
              <w:adjustRightInd w:val="0"/>
              <w:outlineLvl w:val="0"/>
              <w:rPr>
                <w:color w:val="000000"/>
                <w:szCs w:val="24"/>
              </w:rPr>
            </w:pP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Bankernas kapitalkrav bör reflektera den risk som de exponeras för och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beakta de globala standarder som har tagits fram av Baselkommittén för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banktillsyn. Om banker i högre utsträckning köper nödlidande lån på</w:t>
            </w:r>
          </w:p>
          <w:p w:rsidR="00C3030B" w:rsidRPr="00C3030B" w:rsidRDefault="00C3030B" w:rsidP="00626F43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andrahandsmarknaden kan detta medföra nya risker för såväl den finansiella</w:t>
            </w:r>
            <w:r w:rsidR="00626F43"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stabiliteten som konsumentskyddet och i förlängningen för offentliga medel.</w:t>
            </w:r>
          </w:p>
          <w:p w:rsidR="00C3030B" w:rsidRDefault="00C3030B" w:rsidP="00C3030B">
            <w:pPr>
              <w:widowControl/>
              <w:autoSpaceDE w:val="0"/>
              <w:autoSpaceDN w:val="0"/>
              <w:adjustRightInd w:val="0"/>
              <w:outlineLvl w:val="0"/>
              <w:rPr>
                <w:color w:val="000000"/>
                <w:szCs w:val="24"/>
              </w:rPr>
            </w:pP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Dessa risker bör beaktas i det fortsatta arbetet på EU-nivå.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Regeringen betonar vikten av att värna offentliga finanser och undvika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åtgärder som kan leda till ökat risktagande på grund av delade kostnader, s.k.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 xml:space="preserve">moral </w:t>
            </w:r>
            <w:proofErr w:type="spellStart"/>
            <w:r w:rsidRPr="00C3030B">
              <w:rPr>
                <w:color w:val="000000"/>
                <w:szCs w:val="24"/>
              </w:rPr>
              <w:t>hazard</w:t>
            </w:r>
            <w:proofErr w:type="spellEnd"/>
            <w:r w:rsidRPr="00C3030B">
              <w:rPr>
                <w:color w:val="000000"/>
                <w:szCs w:val="24"/>
              </w:rPr>
              <w:t>, samt att åtgärderna i strategin ska genomföras</w:t>
            </w: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budgetrestriktivt.</w:t>
            </w:r>
          </w:p>
          <w:p w:rsidR="00C3030B" w:rsidRDefault="00C3030B" w:rsidP="00C3030B">
            <w:pPr>
              <w:widowControl/>
              <w:autoSpaceDE w:val="0"/>
              <w:autoSpaceDN w:val="0"/>
              <w:adjustRightInd w:val="0"/>
              <w:outlineLvl w:val="0"/>
              <w:rPr>
                <w:color w:val="000000"/>
                <w:szCs w:val="24"/>
              </w:rPr>
            </w:pPr>
          </w:p>
          <w:p w:rsidR="00C3030B" w:rsidRPr="00C3030B" w:rsidRDefault="00C3030B" w:rsidP="00C3030B">
            <w:pPr>
              <w:widowControl/>
              <w:autoSpaceDE w:val="0"/>
              <w:autoSpaceDN w:val="0"/>
              <w:adjustRightInd w:val="0"/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De åtgärder som vidtas ska vara proportionerliga och beakta i synnerhet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mindre bankers administrativa börda.</w:t>
            </w:r>
          </w:p>
          <w:p w:rsidR="00CC6D3E" w:rsidRPr="00C3030B" w:rsidRDefault="00CC6D3E" w:rsidP="00C3030B">
            <w:pPr>
              <w:outlineLvl w:val="0"/>
              <w:rPr>
                <w:color w:val="000000"/>
                <w:szCs w:val="24"/>
              </w:rPr>
            </w:pPr>
          </w:p>
          <w:p w:rsidR="003A30CA" w:rsidRPr="00C3030B" w:rsidRDefault="003A30CA" w:rsidP="00C3030B">
            <w:pPr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Ledamöternas frågor besvarades.</w:t>
            </w:r>
          </w:p>
          <w:p w:rsidR="003A30CA" w:rsidRPr="00C3030B" w:rsidRDefault="003A30CA" w:rsidP="00C3030B">
            <w:pPr>
              <w:outlineLvl w:val="0"/>
              <w:rPr>
                <w:color w:val="000000"/>
                <w:szCs w:val="24"/>
              </w:rPr>
            </w:pPr>
          </w:p>
          <w:p w:rsidR="00A82E61" w:rsidRPr="00C3030B" w:rsidRDefault="00A82E61" w:rsidP="00C3030B">
            <w:pPr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Ordföranden konstaterade att det fanns stöd för regeringens nu redovisade ståndpunkt.</w:t>
            </w:r>
          </w:p>
          <w:p w:rsidR="00A82E61" w:rsidRPr="00C3030B" w:rsidRDefault="00A82E61" w:rsidP="00C3030B">
            <w:pPr>
              <w:outlineLvl w:val="0"/>
              <w:rPr>
                <w:color w:val="000000"/>
                <w:szCs w:val="24"/>
              </w:rPr>
            </w:pPr>
          </w:p>
        </w:tc>
      </w:tr>
      <w:tr w:rsidR="00717F37" w:rsidTr="00A82E61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7796" w:type="dxa"/>
          </w:tcPr>
          <w:p w:rsidR="00A82E61" w:rsidRDefault="00A82E61" w:rsidP="0075384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strategi för digitalisering av finanssektorn (COM (2020) 591)</w:t>
            </w:r>
            <w:r w:rsidRPr="0075384A">
              <w:rPr>
                <w:color w:val="000000"/>
                <w:szCs w:val="24"/>
              </w:rPr>
              <w:t xml:space="preserve"> </w:t>
            </w:r>
          </w:p>
          <w:p w:rsidR="00A82E61" w:rsidRPr="00A82E61" w:rsidRDefault="00A82E61" w:rsidP="00A82E61">
            <w:pPr>
              <w:outlineLvl w:val="0"/>
              <w:rPr>
                <w:color w:val="000000"/>
                <w:szCs w:val="24"/>
              </w:rPr>
            </w:pPr>
            <w:r w:rsidRPr="00A82E61">
              <w:rPr>
                <w:color w:val="000000"/>
                <w:szCs w:val="24"/>
              </w:rPr>
              <w:t>Statssekreterare Ulf Holm</w:t>
            </w:r>
            <w:r w:rsidRPr="00A82E61">
              <w:t xml:space="preserve"> </w:t>
            </w:r>
            <w:r w:rsidRPr="00A82E61">
              <w:rPr>
                <w:color w:val="000000"/>
                <w:szCs w:val="24"/>
              </w:rPr>
              <w:t xml:space="preserve">överlade med utskottet om </w:t>
            </w:r>
            <w:r w:rsidR="003A30CA">
              <w:rPr>
                <w:color w:val="000000"/>
                <w:szCs w:val="24"/>
              </w:rPr>
              <w:t>k</w:t>
            </w:r>
            <w:r w:rsidRPr="00A82E61">
              <w:rPr>
                <w:bCs/>
                <w:color w:val="000000"/>
                <w:szCs w:val="24"/>
              </w:rPr>
              <w:t>ommissionens strategi för digitalisering av finanssektorn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F01354" w:rsidRDefault="00F01354" w:rsidP="0075384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E953A4" w:rsidRDefault="00E953A4" w:rsidP="00C3030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Underlaget utgjordes av en översänd </w:t>
            </w:r>
            <w:r w:rsidR="00A82E61">
              <w:rPr>
                <w:color w:val="000000"/>
                <w:szCs w:val="24"/>
              </w:rPr>
              <w:t>Fakta-PM</w:t>
            </w:r>
            <w:r w:rsidR="00974220">
              <w:rPr>
                <w:color w:val="000000"/>
                <w:szCs w:val="24"/>
              </w:rPr>
              <w:t xml:space="preserve"> 2020/</w:t>
            </w:r>
            <w:proofErr w:type="gramStart"/>
            <w:r w:rsidR="00974220">
              <w:rPr>
                <w:color w:val="000000"/>
                <w:szCs w:val="24"/>
              </w:rPr>
              <w:t>21:FPM</w:t>
            </w:r>
            <w:proofErr w:type="gramEnd"/>
            <w:r w:rsidR="00974220">
              <w:rPr>
                <w:color w:val="000000"/>
                <w:szCs w:val="24"/>
              </w:rPr>
              <w:t xml:space="preserve">13 </w:t>
            </w:r>
            <w:r w:rsidR="00A82E61">
              <w:rPr>
                <w:color w:val="000000"/>
                <w:szCs w:val="24"/>
              </w:rPr>
              <w:t>och</w:t>
            </w:r>
            <w:r>
              <w:rPr>
                <w:color w:val="000000"/>
                <w:szCs w:val="24"/>
              </w:rPr>
              <w:t xml:space="preserve"> en presentation</w:t>
            </w:r>
            <w:r w:rsidR="005D0C11">
              <w:rPr>
                <w:color w:val="000000"/>
                <w:szCs w:val="24"/>
              </w:rPr>
              <w:t xml:space="preserve"> </w:t>
            </w:r>
            <w:r w:rsidR="00462C17">
              <w:rPr>
                <w:color w:val="000000"/>
                <w:szCs w:val="24"/>
              </w:rPr>
              <w:t xml:space="preserve">(dnr. </w:t>
            </w:r>
            <w:proofErr w:type="gramStart"/>
            <w:r w:rsidR="00462C17">
              <w:t>2074-2020</w:t>
            </w:r>
            <w:proofErr w:type="gramEnd"/>
            <w:r w:rsidR="00462C17">
              <w:t>/21</w:t>
            </w:r>
            <w:r w:rsidR="00462C17" w:rsidRPr="00C3030B">
              <w:rPr>
                <w:color w:val="000000"/>
                <w:szCs w:val="24"/>
              </w:rPr>
              <w:t>)</w:t>
            </w:r>
            <w:r w:rsidR="00462C17">
              <w:rPr>
                <w:color w:val="000000"/>
                <w:szCs w:val="24"/>
              </w:rPr>
              <w:t>.</w:t>
            </w:r>
          </w:p>
          <w:p w:rsidR="00C3030B" w:rsidRPr="00C3030B" w:rsidRDefault="00C3030B" w:rsidP="00C3030B">
            <w:pPr>
              <w:outlineLvl w:val="0"/>
              <w:rPr>
                <w:color w:val="000000"/>
                <w:szCs w:val="24"/>
              </w:rPr>
            </w:pPr>
          </w:p>
          <w:p w:rsidR="00BB5A67" w:rsidRDefault="00A82E61" w:rsidP="00BB5A67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Statssekreteraren</w:t>
            </w:r>
            <w:r w:rsidR="00BB5A67">
              <w:rPr>
                <w:color w:val="000000"/>
                <w:szCs w:val="24"/>
              </w:rPr>
              <w:t xml:space="preserve"> redogjorde för regeringens ståndpunkt i enlighet med </w:t>
            </w:r>
            <w:r w:rsidR="004E59CD">
              <w:rPr>
                <w:color w:val="000000"/>
                <w:szCs w:val="24"/>
              </w:rPr>
              <w:t>faktapromemorian</w:t>
            </w:r>
            <w:r w:rsidR="00BB5A67">
              <w:rPr>
                <w:color w:val="000000"/>
                <w:szCs w:val="24"/>
              </w:rPr>
              <w:t xml:space="preserve">: 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Regeringen vä</w:t>
            </w:r>
            <w:r>
              <w:rPr>
                <w:color w:val="000000"/>
                <w:szCs w:val="24"/>
              </w:rPr>
              <w:t>l</w:t>
            </w:r>
            <w:r w:rsidRPr="00C3030B">
              <w:rPr>
                <w:color w:val="000000"/>
                <w:szCs w:val="24"/>
              </w:rPr>
              <w:t>komnar teknologisk innovation för att öka effektiviteten och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konkurrensen inom den finansiella sektorn till nytta för konsumenter och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företag. Digitalisering kan vara ett viktigt verktyg i omställningen till en mer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hållbar samhällsekonomi. Regeringen välkomnar ett koordinerat arbete på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EU-nivå och ser strategin för digitalisering av finanssektorn i EU som en del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i detta. Vidare anser regeringen att konkurrensneutralitet behöver beaktas i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det fortsatta arbetet.</w:t>
            </w:r>
          </w:p>
          <w:p w:rsid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Regeringen välkomnar att strategin tar upp det allmännas intresse att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bekämpa penningtvätt och finansiering av terrorism när finanssektorn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digitaliseras samt behovet av att stärka finanssektorns operativa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motståndskraft mot cyberrelaterade risker. Regeringen anser samtidigt att det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är viktigt att arbetet sker med beaktande av att EU är en marknad med flera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olika valutor.</w:t>
            </w:r>
          </w:p>
          <w:p w:rsid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Regeringen välkomnar även att strategin för digitalisering av finanssektorn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adresserar behovet av skydd för konsumenter till följd av nya risker som kan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uppstå till följd av ökad digitalisering. Dessutom anser regeringen att det är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viktigt att strategin beaktar att digitaliseringen kan innebära en risk för</w:t>
            </w:r>
            <w:r>
              <w:rPr>
                <w:color w:val="000000"/>
                <w:szCs w:val="24"/>
              </w:rPr>
              <w:t xml:space="preserve"> </w:t>
            </w:r>
            <w:r w:rsidRPr="00C3030B">
              <w:rPr>
                <w:color w:val="000000"/>
                <w:szCs w:val="24"/>
              </w:rPr>
              <w:t>individer som inte har åtkomst till eller har svårigheter att använda den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digitala tekniken kan få en försämrad tillgång till finansiella tjänster och</w:t>
            </w:r>
          </w:p>
          <w:p w:rsidR="00C3030B" w:rsidRPr="00C3030B" w:rsidRDefault="00C3030B" w:rsidP="00C3030B">
            <w:pPr>
              <w:ind w:left="360"/>
              <w:outlineLvl w:val="0"/>
              <w:rPr>
                <w:color w:val="000000"/>
                <w:szCs w:val="24"/>
              </w:rPr>
            </w:pPr>
            <w:r w:rsidRPr="00C3030B">
              <w:rPr>
                <w:color w:val="000000"/>
                <w:szCs w:val="24"/>
              </w:rPr>
              <w:t>produkter.</w:t>
            </w:r>
          </w:p>
          <w:p w:rsidR="00C3030B" w:rsidRDefault="00C3030B" w:rsidP="00875B82">
            <w:pPr>
              <w:outlineLvl w:val="0"/>
              <w:rPr>
                <w:szCs w:val="24"/>
              </w:rPr>
            </w:pPr>
          </w:p>
          <w:p w:rsidR="003A30CA" w:rsidRDefault="003A30CA" w:rsidP="00875B82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Ledamöternas frågor besvarades.</w:t>
            </w:r>
          </w:p>
          <w:p w:rsidR="003A30CA" w:rsidRDefault="003A30CA" w:rsidP="00875B82">
            <w:pPr>
              <w:outlineLvl w:val="0"/>
              <w:rPr>
                <w:szCs w:val="24"/>
              </w:rPr>
            </w:pPr>
          </w:p>
          <w:p w:rsidR="00875B82" w:rsidRDefault="00875B82" w:rsidP="00875B82">
            <w:pPr>
              <w:outlineLvl w:val="0"/>
              <w:rPr>
                <w:szCs w:val="24"/>
              </w:rPr>
            </w:pPr>
            <w:r w:rsidRPr="00974220">
              <w:rPr>
                <w:szCs w:val="24"/>
              </w:rPr>
              <w:t>Ordföranden konstaterade att det fanns stöd för regeringens nu redovisade ståndpunkt.</w:t>
            </w:r>
          </w:p>
          <w:p w:rsidR="00761C12" w:rsidRDefault="00761C12" w:rsidP="00875B82">
            <w:pPr>
              <w:outlineLvl w:val="0"/>
              <w:rPr>
                <w:szCs w:val="24"/>
              </w:rPr>
            </w:pPr>
          </w:p>
          <w:p w:rsidR="00BB5A67" w:rsidRPr="00AD47F5" w:rsidRDefault="00BB5A67" w:rsidP="0075384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626F43" w:rsidTr="00A82E61"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796" w:type="dxa"/>
          </w:tcPr>
          <w:p w:rsidR="00626F43" w:rsidRDefault="00626F43" w:rsidP="00626F43">
            <w:pPr>
              <w:outlineLvl w:val="0"/>
              <w:rPr>
                <w:b/>
              </w:rPr>
            </w:pPr>
            <w:r>
              <w:rPr>
                <w:b/>
              </w:rPr>
              <w:t>Aktuella EU-ärenden</w:t>
            </w:r>
          </w:p>
          <w:p w:rsidR="00626F43" w:rsidRPr="00A82E61" w:rsidRDefault="00626F43" w:rsidP="00626F43">
            <w:pPr>
              <w:outlineLvl w:val="0"/>
            </w:pPr>
            <w:r w:rsidRPr="00A82E61">
              <w:rPr>
                <w:color w:val="000000"/>
                <w:szCs w:val="24"/>
              </w:rPr>
              <w:t xml:space="preserve">Statssekreterare Ulf Holm informerade utskottet </w:t>
            </w:r>
            <w:r w:rsidRPr="00A82E61">
              <w:t>om status i förhandlingar</w:t>
            </w:r>
            <w:r>
              <w:t xml:space="preserve">na om kommissionens: </w:t>
            </w:r>
          </w:p>
          <w:p w:rsidR="00626F43" w:rsidRPr="00A82E61" w:rsidRDefault="00626F43" w:rsidP="00626F43">
            <w:pPr>
              <w:outlineLvl w:val="0"/>
            </w:pPr>
          </w:p>
          <w:p w:rsidR="00626F43" w:rsidRPr="00A82E61" w:rsidRDefault="00626F43" w:rsidP="00626F43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fö</w:t>
            </w:r>
            <w:r w:rsidRPr="00A82E61">
              <w:t>rslag till förordning</w:t>
            </w:r>
            <w:r>
              <w:t xml:space="preserve"> om m</w:t>
            </w:r>
            <w:r w:rsidRPr="00A82E61">
              <w:t>arknader för kryptotillgångar (</w:t>
            </w:r>
            <w:proofErr w:type="spellStart"/>
            <w:r w:rsidRPr="00A82E61">
              <w:t>MiCA</w:t>
            </w:r>
            <w:proofErr w:type="spellEnd"/>
            <w:r w:rsidRPr="00A82E61">
              <w:t>)</w:t>
            </w:r>
          </w:p>
          <w:p w:rsidR="00626F43" w:rsidRPr="00A82E61" w:rsidRDefault="00626F43" w:rsidP="00626F43">
            <w:pPr>
              <w:outlineLvl w:val="0"/>
            </w:pPr>
          </w:p>
          <w:p w:rsidR="00626F43" w:rsidRPr="00A82E61" w:rsidRDefault="00626F43" w:rsidP="00626F43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f</w:t>
            </w:r>
            <w:r w:rsidRPr="00A82E61">
              <w:t>örslag till förordning</w:t>
            </w:r>
            <w:r>
              <w:t xml:space="preserve"> om p</w:t>
            </w:r>
            <w:r w:rsidRPr="00A82E61">
              <w:t>ilotregim för distribuerad databasteknik (DLT)</w:t>
            </w:r>
          </w:p>
          <w:p w:rsidR="00626F43" w:rsidRPr="00A82E61" w:rsidRDefault="00626F43" w:rsidP="00626F43">
            <w:pPr>
              <w:outlineLvl w:val="0"/>
            </w:pPr>
          </w:p>
          <w:p w:rsidR="00626F43" w:rsidRDefault="00626F43" w:rsidP="00626F43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>f</w:t>
            </w:r>
            <w:r w:rsidRPr="00A82E61">
              <w:t>örslag till förordning</w:t>
            </w:r>
            <w:r>
              <w:t xml:space="preserve"> om d</w:t>
            </w:r>
            <w:r w:rsidRPr="00A82E61">
              <w:t>igital motståndskraft för finanssektorn (DORA)</w:t>
            </w:r>
            <w:r>
              <w:t>.</w:t>
            </w:r>
          </w:p>
          <w:p w:rsidR="00626F43" w:rsidRPr="00A82E61" w:rsidRDefault="00626F43" w:rsidP="00626F43">
            <w:pPr>
              <w:pStyle w:val="Liststycke"/>
              <w:outlineLvl w:val="0"/>
            </w:pPr>
          </w:p>
          <w:p w:rsidR="00626F43" w:rsidRPr="00A82E61" w:rsidRDefault="00626F43" w:rsidP="00626F43">
            <w:pPr>
              <w:outlineLvl w:val="0"/>
            </w:pPr>
            <w:r w:rsidRPr="00A82E61">
              <w:t xml:space="preserve">Ledamöternas frågor besvarades. </w:t>
            </w:r>
          </w:p>
          <w:p w:rsidR="00626F43" w:rsidRDefault="00626F43" w:rsidP="00626F43">
            <w:pPr>
              <w:outlineLvl w:val="0"/>
              <w:rPr>
                <w:b/>
              </w:rPr>
            </w:pPr>
          </w:p>
        </w:tc>
      </w:tr>
      <w:tr w:rsidR="00626F43" w:rsidTr="00A82E61"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796" w:type="dxa"/>
          </w:tcPr>
          <w:p w:rsidR="00626F43" w:rsidRDefault="00626F43" w:rsidP="00626F43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626F43" w:rsidRPr="00FD48C2" w:rsidRDefault="00626F43" w:rsidP="00626F43">
            <w:pPr>
              <w:outlineLvl w:val="0"/>
            </w:pPr>
            <w:r w:rsidRPr="00FD48C2">
              <w:t>Inkommen skrivelse</w:t>
            </w:r>
            <w:r w:rsidR="00423FDF">
              <w:t xml:space="preserve"> (d</w:t>
            </w:r>
            <w:r w:rsidR="00423FDF" w:rsidRPr="00423FDF">
              <w:t>nr 1983-2020/21</w:t>
            </w:r>
            <w:r w:rsidR="00423FDF">
              <w:t>)</w:t>
            </w:r>
            <w:r w:rsidRPr="00FD48C2">
              <w:t xml:space="preserve">: </w:t>
            </w:r>
          </w:p>
          <w:p w:rsidR="00626F43" w:rsidRPr="00FD48C2" w:rsidRDefault="00626F43" w:rsidP="00626F43">
            <w:pPr>
              <w:widowControl/>
              <w:rPr>
                <w:bCs/>
                <w:sz w:val="22"/>
              </w:rPr>
            </w:pPr>
            <w:r>
              <w:rPr>
                <w:bCs/>
              </w:rPr>
              <w:t>En rapport</w:t>
            </w:r>
            <w:r w:rsidRPr="00FD48C2">
              <w:t xml:space="preserve"> </w:t>
            </w:r>
            <w:r w:rsidRPr="00FD48C2">
              <w:rPr>
                <w:bCs/>
              </w:rPr>
              <w:t xml:space="preserve">från föreningen </w:t>
            </w:r>
            <w:proofErr w:type="spellStart"/>
            <w:r w:rsidRPr="00FD48C2">
              <w:rPr>
                <w:bCs/>
              </w:rPr>
              <w:t>MasthamnsOperan</w:t>
            </w:r>
            <w:proofErr w:type="spellEnd"/>
            <w:r>
              <w:rPr>
                <w:bCs/>
              </w:rPr>
              <w:t xml:space="preserve"> – </w:t>
            </w:r>
            <w:r w:rsidRPr="00FD48C2">
              <w:rPr>
                <w:bCs/>
                <w:iCs/>
              </w:rPr>
              <w:t>Kungliga Operan: Renovera, bygga om eller bygga nytt?</w:t>
            </w:r>
            <w:r w:rsidRPr="00FD48C2">
              <w:t xml:space="preserve"> </w:t>
            </w:r>
            <w:r>
              <w:t xml:space="preserve">har delats till ledamöterna </w:t>
            </w:r>
            <w:r w:rsidRPr="00FD48C2">
              <w:t>för kännedom.</w:t>
            </w:r>
            <w:r w:rsidRPr="00FD48C2">
              <w:rPr>
                <w:bCs/>
              </w:rPr>
              <w:t xml:space="preserve">  </w:t>
            </w:r>
          </w:p>
          <w:p w:rsidR="00626F43" w:rsidRPr="00305C38" w:rsidRDefault="00626F43" w:rsidP="00626F43">
            <w:pPr>
              <w:outlineLvl w:val="0"/>
              <w:rPr>
                <w:color w:val="000000"/>
                <w:szCs w:val="24"/>
              </w:rPr>
            </w:pPr>
          </w:p>
        </w:tc>
      </w:tr>
      <w:tr w:rsidR="00626F43" w:rsidTr="00A82E61"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796" w:type="dxa"/>
          </w:tcPr>
          <w:p w:rsidR="00626F43" w:rsidRDefault="00626F43" w:rsidP="00626F4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626F43" w:rsidRPr="00974220" w:rsidRDefault="00626F43" w:rsidP="00626F4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74220">
              <w:rPr>
                <w:color w:val="000000"/>
                <w:szCs w:val="24"/>
              </w:rPr>
              <w:t>Utskottet justerade protokoll nr. 2020/21:59 och 60.</w:t>
            </w:r>
          </w:p>
          <w:p w:rsidR="00626F43" w:rsidRPr="00305C38" w:rsidRDefault="00626F43" w:rsidP="00626F4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626F43" w:rsidTr="00A82E61"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6" w:type="dxa"/>
          </w:tcPr>
          <w:p w:rsidR="00626F43" w:rsidRPr="00A82E61" w:rsidRDefault="00626F43" w:rsidP="00626F4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Genomförande av ändringar i Solvens II-direktivet (FiU47)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fortsatte behandlingen av p</w:t>
            </w:r>
            <w:r w:rsidRPr="00A82E61">
              <w:rPr>
                <w:color w:val="000000"/>
                <w:szCs w:val="24"/>
              </w:rPr>
              <w:t>rop. 2020/21:129</w:t>
            </w:r>
            <w:r>
              <w:rPr>
                <w:color w:val="000000"/>
                <w:szCs w:val="24"/>
              </w:rPr>
              <w:t>.</w:t>
            </w:r>
          </w:p>
          <w:p w:rsidR="00626F43" w:rsidRDefault="00626F43" w:rsidP="00626F4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2020/</w:t>
            </w:r>
            <w:proofErr w:type="gramStart"/>
            <w:r>
              <w:rPr>
                <w:bCs/>
              </w:rPr>
              <w:t>21:FiU</w:t>
            </w:r>
            <w:proofErr w:type="gramEnd"/>
            <w:r>
              <w:rPr>
                <w:bCs/>
              </w:rPr>
              <w:t>47.</w:t>
            </w:r>
          </w:p>
          <w:p w:rsidR="00626F43" w:rsidRPr="00305C38" w:rsidRDefault="00626F43" w:rsidP="00626F4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Pr="0075384A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8</w:t>
            </w:r>
          </w:p>
        </w:tc>
        <w:tc>
          <w:tcPr>
            <w:tcW w:w="7796" w:type="dxa"/>
          </w:tcPr>
          <w:p w:rsidR="00626F43" w:rsidRPr="00A82E61" w:rsidRDefault="00626F43" w:rsidP="00626F43">
            <w:pPr>
              <w:outlineLvl w:val="0"/>
              <w:rPr>
                <w:b/>
                <w:bCs/>
              </w:rPr>
            </w:pPr>
            <w:r w:rsidRPr="00A82E61">
              <w:rPr>
                <w:b/>
                <w:bCs/>
              </w:rPr>
              <w:t>Nya kapitaltäckningsregler för värdepappersbolag (FiU50)</w:t>
            </w: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bCs/>
              </w:rPr>
              <w:t>p</w:t>
            </w:r>
            <w:r w:rsidRPr="00A82E61">
              <w:rPr>
                <w:bCs/>
              </w:rPr>
              <w:t>rop. 2020/21:173</w:t>
            </w:r>
            <w:r>
              <w:rPr>
                <w:bCs/>
              </w:rPr>
              <w:t>.</w:t>
            </w:r>
          </w:p>
          <w:p w:rsidR="00626F43" w:rsidRDefault="00626F43" w:rsidP="00626F43">
            <w:pPr>
              <w:rPr>
                <w:bCs/>
              </w:rPr>
            </w:pP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2020/</w:t>
            </w:r>
            <w:proofErr w:type="gramStart"/>
            <w:r>
              <w:rPr>
                <w:bCs/>
              </w:rPr>
              <w:t>21:FiU</w:t>
            </w:r>
            <w:proofErr w:type="gramEnd"/>
            <w:r>
              <w:rPr>
                <w:bCs/>
              </w:rPr>
              <w:t>50.</w:t>
            </w:r>
          </w:p>
          <w:p w:rsidR="00626F43" w:rsidRPr="00A82E61" w:rsidRDefault="00626F43" w:rsidP="00626F43"/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9</w:t>
            </w:r>
          </w:p>
        </w:tc>
        <w:tc>
          <w:tcPr>
            <w:tcW w:w="7796" w:type="dxa"/>
          </w:tcPr>
          <w:p w:rsidR="00626F43" w:rsidRPr="00A82E61" w:rsidRDefault="00626F43" w:rsidP="00626F43">
            <w:pPr>
              <w:outlineLvl w:val="0"/>
              <w:rPr>
                <w:b/>
                <w:bCs/>
              </w:rPr>
            </w:pPr>
            <w:r w:rsidRPr="00A82E61">
              <w:rPr>
                <w:b/>
                <w:bCs/>
              </w:rPr>
              <w:t>Ändringar i regelverket om hantering av finansiella företag i kris (FiU33)</w:t>
            </w: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bCs/>
              </w:rPr>
              <w:t>p</w:t>
            </w:r>
            <w:r w:rsidRPr="00A82E61">
              <w:rPr>
                <w:bCs/>
              </w:rPr>
              <w:t>rop. 2020/21:155</w:t>
            </w:r>
            <w:r>
              <w:rPr>
                <w:bCs/>
              </w:rPr>
              <w:t xml:space="preserve"> och </w:t>
            </w:r>
            <w:r w:rsidRPr="00A82E61">
              <w:rPr>
                <w:bCs/>
              </w:rPr>
              <w:t>motion</w:t>
            </w:r>
            <w:r>
              <w:rPr>
                <w:bCs/>
              </w:rPr>
              <w:t>.</w:t>
            </w:r>
          </w:p>
          <w:p w:rsidR="00626F43" w:rsidRDefault="00626F43" w:rsidP="00626F43">
            <w:pPr>
              <w:outlineLvl w:val="0"/>
              <w:rPr>
                <w:bCs/>
              </w:rPr>
            </w:pP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626F43" w:rsidRPr="00AD47F5" w:rsidRDefault="00626F43" w:rsidP="00626F43">
            <w:pPr>
              <w:outlineLvl w:val="0"/>
              <w:rPr>
                <w:b/>
                <w:bCs/>
              </w:rPr>
            </w:pPr>
          </w:p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10</w:t>
            </w:r>
          </w:p>
        </w:tc>
        <w:tc>
          <w:tcPr>
            <w:tcW w:w="7796" w:type="dxa"/>
          </w:tcPr>
          <w:p w:rsidR="00626F43" w:rsidRPr="00A82E61" w:rsidRDefault="00626F43" w:rsidP="00626F43">
            <w:pPr>
              <w:outlineLvl w:val="0"/>
              <w:rPr>
                <w:b/>
                <w:bCs/>
              </w:rPr>
            </w:pPr>
            <w:r w:rsidRPr="00974220">
              <w:rPr>
                <w:b/>
                <w:bCs/>
              </w:rPr>
              <w:t xml:space="preserve">Riksrevisionens rapport om statliga stöd med delat myndighetsansvar </w:t>
            </w:r>
            <w:r w:rsidRPr="00A82E61">
              <w:rPr>
                <w:b/>
                <w:bCs/>
              </w:rPr>
              <w:t>(FiU51)</w:t>
            </w: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proofErr w:type="spellStart"/>
            <w:r>
              <w:rPr>
                <w:bCs/>
              </w:rPr>
              <w:t>s</w:t>
            </w:r>
            <w:r w:rsidRPr="00A82E61">
              <w:rPr>
                <w:bCs/>
              </w:rPr>
              <w:t>kr</w:t>
            </w:r>
            <w:proofErr w:type="spellEnd"/>
            <w:r w:rsidRPr="00A82E61">
              <w:rPr>
                <w:bCs/>
              </w:rPr>
              <w:t>. 2020/21:102</w:t>
            </w:r>
            <w:r>
              <w:rPr>
                <w:bCs/>
              </w:rPr>
              <w:t>.</w:t>
            </w:r>
          </w:p>
          <w:p w:rsidR="00626F43" w:rsidRDefault="00626F43" w:rsidP="00626F43">
            <w:pPr>
              <w:rPr>
                <w:bCs/>
              </w:rPr>
            </w:pP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626F43" w:rsidRPr="00A82E61" w:rsidRDefault="00626F43" w:rsidP="00626F43"/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11</w:t>
            </w:r>
          </w:p>
        </w:tc>
        <w:tc>
          <w:tcPr>
            <w:tcW w:w="7796" w:type="dxa"/>
          </w:tcPr>
          <w:p w:rsidR="00626F43" w:rsidRPr="00A82E61" w:rsidRDefault="00626F43" w:rsidP="00626F43">
            <w:pPr>
              <w:outlineLvl w:val="0"/>
              <w:rPr>
                <w:b/>
                <w:bCs/>
              </w:rPr>
            </w:pPr>
            <w:r w:rsidRPr="00A82E61">
              <w:rPr>
                <w:b/>
                <w:bCs/>
              </w:rPr>
              <w:t>Utvärdering av penningpolitiken för perioden 2018–2020 (FiU24)</w:t>
            </w:r>
          </w:p>
          <w:p w:rsidR="00626F43" w:rsidRDefault="00626F43" w:rsidP="00626F43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inledde beredningen av </w:t>
            </w:r>
            <w:r w:rsidRPr="00A82E61">
              <w:rPr>
                <w:bCs/>
              </w:rPr>
              <w:t>Redogörelse för penningpolitiken 2020</w:t>
            </w:r>
            <w:r>
              <w:rPr>
                <w:bCs/>
              </w:rPr>
              <w:t xml:space="preserve">. </w:t>
            </w:r>
          </w:p>
          <w:p w:rsidR="00626F43" w:rsidRDefault="00626F43" w:rsidP="00626F43">
            <w:pPr>
              <w:outlineLvl w:val="0"/>
              <w:rPr>
                <w:bCs/>
              </w:rPr>
            </w:pPr>
          </w:p>
          <w:p w:rsidR="00626F43" w:rsidRPr="00A82E61" w:rsidRDefault="00626F43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626F43" w:rsidRPr="00AD47F5" w:rsidRDefault="00626F43" w:rsidP="00626F43">
            <w:pPr>
              <w:outlineLvl w:val="0"/>
              <w:rPr>
                <w:b/>
                <w:bCs/>
              </w:rPr>
            </w:pPr>
          </w:p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384A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12</w:t>
            </w:r>
          </w:p>
        </w:tc>
        <w:tc>
          <w:tcPr>
            <w:tcW w:w="7796" w:type="dxa"/>
          </w:tcPr>
          <w:p w:rsidR="00626F43" w:rsidRDefault="00626F43" w:rsidP="00626F43">
            <w:pPr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</w:p>
          <w:p w:rsidR="00626F43" w:rsidRPr="00C3030B" w:rsidRDefault="00626F43" w:rsidP="00626F43">
            <w:pPr>
              <w:outlineLvl w:val="0"/>
            </w:pPr>
            <w:r w:rsidRPr="00C3030B">
              <w:rPr>
                <w:bCs/>
              </w:rPr>
              <w:t xml:space="preserve">Utskottet beslutade att begära </w:t>
            </w:r>
            <w:r>
              <w:rPr>
                <w:bCs/>
              </w:rPr>
              <w:t>information från s</w:t>
            </w:r>
            <w:r w:rsidRPr="00C3030B">
              <w:t xml:space="preserve">tatssekreterare Max Elger om den fortsatta processen för den svenska planen för återhämtning och </w:t>
            </w:r>
            <w:proofErr w:type="spellStart"/>
            <w:r w:rsidRPr="00C3030B">
              <w:t>resiliens</w:t>
            </w:r>
            <w:proofErr w:type="spellEnd"/>
            <w:r>
              <w:t>,</w:t>
            </w:r>
            <w:r w:rsidRPr="00C3030B">
              <w:t xml:space="preserve"> </w:t>
            </w:r>
            <w:r>
              <w:t xml:space="preserve">efter </w:t>
            </w:r>
            <w:r w:rsidRPr="00C3030B">
              <w:t>överläggning</w:t>
            </w:r>
            <w:r>
              <w:t>en</w:t>
            </w:r>
            <w:r w:rsidRPr="00C3030B">
              <w:t xml:space="preserve"> </w:t>
            </w:r>
            <w:r>
              <w:t xml:space="preserve">om </w:t>
            </w:r>
            <w:r w:rsidRPr="00BD113D">
              <w:t>EU:s årsbudget för 2022</w:t>
            </w:r>
            <w:r>
              <w:t xml:space="preserve"> som</w:t>
            </w:r>
            <w:r w:rsidRPr="00C3030B">
              <w:t xml:space="preserve"> </w:t>
            </w:r>
            <w:r>
              <w:t>s</w:t>
            </w:r>
            <w:r w:rsidRPr="00C3030B">
              <w:t>tatssekreterare</w:t>
            </w:r>
            <w:r>
              <w:t>n</w:t>
            </w:r>
            <w:r w:rsidRPr="00C3030B">
              <w:t xml:space="preserve"> </w:t>
            </w:r>
            <w:r>
              <w:t xml:space="preserve">är kallad till </w:t>
            </w:r>
            <w:r w:rsidRPr="00C3030B">
              <w:t xml:space="preserve">den 1 juni. </w:t>
            </w:r>
          </w:p>
          <w:p w:rsidR="00626F43" w:rsidRPr="00AD47F5" w:rsidRDefault="00626F43" w:rsidP="00626F43">
            <w:pPr>
              <w:outlineLvl w:val="0"/>
              <w:rPr>
                <w:b/>
                <w:bCs/>
              </w:rPr>
            </w:pPr>
          </w:p>
        </w:tc>
      </w:tr>
      <w:tr w:rsidR="00626F43" w:rsidTr="00A82E61">
        <w:trPr>
          <w:trHeight w:val="707"/>
        </w:trPr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796" w:type="dxa"/>
          </w:tcPr>
          <w:p w:rsidR="00626F43" w:rsidRDefault="00626F43" w:rsidP="00626F43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626F43" w:rsidRPr="00410210" w:rsidRDefault="00626F43" w:rsidP="00626F43">
            <w:pPr>
              <w:outlineLvl w:val="0"/>
              <w:rPr>
                <w:bCs/>
              </w:rPr>
            </w:pPr>
            <w:r w:rsidRPr="00410210">
              <w:rPr>
                <w:bCs/>
              </w:rPr>
              <w:t xml:space="preserve">Torsdag </w:t>
            </w:r>
            <w:r>
              <w:rPr>
                <w:bCs/>
              </w:rPr>
              <w:t>27 maj kl. 10.30.</w:t>
            </w:r>
          </w:p>
          <w:p w:rsidR="00626F43" w:rsidRPr="00410210" w:rsidRDefault="00626F43" w:rsidP="00626F43">
            <w:pPr>
              <w:outlineLvl w:val="0"/>
              <w:rPr>
                <w:bCs/>
              </w:rPr>
            </w:pPr>
          </w:p>
          <w:p w:rsidR="00626F43" w:rsidRPr="00AD47F5" w:rsidRDefault="00626F43" w:rsidP="00626F43">
            <w:pPr>
              <w:outlineLvl w:val="0"/>
              <w:rPr>
                <w:b/>
                <w:bCs/>
              </w:rPr>
            </w:pPr>
          </w:p>
        </w:tc>
      </w:tr>
      <w:tr w:rsidR="00626F43" w:rsidTr="00A82E61">
        <w:tc>
          <w:tcPr>
            <w:tcW w:w="639" w:type="dxa"/>
          </w:tcPr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F43" w:rsidRDefault="00626F43" w:rsidP="00626F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96" w:type="dxa"/>
          </w:tcPr>
          <w:p w:rsidR="00626F43" w:rsidRPr="00CD7E8B" w:rsidRDefault="00626F43" w:rsidP="00626F43">
            <w:pPr>
              <w:outlineLvl w:val="0"/>
              <w:rPr>
                <w:bCs/>
              </w:rPr>
            </w:pP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</w:p>
          <w:p w:rsidR="00626F43" w:rsidRPr="00CD7E8B" w:rsidRDefault="00626F43" w:rsidP="00626F43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626F43" w:rsidRPr="00D12ED4" w:rsidRDefault="00626F43" w:rsidP="00626F43">
            <w:pPr>
              <w:outlineLvl w:val="0"/>
              <w:rPr>
                <w:bCs/>
              </w:rPr>
            </w:pPr>
          </w:p>
        </w:tc>
      </w:tr>
      <w:tr w:rsidR="00626F43" w:rsidTr="00FB3CAB">
        <w:tc>
          <w:tcPr>
            <w:tcW w:w="8435" w:type="dxa"/>
            <w:gridSpan w:val="2"/>
          </w:tcPr>
          <w:p w:rsidR="00626F43" w:rsidRPr="00BD39D1" w:rsidRDefault="00626F43" w:rsidP="00626F43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10210" w:rsidRDefault="0041021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01354" w:rsidRDefault="00F01354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01354" w:rsidRDefault="00F01354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C6D3E" w:rsidRDefault="00CC6D3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DF7220" w:rsidRDefault="00DF7220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FB3CAB" w:rsidRDefault="004C6601" w:rsidP="00AA0D2F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AA0D2F">
        <w:rPr>
          <w:sz w:val="22"/>
          <w:szCs w:val="22"/>
        </w:rPr>
        <w:t>61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974220">
              <w:rPr>
                <w:sz w:val="22"/>
                <w:szCs w:val="22"/>
              </w:rPr>
              <w:t>13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EC34B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FD" w:rsidRDefault="00000BFD">
      <w:r>
        <w:separator/>
      </w:r>
    </w:p>
  </w:endnote>
  <w:endnote w:type="continuationSeparator" w:id="0">
    <w:p w:rsidR="00000BFD" w:rsidRDefault="000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FD" w:rsidRDefault="00000BFD">
      <w:r>
        <w:separator/>
      </w:r>
    </w:p>
  </w:footnote>
  <w:footnote w:type="continuationSeparator" w:id="0">
    <w:p w:rsidR="00000BFD" w:rsidRDefault="0000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06EA"/>
    <w:multiLevelType w:val="hybridMultilevel"/>
    <w:tmpl w:val="BEE01F6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E5A29"/>
    <w:multiLevelType w:val="hybridMultilevel"/>
    <w:tmpl w:val="2D9AB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552ABD"/>
    <w:multiLevelType w:val="hybridMultilevel"/>
    <w:tmpl w:val="80909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06220"/>
    <w:multiLevelType w:val="hybridMultilevel"/>
    <w:tmpl w:val="3E162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C3895"/>
    <w:multiLevelType w:val="hybridMultilevel"/>
    <w:tmpl w:val="E5A0D4C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4F135894"/>
    <w:multiLevelType w:val="hybridMultilevel"/>
    <w:tmpl w:val="F5D8F126"/>
    <w:lvl w:ilvl="0" w:tplc="BBC04ED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53420"/>
    <w:multiLevelType w:val="hybridMultilevel"/>
    <w:tmpl w:val="E34C84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8532B"/>
    <w:multiLevelType w:val="hybridMultilevel"/>
    <w:tmpl w:val="CE5064C2"/>
    <w:lvl w:ilvl="0" w:tplc="0102F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4F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E1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80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27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06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C8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09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E9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290E17"/>
    <w:multiLevelType w:val="hybridMultilevel"/>
    <w:tmpl w:val="61AEB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7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13"/>
  </w:num>
  <w:num w:numId="12">
    <w:abstractNumId w:val="5"/>
  </w:num>
  <w:num w:numId="13">
    <w:abstractNumId w:val="10"/>
  </w:num>
  <w:num w:numId="14">
    <w:abstractNumId w:val="16"/>
  </w:num>
  <w:num w:numId="15">
    <w:abstractNumId w:val="15"/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0BFD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71E3"/>
    <w:rsid w:val="000B29E8"/>
    <w:rsid w:val="000B4B42"/>
    <w:rsid w:val="000C726F"/>
    <w:rsid w:val="000E010A"/>
    <w:rsid w:val="000E151F"/>
    <w:rsid w:val="000E3445"/>
    <w:rsid w:val="000E58AB"/>
    <w:rsid w:val="000F747E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C6C13"/>
    <w:rsid w:val="001D09A0"/>
    <w:rsid w:val="001D46A2"/>
    <w:rsid w:val="001D7293"/>
    <w:rsid w:val="001E0478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30CA"/>
    <w:rsid w:val="003A48EB"/>
    <w:rsid w:val="003A69D1"/>
    <w:rsid w:val="003A6F3C"/>
    <w:rsid w:val="003C0E60"/>
    <w:rsid w:val="003C1D28"/>
    <w:rsid w:val="003C3701"/>
    <w:rsid w:val="003D2821"/>
    <w:rsid w:val="003F39D9"/>
    <w:rsid w:val="00400734"/>
    <w:rsid w:val="00410210"/>
    <w:rsid w:val="00410507"/>
    <w:rsid w:val="00410AFE"/>
    <w:rsid w:val="00413964"/>
    <w:rsid w:val="0041580F"/>
    <w:rsid w:val="0042098E"/>
    <w:rsid w:val="00423FDF"/>
    <w:rsid w:val="00430C08"/>
    <w:rsid w:val="00440F4D"/>
    <w:rsid w:val="00450BFD"/>
    <w:rsid w:val="00454D13"/>
    <w:rsid w:val="00454E86"/>
    <w:rsid w:val="00461C67"/>
    <w:rsid w:val="00462AC9"/>
    <w:rsid w:val="00462C17"/>
    <w:rsid w:val="0047277D"/>
    <w:rsid w:val="00474848"/>
    <w:rsid w:val="004A0267"/>
    <w:rsid w:val="004A0CDF"/>
    <w:rsid w:val="004A36BA"/>
    <w:rsid w:val="004A4171"/>
    <w:rsid w:val="004A41BC"/>
    <w:rsid w:val="004B1312"/>
    <w:rsid w:val="004C3373"/>
    <w:rsid w:val="004C6601"/>
    <w:rsid w:val="004C6A09"/>
    <w:rsid w:val="004D4929"/>
    <w:rsid w:val="004E2BD4"/>
    <w:rsid w:val="004E59CD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0C11"/>
    <w:rsid w:val="005E28B9"/>
    <w:rsid w:val="005E2FA7"/>
    <w:rsid w:val="005E439C"/>
    <w:rsid w:val="00626F43"/>
    <w:rsid w:val="00627839"/>
    <w:rsid w:val="00643E28"/>
    <w:rsid w:val="006457B3"/>
    <w:rsid w:val="00650B8D"/>
    <w:rsid w:val="006572A3"/>
    <w:rsid w:val="00667E9B"/>
    <w:rsid w:val="006702C0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384A"/>
    <w:rsid w:val="00755F03"/>
    <w:rsid w:val="00761C12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5B82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09D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220"/>
    <w:rsid w:val="0097434A"/>
    <w:rsid w:val="0097719E"/>
    <w:rsid w:val="00991390"/>
    <w:rsid w:val="009A10DD"/>
    <w:rsid w:val="009A68FE"/>
    <w:rsid w:val="009A772E"/>
    <w:rsid w:val="009B0A01"/>
    <w:rsid w:val="009B18B5"/>
    <w:rsid w:val="009B5F52"/>
    <w:rsid w:val="009C27A1"/>
    <w:rsid w:val="009D20DC"/>
    <w:rsid w:val="009D2290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2E61"/>
    <w:rsid w:val="00A85A29"/>
    <w:rsid w:val="00A938C6"/>
    <w:rsid w:val="00AA0D2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93CFF"/>
    <w:rsid w:val="00BB5A67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030B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89D"/>
    <w:rsid w:val="00C74946"/>
    <w:rsid w:val="00C82D0B"/>
    <w:rsid w:val="00C8766C"/>
    <w:rsid w:val="00C93236"/>
    <w:rsid w:val="00CA15CA"/>
    <w:rsid w:val="00CA58BF"/>
    <w:rsid w:val="00CB01C5"/>
    <w:rsid w:val="00CB0940"/>
    <w:rsid w:val="00CB50C7"/>
    <w:rsid w:val="00CC0949"/>
    <w:rsid w:val="00CC1AE1"/>
    <w:rsid w:val="00CC4B83"/>
    <w:rsid w:val="00CC60EB"/>
    <w:rsid w:val="00CC6D3E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4716A"/>
    <w:rsid w:val="00D518B5"/>
    <w:rsid w:val="00D84F88"/>
    <w:rsid w:val="00DA30F0"/>
    <w:rsid w:val="00DB1740"/>
    <w:rsid w:val="00DB1AB2"/>
    <w:rsid w:val="00DE54FF"/>
    <w:rsid w:val="00DF06AE"/>
    <w:rsid w:val="00DF7220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53A4"/>
    <w:rsid w:val="00E97AED"/>
    <w:rsid w:val="00EA4AA0"/>
    <w:rsid w:val="00EB6C36"/>
    <w:rsid w:val="00EC107D"/>
    <w:rsid w:val="00EC1224"/>
    <w:rsid w:val="00EC14B0"/>
    <w:rsid w:val="00EC34B7"/>
    <w:rsid w:val="00EC4415"/>
    <w:rsid w:val="00ED357E"/>
    <w:rsid w:val="00EE57B7"/>
    <w:rsid w:val="00EF16D4"/>
    <w:rsid w:val="00EF57E7"/>
    <w:rsid w:val="00EF721A"/>
    <w:rsid w:val="00F01354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C2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312E-3CC5-4670-84BA-B4996125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7168</Characters>
  <Application>Microsoft Office Word</Application>
  <DocSecurity>4</DocSecurity>
  <Lines>1024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2021-06-01T14:33:00Z</dcterms:created>
  <dcterms:modified xsi:type="dcterms:W3CDTF">2021-06-01T14:33:00Z</dcterms:modified>
</cp:coreProperties>
</file>