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03479D" w:rsidRPr="00B40F4D">
              <w:rPr>
                <w:b/>
                <w:sz w:val="22"/>
                <w:szCs w:val="22"/>
              </w:rPr>
              <w:t>:</w:t>
            </w:r>
            <w:r w:rsidR="00FA28AD">
              <w:rPr>
                <w:b/>
                <w:sz w:val="22"/>
                <w:szCs w:val="22"/>
              </w:rPr>
              <w:t>11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</w:t>
            </w:r>
            <w:r w:rsidR="001238B9" w:rsidRPr="00B40F4D">
              <w:rPr>
                <w:sz w:val="22"/>
                <w:szCs w:val="22"/>
              </w:rPr>
              <w:t>9</w:t>
            </w:r>
            <w:r w:rsidR="008C2D5B" w:rsidRPr="00B40F4D">
              <w:rPr>
                <w:sz w:val="22"/>
                <w:szCs w:val="22"/>
              </w:rPr>
              <w:t>-</w:t>
            </w:r>
            <w:r w:rsidR="00FA28AD">
              <w:rPr>
                <w:sz w:val="22"/>
                <w:szCs w:val="22"/>
              </w:rPr>
              <w:t>11-26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2E5096">
              <w:rPr>
                <w:sz w:val="22"/>
                <w:szCs w:val="22"/>
              </w:rPr>
              <w:t>11.</w:t>
            </w:r>
            <w:r w:rsidR="00781CA5">
              <w:rPr>
                <w:sz w:val="22"/>
                <w:szCs w:val="22"/>
              </w:rPr>
              <w:t>25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A6CF2" w:rsidRPr="00B40F4D" w:rsidTr="002241EF">
        <w:tc>
          <w:tcPr>
            <w:tcW w:w="567" w:type="dxa"/>
          </w:tcPr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EA6CF2" w:rsidRDefault="00EA6CF2" w:rsidP="00EA6CF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Inkomna EU-dokument</w:t>
            </w:r>
          </w:p>
          <w:p w:rsidR="00EA6CF2" w:rsidRDefault="00EA6CF2" w:rsidP="00EA6CF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A6CF2" w:rsidRPr="0055255C" w:rsidRDefault="00EA6CF2" w:rsidP="00EA6C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napToGrid w:val="0"/>
                <w:sz w:val="22"/>
                <w:szCs w:val="22"/>
              </w:rPr>
              <w:t>Inkomna EU-dokument m.m. enligt bilaga 2 anmäldes.</w:t>
            </w:r>
          </w:p>
          <w:p w:rsidR="00EA6CF2" w:rsidRPr="0055255C" w:rsidRDefault="00EA6CF2" w:rsidP="00EA6C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A6CF2" w:rsidRPr="0055255C" w:rsidRDefault="00EA6CF2" w:rsidP="00EA6C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napToGrid w:val="0"/>
                <w:sz w:val="22"/>
                <w:szCs w:val="22"/>
              </w:rPr>
              <w:t>Utskottet beslutade enligt 7 kap. 12 § R</w:t>
            </w:r>
            <w:r>
              <w:rPr>
                <w:snapToGrid w:val="0"/>
                <w:sz w:val="22"/>
                <w:szCs w:val="22"/>
              </w:rPr>
              <w:t>iksdagsordningen</w:t>
            </w:r>
            <w:r w:rsidRPr="0055255C">
              <w:rPr>
                <w:snapToGrid w:val="0"/>
                <w:sz w:val="22"/>
                <w:szCs w:val="22"/>
              </w:rPr>
              <w:t xml:space="preserve"> att begära överläggning med regeringen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55255C">
              <w:rPr>
                <w:snapToGrid w:val="0"/>
                <w:sz w:val="22"/>
                <w:szCs w:val="22"/>
              </w:rPr>
              <w:t>Näringsdepartementet</w:t>
            </w:r>
            <w:r>
              <w:rPr>
                <w:snapToGrid w:val="0"/>
                <w:sz w:val="22"/>
                <w:szCs w:val="22"/>
              </w:rPr>
              <w:t>, om</w:t>
            </w:r>
          </w:p>
          <w:p w:rsidR="00EA6CF2" w:rsidRPr="0055255C" w:rsidRDefault="00EA6CF2" w:rsidP="00EA6C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A6CF2" w:rsidRDefault="00EA6CF2" w:rsidP="00EA6CF2">
            <w:pPr>
              <w:rPr>
                <w:snapToGrid w:val="0"/>
                <w:sz w:val="22"/>
                <w:szCs w:val="22"/>
              </w:rPr>
            </w:pPr>
            <w:proofErr w:type="gramStart"/>
            <w:r>
              <w:rPr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snapToGrid w:val="0"/>
                <w:sz w:val="22"/>
                <w:szCs w:val="22"/>
              </w:rPr>
              <w:t>2019</w:t>
            </w:r>
            <w:r w:rsidRPr="0055255C">
              <w:rPr>
                <w:snapToGrid w:val="0"/>
                <w:sz w:val="22"/>
                <w:szCs w:val="22"/>
              </w:rPr>
              <w:t>)</w:t>
            </w:r>
            <w:r w:rsidRPr="001F32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564 </w:t>
            </w:r>
            <w:r w:rsidRPr="00AC54D6">
              <w:rPr>
                <w:sz w:val="22"/>
                <w:szCs w:val="22"/>
              </w:rPr>
              <w:t>Förslag till EUROPAPARLAMENTETS OCH RÅDETS FÖRORDNING om ändring av förordning (EU) 2016/1139 vad gäller införandet av kapacitetsbegränsningar för östlig torsk i Östersjön, datainsamling och kontrollåtgärder i Östersjön, och av förordning (EU) nr 508/2014 vad gäller definitivt upphörande för fiskeflottor som fiskar efter östlig torsk i Östersjön</w:t>
            </w:r>
            <w:r>
              <w:rPr>
                <w:sz w:val="22"/>
                <w:szCs w:val="22"/>
              </w:rPr>
              <w:t>.</w:t>
            </w:r>
          </w:p>
          <w:p w:rsidR="00EA6CF2" w:rsidRDefault="00EA6CF2" w:rsidP="00EA6CF2">
            <w:pPr>
              <w:rPr>
                <w:snapToGrid w:val="0"/>
                <w:sz w:val="22"/>
                <w:szCs w:val="22"/>
              </w:rPr>
            </w:pPr>
          </w:p>
          <w:p w:rsidR="00EA6CF2" w:rsidRPr="0055255C" w:rsidRDefault="00EA6CF2" w:rsidP="00EA6C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15AD">
              <w:rPr>
                <w:snapToGrid w:val="0"/>
                <w:sz w:val="22"/>
                <w:szCs w:val="22"/>
              </w:rPr>
              <w:t>Övriga EU-dokument lades till handlingarna.</w:t>
            </w:r>
          </w:p>
          <w:p w:rsidR="00EA6CF2" w:rsidRPr="0055255C" w:rsidRDefault="00EA6CF2" w:rsidP="00EA6C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A6CF2" w:rsidRPr="0055255C" w:rsidRDefault="00EA6CF2" w:rsidP="00EA6CF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z w:val="22"/>
                <w:szCs w:val="22"/>
              </w:rPr>
              <w:t>Denna paragraf förklarades omedelbart justerad.</w:t>
            </w:r>
          </w:p>
          <w:p w:rsidR="00EA6CF2" w:rsidRDefault="00EA6CF2" w:rsidP="00EA6CF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6CF2" w:rsidRPr="00B40F4D" w:rsidTr="002241EF">
        <w:tc>
          <w:tcPr>
            <w:tcW w:w="567" w:type="dxa"/>
          </w:tcPr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EA6CF2" w:rsidRDefault="00EA6CF2" w:rsidP="00EA6CF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Utgiftsområde 23 Areella näringar, landsbygd och livsmedel (MJU2)</w:t>
            </w:r>
          </w:p>
          <w:p w:rsidR="00EA6CF2" w:rsidRPr="00B40F4D" w:rsidRDefault="00EA6CF2" w:rsidP="00EA6CF2">
            <w:pPr>
              <w:rPr>
                <w:snapToGrid w:val="0"/>
                <w:sz w:val="22"/>
                <w:szCs w:val="22"/>
              </w:rPr>
            </w:pPr>
          </w:p>
          <w:p w:rsidR="00EA6CF2" w:rsidRDefault="00EA6CF2" w:rsidP="00EA6CF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beredningen av prop. 2019/20:1 och motioner.</w:t>
            </w:r>
          </w:p>
          <w:p w:rsidR="00EA6CF2" w:rsidRDefault="00EA6CF2" w:rsidP="00EA6CF2">
            <w:pPr>
              <w:rPr>
                <w:snapToGrid w:val="0"/>
                <w:sz w:val="22"/>
                <w:szCs w:val="22"/>
              </w:rPr>
            </w:pPr>
          </w:p>
          <w:p w:rsidR="00EA6CF2" w:rsidRDefault="00EA6CF2" w:rsidP="00EA6CF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EA6CF2" w:rsidRDefault="00EA6CF2" w:rsidP="00EA6CF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A6CF2" w:rsidRPr="00B40F4D" w:rsidTr="002241EF">
        <w:tc>
          <w:tcPr>
            <w:tcW w:w="567" w:type="dxa"/>
          </w:tcPr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EA6CF2" w:rsidRDefault="00EA6CF2" w:rsidP="00EA6CF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Uppföljningsrapport resultatredovisning utgiftsområde 23 Areella näringar, landsbygd och livsmedel</w:t>
            </w:r>
          </w:p>
          <w:p w:rsidR="00EA6CF2" w:rsidRDefault="00EA6CF2" w:rsidP="00EA6CF2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DB04D6" w:rsidRPr="00DB04D6" w:rsidRDefault="00DB04D6" w:rsidP="00DB04D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8F77CF">
              <w:rPr>
                <w:snapToGrid w:val="0"/>
                <w:sz w:val="22"/>
                <w:szCs w:val="22"/>
              </w:rPr>
              <w:t>Utskottet behandlade uppföljnings- och utvärderingsgruppens rapport-uppföljning av regeringens resultatredovisning för utgiftsområde 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8F77CF">
              <w:rPr>
                <w:snapToGrid w:val="0"/>
                <w:sz w:val="22"/>
                <w:szCs w:val="22"/>
              </w:rPr>
              <w:t xml:space="preserve"> </w:t>
            </w:r>
            <w:r w:rsidRPr="00DB04D6">
              <w:rPr>
                <w:bCs/>
                <w:color w:val="000000"/>
                <w:sz w:val="22"/>
                <w:szCs w:val="22"/>
              </w:rPr>
              <w:t>Areella näringar, landsbygd och livsmedel</w:t>
            </w:r>
          </w:p>
          <w:p w:rsidR="00DB04D6" w:rsidRDefault="00DB04D6" w:rsidP="00DB04D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</w:p>
          <w:p w:rsidR="00DB04D6" w:rsidRPr="003A243F" w:rsidRDefault="00DB04D6" w:rsidP="00DB04D6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en sammanfattning av rapporten ska ingå i betänkande 201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</w:t>
            </w: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/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:MJU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DB04D6" w:rsidRDefault="00DB04D6" w:rsidP="00EA6CF2">
            <w:pPr>
              <w:rPr>
                <w:snapToGrid w:val="0"/>
                <w:sz w:val="22"/>
                <w:szCs w:val="22"/>
              </w:rPr>
            </w:pPr>
          </w:p>
          <w:p w:rsidR="00EA6CF2" w:rsidRDefault="00EA6CF2" w:rsidP="00EA6CF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A6CF2" w:rsidRPr="00B40F4D" w:rsidTr="00C5706E">
        <w:tc>
          <w:tcPr>
            <w:tcW w:w="567" w:type="dxa"/>
          </w:tcPr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EA6CF2" w:rsidRDefault="00EA6CF2" w:rsidP="00EA6CF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 ändring av förordning (EU) nr 1306/2013 vad gäller finansiell disciplin från och med budgetåret 2021 och förordning (EU) nr 1307/2013 vad gäller flexibilitet mellan pelare avseende kalenderåret 2020</w:t>
            </w:r>
          </w:p>
          <w:p w:rsidR="00EA6CF2" w:rsidRDefault="00EA6CF2" w:rsidP="00EA6CF2">
            <w:pPr>
              <w:rPr>
                <w:b/>
                <w:snapToGrid w:val="0"/>
                <w:sz w:val="22"/>
                <w:szCs w:val="22"/>
              </w:rPr>
            </w:pPr>
          </w:p>
          <w:p w:rsidR="00EA6CF2" w:rsidRDefault="00EA6CF2" w:rsidP="00EA6CF2">
            <w:pPr>
              <w:rPr>
                <w:bCs/>
                <w:color w:val="000000"/>
                <w:sz w:val="22"/>
                <w:szCs w:val="22"/>
              </w:rPr>
            </w:pPr>
            <w:r w:rsidRPr="007D53FF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>inledde subsidiaritetsprövningen av COM (2019) 580.</w:t>
            </w:r>
          </w:p>
          <w:p w:rsidR="00EA6CF2" w:rsidRDefault="00EA6CF2" w:rsidP="00EA6CF2">
            <w:pPr>
              <w:rPr>
                <w:bCs/>
                <w:color w:val="000000"/>
                <w:sz w:val="22"/>
                <w:szCs w:val="22"/>
              </w:rPr>
            </w:pPr>
          </w:p>
          <w:p w:rsidR="00EA6CF2" w:rsidRDefault="00EA6CF2" w:rsidP="00EA6CF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EA6CF2" w:rsidRPr="00B40F4D" w:rsidRDefault="00EA6CF2" w:rsidP="00EA6CF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A6CF2" w:rsidRPr="00B40F4D" w:rsidTr="00C5706E">
        <w:tc>
          <w:tcPr>
            <w:tcW w:w="567" w:type="dxa"/>
          </w:tcPr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EA6CF2" w:rsidRDefault="00EA6CF2" w:rsidP="00EA6CF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Kommissionens förslag om fastställande av vissa övergångsbestämmelser för stöd från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Europeiska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jordbruksfonden för landsbygdsutveckling (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Ejflu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) och Europeiska garantifonden för jordbruket (EGFJ)</w:t>
            </w:r>
          </w:p>
          <w:p w:rsidR="00EA6CF2" w:rsidRDefault="00EA6CF2" w:rsidP="00EA6CF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A6CF2" w:rsidRDefault="00EA6CF2" w:rsidP="00EA6CF2">
            <w:pPr>
              <w:rPr>
                <w:bCs/>
                <w:color w:val="000000"/>
                <w:sz w:val="22"/>
                <w:szCs w:val="22"/>
              </w:rPr>
            </w:pPr>
            <w:r w:rsidRPr="007D53FF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>inledde subsidiaritetsprövningen av COM (2019) 581.</w:t>
            </w:r>
          </w:p>
          <w:p w:rsidR="00EA6CF2" w:rsidRDefault="00EA6CF2" w:rsidP="00EA6CF2">
            <w:pPr>
              <w:rPr>
                <w:bCs/>
                <w:color w:val="000000"/>
                <w:sz w:val="22"/>
                <w:szCs w:val="22"/>
              </w:rPr>
            </w:pPr>
          </w:p>
          <w:p w:rsidR="00EA6CF2" w:rsidRDefault="00EA6CF2" w:rsidP="002E5096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DB04D6" w:rsidRPr="00B40F4D" w:rsidRDefault="00DB04D6" w:rsidP="002E5096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A6CF2" w:rsidRPr="00B40F4D" w:rsidTr="00C5706E">
        <w:tc>
          <w:tcPr>
            <w:tcW w:w="567" w:type="dxa"/>
          </w:tcPr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EA6CF2" w:rsidRPr="00B40F4D" w:rsidRDefault="00EA6CF2" w:rsidP="00EA6CF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EA6CF2" w:rsidRPr="00B40F4D" w:rsidRDefault="00EA6CF2" w:rsidP="00EA6CF2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Pr="00B40F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inkom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men</w:t>
            </w:r>
            <w:r w:rsidRPr="00B40F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skrivelse </w:t>
            </w:r>
            <w:r w:rsidRPr="00B40F4D">
              <w:rPr>
                <w:snapToGrid w:val="0"/>
                <w:sz w:val="22"/>
                <w:szCs w:val="22"/>
              </w:rPr>
              <w:t xml:space="preserve">enligt bilaga 3 anmäldes </w:t>
            </w:r>
            <w:r w:rsidRPr="00B40F4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lades till handlingarna.</w:t>
            </w:r>
          </w:p>
          <w:p w:rsidR="00EA6CF2" w:rsidRPr="00B40F4D" w:rsidRDefault="00EA6CF2" w:rsidP="00EA6CF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5096" w:rsidRPr="00B40F4D" w:rsidTr="00C5706E">
        <w:tc>
          <w:tcPr>
            <w:tcW w:w="567" w:type="dxa"/>
          </w:tcPr>
          <w:p w:rsidR="002E5096" w:rsidRPr="00B40F4D" w:rsidRDefault="002E5096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2E5096" w:rsidRDefault="002E5096" w:rsidP="002E509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Beslut om överläggning</w:t>
            </w:r>
          </w:p>
          <w:p w:rsidR="007C246F" w:rsidRDefault="007C246F" w:rsidP="002E509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C246F" w:rsidRDefault="007C246F" w:rsidP="002E509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</w:t>
            </w:r>
            <w:r w:rsidRPr="0055255C">
              <w:rPr>
                <w:snapToGrid w:val="0"/>
                <w:sz w:val="22"/>
                <w:szCs w:val="22"/>
              </w:rPr>
              <w:t>enligt 7 kap. 12 § R</w:t>
            </w:r>
            <w:r>
              <w:rPr>
                <w:snapToGrid w:val="0"/>
                <w:sz w:val="22"/>
                <w:szCs w:val="22"/>
              </w:rPr>
              <w:t>iksdagsordningen</w:t>
            </w:r>
            <w:r w:rsidRPr="0055255C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att begära </w:t>
            </w:r>
            <w:bookmarkStart w:id="0" w:name="_Hlk25680376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överläggning med regeringen, Miljödepartementet, om Sveriges kommande svar till EU-kommissionen </w:t>
            </w:r>
            <w:r w:rsidR="008D5A1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avsee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nde kommissionens rekommendationer till Sverige med anledning av tidigare inlämnad bokföringsrapport enligt LULUCF-förordningen</w:t>
            </w:r>
            <w:bookmarkEnd w:id="0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(EU 2018/841).</w:t>
            </w:r>
          </w:p>
          <w:p w:rsidR="008D5A1D" w:rsidRDefault="008D5A1D" w:rsidP="002E509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D5A1D" w:rsidRPr="0055255C" w:rsidRDefault="008D5A1D" w:rsidP="008D5A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z w:val="22"/>
                <w:szCs w:val="22"/>
              </w:rPr>
              <w:t>Denna paragraf förklarades omedelbart justerad.</w:t>
            </w:r>
          </w:p>
          <w:p w:rsidR="002E5096" w:rsidRPr="00B40F4D" w:rsidRDefault="002E5096" w:rsidP="002E509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5096" w:rsidRPr="00B40F4D" w:rsidTr="00C5706E">
        <w:tc>
          <w:tcPr>
            <w:tcW w:w="567" w:type="dxa"/>
          </w:tcPr>
          <w:p w:rsidR="002E5096" w:rsidRDefault="00781CA5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2E5096" w:rsidRDefault="002E5096" w:rsidP="002E509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 Finansdepartementet</w:t>
            </w:r>
          </w:p>
          <w:p w:rsidR="002E5096" w:rsidRDefault="002E5096" w:rsidP="002E509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5096" w:rsidRDefault="002E5096" w:rsidP="002E509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09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anmälde </w:t>
            </w:r>
            <w:bookmarkStart w:id="1" w:name="_Hlk25680263"/>
            <w:r w:rsidRPr="002E509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att st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atssekreterare</w:t>
            </w:r>
            <w:r w:rsidRPr="002E509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Ulf Holm, Finansdepartementet,</w:t>
            </w:r>
            <w:r w:rsidRPr="002E509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81CA5" w:rsidRPr="00781CA5" w:rsidRDefault="00781CA5" w:rsidP="002E509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81C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informerar utskottet om</w:t>
            </w:r>
            <w:r w:rsidR="00DB04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regeringens </w:t>
            </w:r>
            <w:bookmarkStart w:id="2" w:name="_Hlk25680337"/>
            <w:bookmarkEnd w:id="1"/>
            <w:r w:rsidR="00DB04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arbete med regelverket avseende </w:t>
            </w:r>
            <w:r w:rsidRPr="00781CA5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taxonomi</w:t>
            </w:r>
            <w:r w:rsidR="007C246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B04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och hållbara finansieringar</w:t>
            </w:r>
            <w:bookmarkEnd w:id="2"/>
            <w:r w:rsidR="00DB04D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C246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tisdagen den 10 december 2019 kl. 11.30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2E5096" w:rsidRPr="00B40F4D" w:rsidRDefault="002E5096" w:rsidP="00EA6CF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A6CF2" w:rsidRPr="00B40F4D" w:rsidTr="00C5706E">
        <w:tc>
          <w:tcPr>
            <w:tcW w:w="567" w:type="dxa"/>
          </w:tcPr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1CA5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EA6CF2" w:rsidRPr="00B40F4D" w:rsidRDefault="00EA6CF2" w:rsidP="00EA6CF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EA6CF2" w:rsidRPr="00B40F4D" w:rsidRDefault="00EA6CF2" w:rsidP="00EA6CF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A6CF2" w:rsidRPr="00B40F4D" w:rsidRDefault="00EA6CF2" w:rsidP="00EA6CF2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>
              <w:rPr>
                <w:snapToGrid w:val="0"/>
                <w:sz w:val="22"/>
                <w:szCs w:val="22"/>
              </w:rPr>
              <w:t>ors</w:t>
            </w:r>
            <w:r w:rsidRPr="00B40F4D">
              <w:rPr>
                <w:snapToGrid w:val="0"/>
                <w:sz w:val="22"/>
                <w:szCs w:val="22"/>
              </w:rPr>
              <w:t xml:space="preserve">dagen den </w:t>
            </w:r>
            <w:r>
              <w:rPr>
                <w:snapToGrid w:val="0"/>
                <w:sz w:val="22"/>
                <w:szCs w:val="22"/>
              </w:rPr>
              <w:t>5</w:t>
            </w:r>
            <w:r w:rsidRPr="00B40F4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decem</w:t>
            </w:r>
            <w:r w:rsidRPr="00B40F4D">
              <w:rPr>
                <w:snapToGrid w:val="0"/>
                <w:sz w:val="22"/>
                <w:szCs w:val="22"/>
              </w:rPr>
              <w:t>ber 2019 kl. 10.00.</w:t>
            </w:r>
          </w:p>
          <w:p w:rsidR="00EA6CF2" w:rsidRPr="00B40F4D" w:rsidRDefault="00EA6CF2" w:rsidP="00EA6CF2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A6CF2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A6CF2" w:rsidRPr="00B40F4D" w:rsidRDefault="00EA6CF2" w:rsidP="00EA6CF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decem</w:t>
            </w:r>
            <w:r w:rsidRPr="00B40F4D">
              <w:rPr>
                <w:sz w:val="22"/>
                <w:szCs w:val="22"/>
              </w:rPr>
              <w:t>ber 2019</w:t>
            </w: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EA6CF2" w:rsidRPr="00B40F4D" w:rsidRDefault="00EA6CF2" w:rsidP="00EA6CF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EA6CF2" w:rsidRPr="00B40F4D" w:rsidRDefault="00993FD6" w:rsidP="00EA6CF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0724E9">
              <w:rPr>
                <w:sz w:val="22"/>
                <w:szCs w:val="22"/>
              </w:rPr>
              <w:t>11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246B81">
              <w:rPr>
                <w:sz w:val="22"/>
                <w:szCs w:val="22"/>
              </w:rPr>
              <w:t>1–9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4574C6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A6C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p w:rsidR="00091EA6" w:rsidRPr="00B40F4D" w:rsidRDefault="00091EA6">
      <w:pPr>
        <w:rPr>
          <w:sz w:val="22"/>
          <w:szCs w:val="22"/>
        </w:rPr>
      </w:pPr>
    </w:p>
    <w:tbl>
      <w:tblPr>
        <w:tblW w:w="1008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885"/>
        <w:gridCol w:w="3572"/>
        <w:gridCol w:w="1843"/>
        <w:gridCol w:w="1701"/>
        <w:gridCol w:w="992"/>
        <w:gridCol w:w="72"/>
      </w:tblGrid>
      <w:tr w:rsidR="00BE1EBF" w:rsidRPr="00B40F4D" w:rsidTr="009A0C25">
        <w:trPr>
          <w:gridBefore w:val="1"/>
          <w:gridAfter w:val="2"/>
          <w:wBefore w:w="15" w:type="dxa"/>
          <w:wAfter w:w="1064" w:type="dxa"/>
        </w:trPr>
        <w:tc>
          <w:tcPr>
            <w:tcW w:w="5457" w:type="dxa"/>
            <w:gridSpan w:val="2"/>
          </w:tcPr>
          <w:p w:rsidR="00091EA6" w:rsidRPr="00B40F4D" w:rsidRDefault="00091EA6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BE1EBF" w:rsidRPr="00B40F4D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BE1EBF" w:rsidRPr="00B40F4D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1EBF" w:rsidRPr="00B40F4D" w:rsidRDefault="00BE1EBF" w:rsidP="00FB5A4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 2</w:t>
            </w:r>
          </w:p>
          <w:p w:rsidR="00BE1EBF" w:rsidRPr="00B40F4D" w:rsidRDefault="00BE1EBF" w:rsidP="00FB5A42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:rsidR="00BE1EBF" w:rsidRPr="00B40F4D" w:rsidRDefault="00335938" w:rsidP="0033593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</w:t>
            </w:r>
            <w:r w:rsidR="009B38A7" w:rsidRPr="00B40F4D">
              <w:rPr>
                <w:sz w:val="22"/>
                <w:szCs w:val="22"/>
              </w:rPr>
              <w:t>9</w:t>
            </w:r>
            <w:r w:rsidR="00BE1EBF" w:rsidRPr="00B40F4D">
              <w:rPr>
                <w:sz w:val="22"/>
                <w:szCs w:val="22"/>
              </w:rPr>
              <w:t>/</w:t>
            </w:r>
            <w:r w:rsidR="009B38A7" w:rsidRPr="00B40F4D">
              <w:rPr>
                <w:sz w:val="22"/>
                <w:szCs w:val="22"/>
              </w:rPr>
              <w:t>20</w:t>
            </w:r>
            <w:r w:rsidR="00BE1EBF" w:rsidRPr="00B40F4D">
              <w:rPr>
                <w:sz w:val="22"/>
                <w:szCs w:val="22"/>
              </w:rPr>
              <w:t>:</w:t>
            </w:r>
            <w:r w:rsidR="000926F1">
              <w:rPr>
                <w:sz w:val="22"/>
                <w:szCs w:val="22"/>
              </w:rPr>
              <w:t>11</w:t>
            </w:r>
          </w:p>
        </w:tc>
      </w:tr>
      <w:tr w:rsidR="00AB1421" w:rsidRPr="00B40F4D" w:rsidTr="009A0C25">
        <w:trPr>
          <w:gridBefore w:val="1"/>
          <w:gridAfter w:val="1"/>
          <w:wBefore w:w="15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B1421" w:rsidRPr="00B40F4D" w:rsidRDefault="00AB1421" w:rsidP="002A14AC">
            <w:pPr>
              <w:widowControl/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Till MJU inkom</w:t>
            </w:r>
            <w:r w:rsidR="00A65C53" w:rsidRPr="00B40F4D">
              <w:rPr>
                <w:b/>
                <w:bCs/>
                <w:sz w:val="22"/>
                <w:szCs w:val="22"/>
              </w:rPr>
              <w:t xml:space="preserve">na EU-dokument m.m. </w:t>
            </w:r>
            <w:r w:rsidR="00DB04D6">
              <w:rPr>
                <w:b/>
                <w:bCs/>
                <w:sz w:val="22"/>
                <w:szCs w:val="22"/>
              </w:rPr>
              <w:t>1–20</w:t>
            </w:r>
            <w:r w:rsidR="00204A24">
              <w:rPr>
                <w:b/>
                <w:bCs/>
                <w:sz w:val="22"/>
                <w:szCs w:val="22"/>
              </w:rPr>
              <w:t xml:space="preserve"> november</w:t>
            </w:r>
            <w:r w:rsidR="00A65C53" w:rsidRPr="00B40F4D">
              <w:rPr>
                <w:b/>
                <w:bCs/>
                <w:sz w:val="22"/>
                <w:szCs w:val="22"/>
              </w:rPr>
              <w:t xml:space="preserve"> </w:t>
            </w:r>
            <w:r w:rsidR="002D06F9" w:rsidRPr="00B40F4D">
              <w:rPr>
                <w:b/>
                <w:bCs/>
                <w:sz w:val="22"/>
                <w:szCs w:val="22"/>
              </w:rPr>
              <w:t>201</w:t>
            </w:r>
            <w:r w:rsidR="001238B9" w:rsidRPr="00B40F4D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9A0C25" w:rsidRPr="00B40F4D" w:rsidTr="009A0C25">
        <w:trPr>
          <w:gridBefore w:val="1"/>
          <w:gridAfter w:val="1"/>
          <w:wBefore w:w="15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A0C25" w:rsidRPr="00B40F4D" w:rsidRDefault="009A0C25" w:rsidP="00BB69BD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9A0C2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A0C25" w:rsidRPr="00B40F4D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A0C25" w:rsidRPr="00B40F4D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73163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31635" w:rsidRPr="00DD7E15" w:rsidRDefault="00731635" w:rsidP="00731635">
            <w:pPr>
              <w:rPr>
                <w:bCs/>
                <w:sz w:val="22"/>
                <w:szCs w:val="22"/>
              </w:rPr>
            </w:pPr>
            <w:proofErr w:type="gramStart"/>
            <w:r w:rsidRPr="0053213C">
              <w:rPr>
                <w:bCs/>
                <w:sz w:val="22"/>
                <w:szCs w:val="22"/>
              </w:rPr>
              <w:t>COM(</w:t>
            </w:r>
            <w:proofErr w:type="gramEnd"/>
            <w:r w:rsidRPr="0053213C">
              <w:rPr>
                <w:bCs/>
                <w:sz w:val="22"/>
                <w:szCs w:val="22"/>
              </w:rPr>
              <w:t>2019)</w:t>
            </w:r>
            <w:r>
              <w:rPr>
                <w:bCs/>
                <w:sz w:val="22"/>
                <w:szCs w:val="22"/>
              </w:rPr>
              <w:t xml:space="preserve"> 557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731635" w:rsidRPr="00DD7E15" w:rsidRDefault="00731635" w:rsidP="00731635">
            <w:pPr>
              <w:rPr>
                <w:bCs/>
                <w:sz w:val="22"/>
                <w:szCs w:val="22"/>
              </w:rPr>
            </w:pPr>
            <w:r w:rsidRPr="00DD7E15">
              <w:rPr>
                <w:bCs/>
                <w:sz w:val="22"/>
                <w:szCs w:val="22"/>
              </w:rPr>
              <w:t xml:space="preserve">RAPPORT FRÅN KOMMISSIONEN TILL EUROPAPARLAMENTET OCH RÅDET Rapport om den europeiska koldioxidmarknadens funktion </w:t>
            </w:r>
          </w:p>
          <w:p w:rsidR="00731635" w:rsidRPr="00DD7E15" w:rsidRDefault="00731635" w:rsidP="00272655">
            <w:pPr>
              <w:rPr>
                <w:bCs/>
                <w:sz w:val="22"/>
                <w:szCs w:val="22"/>
              </w:rPr>
            </w:pPr>
          </w:p>
        </w:tc>
      </w:tr>
      <w:tr w:rsidR="0073163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31635" w:rsidRDefault="00731635" w:rsidP="00731635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COM(</w:t>
            </w:r>
            <w:proofErr w:type="gramEnd"/>
            <w:r>
              <w:rPr>
                <w:bCs/>
                <w:sz w:val="22"/>
                <w:szCs w:val="22"/>
              </w:rPr>
              <w:t>2019) 559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731635" w:rsidRPr="004D0E8D" w:rsidRDefault="00731635" w:rsidP="00731635">
            <w:pPr>
              <w:rPr>
                <w:bCs/>
                <w:sz w:val="22"/>
                <w:szCs w:val="22"/>
              </w:rPr>
            </w:pPr>
            <w:r w:rsidRPr="004D0E8D">
              <w:rPr>
                <w:bCs/>
                <w:sz w:val="22"/>
                <w:szCs w:val="22"/>
              </w:rPr>
              <w:t xml:space="preserve">RAPPORT FRÅN KOMMISSIONEN TILL EUROPAPARLAMENTET OCH RÅDET Förberedande insatser för att höja den långsiktiga ambitionsnivån Lägesrapport om EU:s klimatåtgärder </w:t>
            </w:r>
          </w:p>
          <w:p w:rsidR="00731635" w:rsidRPr="00454557" w:rsidRDefault="00731635" w:rsidP="00272655">
            <w:pPr>
              <w:rPr>
                <w:bCs/>
                <w:sz w:val="22"/>
                <w:szCs w:val="22"/>
              </w:rPr>
            </w:pPr>
          </w:p>
        </w:tc>
      </w:tr>
      <w:tr w:rsidR="0073163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31635" w:rsidRPr="0053213C" w:rsidRDefault="00731635" w:rsidP="00731635">
            <w:pPr>
              <w:rPr>
                <w:bCs/>
                <w:sz w:val="22"/>
                <w:szCs w:val="22"/>
              </w:rPr>
            </w:pPr>
            <w:proofErr w:type="gramStart"/>
            <w:r w:rsidRPr="0053213C">
              <w:rPr>
                <w:bCs/>
                <w:sz w:val="22"/>
                <w:szCs w:val="22"/>
              </w:rPr>
              <w:t>COM(</w:t>
            </w:r>
            <w:proofErr w:type="gramEnd"/>
            <w:r w:rsidRPr="0053213C">
              <w:rPr>
                <w:bCs/>
                <w:sz w:val="22"/>
                <w:szCs w:val="22"/>
              </w:rPr>
              <w:t>2019)</w:t>
            </w:r>
            <w:r>
              <w:rPr>
                <w:bCs/>
                <w:sz w:val="22"/>
                <w:szCs w:val="22"/>
              </w:rPr>
              <w:t xml:space="preserve"> 564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731635" w:rsidRPr="00FE1DB5" w:rsidRDefault="00731635" w:rsidP="00731635">
            <w:pPr>
              <w:rPr>
                <w:bCs/>
                <w:sz w:val="22"/>
                <w:szCs w:val="22"/>
              </w:rPr>
            </w:pPr>
            <w:r w:rsidRPr="00FE1DB5">
              <w:rPr>
                <w:bCs/>
                <w:sz w:val="22"/>
                <w:szCs w:val="22"/>
              </w:rPr>
              <w:t xml:space="preserve">Förslag till EUROPAPARLAMENTETS OCH RÅDETS FÖRORDNING om ändring av förordning (EU) 2016/1139 vad gäller införandet av kapacitetsbegränsningar för östlig torsk i Östersjön, datainsamling och kontrollåtgärder i Östersjön, och av förordning (EU) nr 508/2014 vad gäller definitivt upphörande för fiskeflottor som fiskar efter östlig torsk i Östersjön  </w:t>
            </w:r>
          </w:p>
          <w:p w:rsidR="00731635" w:rsidRPr="0053213C" w:rsidRDefault="00731635" w:rsidP="00272655">
            <w:pPr>
              <w:rPr>
                <w:bCs/>
                <w:sz w:val="22"/>
                <w:szCs w:val="22"/>
              </w:rPr>
            </w:pPr>
          </w:p>
        </w:tc>
      </w:tr>
      <w:tr w:rsidR="0073163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31635" w:rsidRPr="00B046EA" w:rsidRDefault="00731635" w:rsidP="00731635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COM(</w:t>
            </w:r>
            <w:proofErr w:type="gramEnd"/>
            <w:r>
              <w:rPr>
                <w:bCs/>
                <w:sz w:val="22"/>
                <w:szCs w:val="22"/>
              </w:rPr>
              <w:t>2019) 580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731635" w:rsidRDefault="00731635" w:rsidP="00731635">
            <w:pPr>
              <w:rPr>
                <w:bCs/>
                <w:sz w:val="22"/>
                <w:szCs w:val="22"/>
              </w:rPr>
            </w:pPr>
            <w:r w:rsidRPr="00127EEB">
              <w:rPr>
                <w:bCs/>
                <w:sz w:val="22"/>
                <w:szCs w:val="22"/>
              </w:rPr>
              <w:t xml:space="preserve">Förslag till EUROPAPARLAMENTETS OCH RÅDETS FÖRORDNING om ändring av förordning (EU) nr 1306/2013 vad gäller finansiell disciplin från och med budgetåret 2021 och förordning (EU) nr 1307/2013 vad gäller flexibilitet mellan pelare avseende kalenderåret 2020 </w:t>
            </w:r>
          </w:p>
          <w:p w:rsidR="00731635" w:rsidRPr="00CD6E78" w:rsidRDefault="00731635" w:rsidP="00731635">
            <w:pPr>
              <w:rPr>
                <w:bCs/>
                <w:sz w:val="22"/>
                <w:szCs w:val="22"/>
              </w:rPr>
            </w:pPr>
          </w:p>
        </w:tc>
      </w:tr>
      <w:tr w:rsidR="00731635" w:rsidRPr="00B40F4D" w:rsidTr="0073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635" w:rsidRPr="00B046EA" w:rsidRDefault="00731635" w:rsidP="00731635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COM(</w:t>
            </w:r>
            <w:proofErr w:type="gramEnd"/>
            <w:r>
              <w:rPr>
                <w:bCs/>
                <w:sz w:val="22"/>
                <w:szCs w:val="22"/>
              </w:rPr>
              <w:t>2019) 581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1635" w:rsidRPr="001044A9" w:rsidRDefault="00731635" w:rsidP="00731635">
            <w:pPr>
              <w:rPr>
                <w:bCs/>
                <w:sz w:val="22"/>
                <w:szCs w:val="22"/>
              </w:rPr>
            </w:pPr>
            <w:r w:rsidRPr="001044A9">
              <w:rPr>
                <w:bCs/>
                <w:sz w:val="22"/>
                <w:szCs w:val="22"/>
              </w:rPr>
              <w:t>Förslag till EUROPAPARLAMENTETS OCH RÅDETS FÖRORDNING om fastställande av vissa övergångsbestämmelser för stöd från Europeiska jordbruksfonden för landsbygdsutveckling (</w:t>
            </w:r>
            <w:proofErr w:type="spellStart"/>
            <w:r w:rsidRPr="001044A9">
              <w:rPr>
                <w:bCs/>
                <w:sz w:val="22"/>
                <w:szCs w:val="22"/>
              </w:rPr>
              <w:t>Ejflu</w:t>
            </w:r>
            <w:proofErr w:type="spellEnd"/>
            <w:r w:rsidRPr="001044A9">
              <w:rPr>
                <w:bCs/>
                <w:sz w:val="22"/>
                <w:szCs w:val="22"/>
              </w:rPr>
              <w:t xml:space="preserve">) och Europeiska garantifonden för jordbruket (EGFJ) under år 2021, om ändring av förordningarna (EU) nr 228/2013, (EU) nr 229/2013 och (EU) nr 1308/2013 vad gäller resurser och resursfördelning under år 2021 och om ändring av förordningarna (EU) nr 1305/2013, (EU) nr 1306/2013 och (EU) nr 1307/2013 vad gäller deras resurser och tillämpning under år 2021 </w:t>
            </w:r>
          </w:p>
          <w:p w:rsidR="00731635" w:rsidRPr="001044A9" w:rsidRDefault="00731635" w:rsidP="00731635">
            <w:pPr>
              <w:rPr>
                <w:bCs/>
                <w:sz w:val="22"/>
                <w:szCs w:val="22"/>
              </w:rPr>
            </w:pPr>
            <w:r w:rsidRPr="001044A9">
              <w:rPr>
                <w:bCs/>
                <w:sz w:val="22"/>
                <w:szCs w:val="22"/>
              </w:rPr>
              <w:t xml:space="preserve">Klicka på länken för fullständig information om dokumentet: </w:t>
            </w:r>
          </w:p>
          <w:p w:rsidR="00731635" w:rsidRPr="00127EEB" w:rsidRDefault="00731635" w:rsidP="00731635">
            <w:pPr>
              <w:rPr>
                <w:bCs/>
                <w:sz w:val="22"/>
                <w:szCs w:val="22"/>
              </w:rPr>
            </w:pPr>
          </w:p>
        </w:tc>
      </w:tr>
      <w:tr w:rsidR="0073163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731635" w:rsidRPr="00B046EA" w:rsidRDefault="00731635" w:rsidP="00731635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COM(</w:t>
            </w:r>
            <w:proofErr w:type="gramEnd"/>
            <w:r>
              <w:rPr>
                <w:bCs/>
                <w:sz w:val="22"/>
                <w:szCs w:val="22"/>
              </w:rPr>
              <w:t>2019) 595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731635" w:rsidRDefault="00731635" w:rsidP="00731635">
            <w:pPr>
              <w:rPr>
                <w:bCs/>
                <w:sz w:val="22"/>
                <w:szCs w:val="22"/>
              </w:rPr>
            </w:pPr>
            <w:r w:rsidRPr="00F67554">
              <w:rPr>
                <w:bCs/>
                <w:sz w:val="22"/>
                <w:szCs w:val="22"/>
              </w:rPr>
              <w:t>Rekommendation till RÅDETS BESLUT om bemyndigande att inleda förhandlingar om en ändring av Internationella sockeravtalet 1992</w:t>
            </w:r>
          </w:p>
          <w:p w:rsidR="00731635" w:rsidRPr="009F4CFD" w:rsidRDefault="00731635" w:rsidP="00731635">
            <w:pPr>
              <w:rPr>
                <w:bCs/>
                <w:sz w:val="22"/>
                <w:szCs w:val="22"/>
              </w:rPr>
            </w:pPr>
          </w:p>
        </w:tc>
      </w:tr>
      <w:tr w:rsidR="00731635" w:rsidRPr="00B40F4D" w:rsidTr="0073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080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731635" w:rsidRPr="00B40F4D" w:rsidRDefault="00731635" w:rsidP="00731635">
            <w:pPr>
              <w:pStyle w:val="Rubrik1"/>
              <w:spacing w:before="0" w:after="0"/>
              <w:rPr>
                <w:bCs/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C-dokument för kännedom. (Handlingar som rör rättsakter från kommissionens eget ansvarsområde, bl.a. genomförandeakter och delegerade akter som lämnats till rådet och parlamentet för kännedom).</w:t>
            </w:r>
          </w:p>
        </w:tc>
      </w:tr>
      <w:tr w:rsidR="00731635" w:rsidRPr="00B40F4D" w:rsidTr="007316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31635" w:rsidRPr="00B40F4D" w:rsidRDefault="00731635" w:rsidP="00731635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731635" w:rsidRPr="00B40F4D" w:rsidRDefault="00731635" w:rsidP="0073163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Rubrik</w:t>
            </w:r>
          </w:p>
        </w:tc>
      </w:tr>
      <w:tr w:rsidR="005C61F7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5C61F7" w:rsidRPr="003131FE" w:rsidRDefault="005C61F7" w:rsidP="005C61F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C(</w:t>
            </w:r>
            <w:proofErr w:type="gramEnd"/>
            <w:r>
              <w:rPr>
                <w:bCs/>
                <w:sz w:val="22"/>
                <w:szCs w:val="22"/>
              </w:rPr>
              <w:t>2019) 7873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5C61F7" w:rsidRPr="00C14AC5" w:rsidRDefault="005C61F7" w:rsidP="005C61F7">
            <w:pPr>
              <w:rPr>
                <w:sz w:val="22"/>
                <w:szCs w:val="22"/>
              </w:rPr>
            </w:pPr>
            <w:r w:rsidRPr="00C14AC5">
              <w:rPr>
                <w:sz w:val="22"/>
                <w:szCs w:val="22"/>
              </w:rPr>
              <w:t xml:space="preserve">KOMMISSIONENS GENOMFÖRANDEBESLUT av den 7.11.2019 om ändring av kommissionens beslut 2010/346/EU vad gäller regionalisering i Rumänien för tillämpningen av skyddsåtgärder när det gäller </w:t>
            </w:r>
            <w:proofErr w:type="spellStart"/>
            <w:r w:rsidRPr="00C14AC5">
              <w:rPr>
                <w:sz w:val="22"/>
                <w:szCs w:val="22"/>
              </w:rPr>
              <w:t>equin</w:t>
            </w:r>
            <w:proofErr w:type="spellEnd"/>
            <w:r w:rsidRPr="00C14AC5">
              <w:rPr>
                <w:sz w:val="22"/>
                <w:szCs w:val="22"/>
              </w:rPr>
              <w:t xml:space="preserve"> infektiös anemi</w:t>
            </w:r>
          </w:p>
          <w:p w:rsidR="005C61F7" w:rsidRPr="0058132D" w:rsidRDefault="005C61F7" w:rsidP="005C61F7">
            <w:pPr>
              <w:rPr>
                <w:sz w:val="22"/>
                <w:szCs w:val="22"/>
              </w:rPr>
            </w:pPr>
          </w:p>
        </w:tc>
      </w:tr>
      <w:tr w:rsidR="005C61F7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5C61F7" w:rsidRPr="003131FE" w:rsidRDefault="005C61F7" w:rsidP="005C61F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C(</w:t>
            </w:r>
            <w:proofErr w:type="gramEnd"/>
            <w:r>
              <w:rPr>
                <w:bCs/>
                <w:sz w:val="22"/>
                <w:szCs w:val="22"/>
              </w:rPr>
              <w:t>2019) 7874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5C61F7" w:rsidRPr="00646EF2" w:rsidRDefault="005C61F7" w:rsidP="005C61F7">
            <w:pPr>
              <w:rPr>
                <w:sz w:val="22"/>
                <w:szCs w:val="22"/>
              </w:rPr>
            </w:pPr>
            <w:r w:rsidRPr="00646EF2">
              <w:rPr>
                <w:sz w:val="22"/>
                <w:szCs w:val="22"/>
              </w:rPr>
              <w:t xml:space="preserve">KOMMISSIONENS GENOMFÖRANDEBESLUT av den 6.11.2019 om fastställande av regler för beräkning, kontroll och rapportering av uppgifter om deponering av kommunalt avfall i enlighet med rådets direktiv 1999/31/EG och om upphävande av kommissionens beslut 2000/738/EG </w:t>
            </w:r>
          </w:p>
          <w:p w:rsidR="005C61F7" w:rsidRPr="00C14AC5" w:rsidRDefault="005C61F7" w:rsidP="005C61F7">
            <w:pPr>
              <w:rPr>
                <w:sz w:val="22"/>
                <w:szCs w:val="22"/>
              </w:rPr>
            </w:pPr>
          </w:p>
        </w:tc>
      </w:tr>
      <w:tr w:rsidR="005C61F7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5C61F7" w:rsidRPr="003131FE" w:rsidRDefault="005C61F7" w:rsidP="005C61F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C(</w:t>
            </w:r>
            <w:proofErr w:type="gramEnd"/>
            <w:r>
              <w:rPr>
                <w:bCs/>
                <w:sz w:val="22"/>
                <w:szCs w:val="22"/>
              </w:rPr>
              <w:t>2019) 7899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5C61F7" w:rsidRPr="001F503C" w:rsidRDefault="005C61F7" w:rsidP="005C61F7">
            <w:pPr>
              <w:rPr>
                <w:sz w:val="22"/>
                <w:szCs w:val="22"/>
              </w:rPr>
            </w:pPr>
            <w:r w:rsidRPr="001F503C">
              <w:rPr>
                <w:sz w:val="22"/>
                <w:szCs w:val="22"/>
              </w:rPr>
              <w:t xml:space="preserve">KOMMISSIONENS GENOMFÖRANDEBESLUT av den 7.11.2019 om ändring av genomförandebeslut 2014/709/EU vad gäller tillgången till förteckningen över godkända anläggningar och dess aktualitet </w:t>
            </w:r>
          </w:p>
          <w:p w:rsidR="005C61F7" w:rsidRPr="0058132D" w:rsidRDefault="005C61F7" w:rsidP="005C61F7">
            <w:pPr>
              <w:rPr>
                <w:sz w:val="22"/>
                <w:szCs w:val="22"/>
              </w:rPr>
            </w:pPr>
          </w:p>
        </w:tc>
      </w:tr>
      <w:tr w:rsidR="005C61F7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5C61F7" w:rsidRPr="003131FE" w:rsidRDefault="005C61F7" w:rsidP="005C61F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C(</w:t>
            </w:r>
            <w:proofErr w:type="gramEnd"/>
            <w:r>
              <w:rPr>
                <w:bCs/>
                <w:sz w:val="22"/>
                <w:szCs w:val="22"/>
              </w:rPr>
              <w:t>2019) 7905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5C61F7" w:rsidRPr="0058132D" w:rsidRDefault="005C61F7" w:rsidP="005C61F7">
            <w:pPr>
              <w:rPr>
                <w:sz w:val="22"/>
                <w:szCs w:val="22"/>
              </w:rPr>
            </w:pPr>
            <w:r w:rsidRPr="004629F4">
              <w:rPr>
                <w:sz w:val="22"/>
                <w:szCs w:val="22"/>
              </w:rPr>
              <w:t xml:space="preserve">KOMMISSIONENS GENOMFÖRANDEBESLUT av den 7.11.2019 om erkännande av flera öar i Portugal som </w:t>
            </w:r>
            <w:proofErr w:type="spellStart"/>
            <w:r w:rsidRPr="004629F4">
              <w:rPr>
                <w:sz w:val="22"/>
                <w:szCs w:val="22"/>
              </w:rPr>
              <w:t>varroafria</w:t>
            </w:r>
            <w:proofErr w:type="spellEnd"/>
            <w:r w:rsidRPr="004629F4">
              <w:rPr>
                <w:sz w:val="22"/>
                <w:szCs w:val="22"/>
              </w:rPr>
              <w:t xml:space="preserve"> och om ändring av bilagan till genomförandebeslut </w:t>
            </w:r>
            <w:r w:rsidRPr="004629F4">
              <w:rPr>
                <w:sz w:val="22"/>
                <w:szCs w:val="22"/>
              </w:rPr>
              <w:lastRenderedPageBreak/>
              <w:t xml:space="preserve">2013/503/EU </w:t>
            </w:r>
          </w:p>
        </w:tc>
      </w:tr>
      <w:tr w:rsidR="005C61F7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5C61F7" w:rsidRPr="003131FE" w:rsidRDefault="005C61F7" w:rsidP="005C61F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lastRenderedPageBreak/>
              <w:t>C(</w:t>
            </w:r>
            <w:proofErr w:type="gramEnd"/>
            <w:r>
              <w:rPr>
                <w:bCs/>
                <w:sz w:val="22"/>
                <w:szCs w:val="22"/>
              </w:rPr>
              <w:t>2019) 7987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5C61F7" w:rsidRPr="00616603" w:rsidRDefault="005C61F7" w:rsidP="005C61F7">
            <w:pPr>
              <w:rPr>
                <w:sz w:val="22"/>
                <w:szCs w:val="22"/>
              </w:rPr>
            </w:pPr>
            <w:r w:rsidRPr="00616603">
              <w:rPr>
                <w:sz w:val="22"/>
                <w:szCs w:val="22"/>
              </w:rPr>
              <w:t>KOMMISSIONENS GENOMFÖRANDEBESLUT av den 12.11.2019 om fastställande av BAT-slutsatser för avfallsförbränning, i enlighet med</w:t>
            </w:r>
          </w:p>
          <w:p w:rsidR="005C61F7" w:rsidRPr="00616603" w:rsidRDefault="005C61F7" w:rsidP="005C61F7">
            <w:pPr>
              <w:rPr>
                <w:sz w:val="22"/>
                <w:szCs w:val="22"/>
              </w:rPr>
            </w:pPr>
            <w:r w:rsidRPr="00616603">
              <w:rPr>
                <w:sz w:val="22"/>
                <w:szCs w:val="22"/>
              </w:rPr>
              <w:t xml:space="preserve">Europaparlamentets och rådets direktiv 2010/75/EU </w:t>
            </w:r>
          </w:p>
          <w:p w:rsidR="005C61F7" w:rsidRPr="004629F4" w:rsidRDefault="005C61F7" w:rsidP="005C61F7">
            <w:pPr>
              <w:rPr>
                <w:sz w:val="22"/>
                <w:szCs w:val="22"/>
              </w:rPr>
            </w:pPr>
          </w:p>
        </w:tc>
      </w:tr>
      <w:tr w:rsidR="005C61F7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5C61F7" w:rsidRPr="003131FE" w:rsidRDefault="005C61F7" w:rsidP="005C61F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C(</w:t>
            </w:r>
            <w:proofErr w:type="gramEnd"/>
            <w:r>
              <w:rPr>
                <w:bCs/>
                <w:sz w:val="22"/>
                <w:szCs w:val="22"/>
              </w:rPr>
              <w:t>2019) 7989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5C61F7" w:rsidRDefault="005C61F7" w:rsidP="005C61F7">
            <w:pPr>
              <w:rPr>
                <w:sz w:val="22"/>
                <w:szCs w:val="22"/>
              </w:rPr>
            </w:pPr>
            <w:r w:rsidRPr="002B2DCF">
              <w:rPr>
                <w:sz w:val="22"/>
                <w:szCs w:val="22"/>
              </w:rPr>
              <w:t xml:space="preserve">KOMMISSIONENS GENOMFÖRANDEBESLUT av den 12.11.2019 om fastställande av BAT-slutsatser för livsmedels-, dryckes- och mjölkindustrin, i enlighet med Europaparlamentets och rådets direktiv 2010/75/EU </w:t>
            </w:r>
          </w:p>
          <w:p w:rsidR="005C61F7" w:rsidRPr="00616603" w:rsidRDefault="005C61F7" w:rsidP="005C61F7">
            <w:pPr>
              <w:rPr>
                <w:sz w:val="22"/>
                <w:szCs w:val="22"/>
              </w:rPr>
            </w:pPr>
          </w:p>
        </w:tc>
      </w:tr>
      <w:tr w:rsidR="005C61F7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5C61F7" w:rsidRPr="003131FE" w:rsidRDefault="005C61F7" w:rsidP="005C61F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C(</w:t>
            </w:r>
            <w:proofErr w:type="gramEnd"/>
            <w:r>
              <w:rPr>
                <w:bCs/>
                <w:sz w:val="22"/>
                <w:szCs w:val="22"/>
              </w:rPr>
              <w:t>2019) 8161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5C61F7" w:rsidRPr="00690CC8" w:rsidRDefault="005C61F7" w:rsidP="005C61F7">
            <w:pPr>
              <w:rPr>
                <w:sz w:val="22"/>
                <w:szCs w:val="22"/>
              </w:rPr>
            </w:pPr>
            <w:r w:rsidRPr="00690CC8">
              <w:rPr>
                <w:sz w:val="22"/>
                <w:szCs w:val="22"/>
              </w:rPr>
              <w:t xml:space="preserve">KOMMISSIONENS GENOMFÖRANDEBESLUT av den 12.11.2019 om ändring av bilagan till genomförandebeslut 2014/709/EU om djurhälsoåtgärder för att bekämpa afrikansk svinpest i vissa medlemsstater </w:t>
            </w:r>
          </w:p>
          <w:p w:rsidR="005C61F7" w:rsidRPr="00690CC8" w:rsidRDefault="005C61F7" w:rsidP="005C61F7">
            <w:pPr>
              <w:rPr>
                <w:sz w:val="22"/>
                <w:szCs w:val="22"/>
              </w:rPr>
            </w:pPr>
          </w:p>
        </w:tc>
      </w:tr>
      <w:tr w:rsidR="005C61F7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5C61F7" w:rsidRPr="003131FE" w:rsidRDefault="005C61F7" w:rsidP="005C61F7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C(</w:t>
            </w:r>
            <w:proofErr w:type="gramEnd"/>
            <w:r>
              <w:rPr>
                <w:bCs/>
                <w:sz w:val="22"/>
                <w:szCs w:val="22"/>
              </w:rPr>
              <w:t>2019) 8424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5C61F7" w:rsidRPr="00DD7E15" w:rsidRDefault="005C61F7" w:rsidP="005C61F7">
            <w:pPr>
              <w:rPr>
                <w:sz w:val="22"/>
                <w:szCs w:val="22"/>
              </w:rPr>
            </w:pPr>
            <w:r w:rsidRPr="00DD7E15">
              <w:rPr>
                <w:sz w:val="22"/>
                <w:szCs w:val="22"/>
              </w:rPr>
              <w:t xml:space="preserve">KOMMISSIONENS GENOMFÖRANDEBESLUT av den 19.11.2019 om ändring av bilagan till genomförandebeslut 2014/709/EU om djurhälsoåtgärder för att bekämpa afrikansk svinpest i vissa medlemsstater </w:t>
            </w:r>
          </w:p>
          <w:p w:rsidR="005C61F7" w:rsidRPr="00690CC8" w:rsidRDefault="005C61F7" w:rsidP="005C61F7">
            <w:pPr>
              <w:rPr>
                <w:sz w:val="22"/>
                <w:szCs w:val="22"/>
              </w:rPr>
            </w:pPr>
          </w:p>
        </w:tc>
      </w:tr>
      <w:tr w:rsidR="005C61F7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080" w:type="dxa"/>
            <w:gridSpan w:val="7"/>
            <w:shd w:val="clear" w:color="auto" w:fill="auto"/>
            <w:vAlign w:val="center"/>
          </w:tcPr>
          <w:p w:rsidR="005C61F7" w:rsidRPr="00B40F4D" w:rsidRDefault="005C61F7" w:rsidP="005C61F7">
            <w:pPr>
              <w:rPr>
                <w:b/>
                <w:kern w:val="32"/>
                <w:sz w:val="22"/>
                <w:szCs w:val="22"/>
              </w:rPr>
            </w:pPr>
            <w:r w:rsidRPr="00B40F4D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9F6F9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F6F95" w:rsidRPr="002E5267" w:rsidRDefault="009F6F95" w:rsidP="009F6F95">
            <w:pPr>
              <w:rPr>
                <w:b/>
                <w:bCs/>
                <w:sz w:val="22"/>
                <w:szCs w:val="22"/>
              </w:rPr>
            </w:pPr>
            <w:r w:rsidRPr="002E5267">
              <w:rPr>
                <w:b/>
                <w:bCs/>
                <w:sz w:val="22"/>
                <w:szCs w:val="22"/>
              </w:rPr>
              <w:t>F</w:t>
            </w:r>
            <w:r>
              <w:rPr>
                <w:b/>
                <w:bCs/>
                <w:sz w:val="22"/>
                <w:szCs w:val="22"/>
              </w:rPr>
              <w:t>ärdplaner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F6F95" w:rsidRDefault="009F6F95" w:rsidP="009F6F95">
            <w:pPr>
              <w:rPr>
                <w:bCs/>
                <w:sz w:val="22"/>
                <w:szCs w:val="22"/>
              </w:rPr>
            </w:pPr>
          </w:p>
        </w:tc>
      </w:tr>
      <w:tr w:rsidR="009F6F9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520149" w:rsidRDefault="009F6F95" w:rsidP="009F6F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</w:t>
            </w:r>
            <w:r w:rsidRPr="00520149">
              <w:rPr>
                <w:bCs/>
                <w:sz w:val="22"/>
                <w:szCs w:val="22"/>
              </w:rPr>
              <w:t>ppdatering av EU:s handlingsplan för Atlanten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E1445A" w:rsidRDefault="009F6F95" w:rsidP="009F6F95">
            <w:pPr>
              <w:rPr>
                <w:bCs/>
                <w:sz w:val="22"/>
                <w:szCs w:val="22"/>
              </w:rPr>
            </w:pPr>
            <w:r w:rsidRPr="00E1445A">
              <w:rPr>
                <w:bCs/>
                <w:sz w:val="22"/>
                <w:szCs w:val="22"/>
              </w:rPr>
              <w:t xml:space="preserve">Meddelande om färdplan uppdatering av EU:s handlingsplan för Atlanten </w:t>
            </w:r>
          </w:p>
          <w:p w:rsidR="009F6F95" w:rsidRDefault="009F6F95" w:rsidP="009F6F95">
            <w:pPr>
              <w:rPr>
                <w:bCs/>
                <w:sz w:val="22"/>
                <w:szCs w:val="22"/>
              </w:rPr>
            </w:pPr>
          </w:p>
        </w:tc>
      </w:tr>
      <w:tr w:rsidR="009F6F9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2E5267" w:rsidRDefault="009F6F95" w:rsidP="009F6F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E1445A" w:rsidRDefault="009F6F95" w:rsidP="009F6F95">
            <w:pPr>
              <w:rPr>
                <w:bCs/>
                <w:sz w:val="22"/>
                <w:szCs w:val="22"/>
              </w:rPr>
            </w:pPr>
          </w:p>
        </w:tc>
      </w:tr>
      <w:tr w:rsidR="009F6F9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87625A" w:rsidRDefault="009F6F95" w:rsidP="009F6F95">
            <w:pPr>
              <w:rPr>
                <w:bCs/>
                <w:sz w:val="22"/>
                <w:szCs w:val="22"/>
              </w:rPr>
            </w:pPr>
            <w:r w:rsidRPr="0087625A">
              <w:rPr>
                <w:bCs/>
                <w:sz w:val="22"/>
                <w:szCs w:val="22"/>
              </w:rPr>
              <w:t>Samråd gods-transporter och kvalitetsmärkning av jordbruks</w:t>
            </w:r>
            <w:r>
              <w:rPr>
                <w:bCs/>
                <w:sz w:val="22"/>
                <w:szCs w:val="22"/>
              </w:rPr>
              <w:t>-</w:t>
            </w:r>
            <w:r w:rsidRPr="0087625A">
              <w:rPr>
                <w:bCs/>
                <w:sz w:val="22"/>
                <w:szCs w:val="22"/>
              </w:rPr>
              <w:t>produkter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87625A" w:rsidRDefault="009F6F95" w:rsidP="009F6F95">
            <w:pPr>
              <w:rPr>
                <w:bCs/>
                <w:sz w:val="22"/>
                <w:szCs w:val="22"/>
              </w:rPr>
            </w:pPr>
            <w:r w:rsidRPr="0087625A">
              <w:rPr>
                <w:bCs/>
                <w:sz w:val="22"/>
                <w:szCs w:val="22"/>
              </w:rPr>
              <w:t>Meddelande om samråd om utvärdering av kvalitetsmärkningen av livsmedelsprodukter och om utvärdering av nätverk för godstransporter på järnväg inom EU</w:t>
            </w:r>
          </w:p>
          <w:p w:rsidR="009F6F95" w:rsidRPr="0087625A" w:rsidRDefault="009F6F95" w:rsidP="009F6F95">
            <w:pPr>
              <w:rPr>
                <w:bCs/>
                <w:sz w:val="22"/>
                <w:szCs w:val="22"/>
              </w:rPr>
            </w:pPr>
          </w:p>
        </w:tc>
      </w:tr>
      <w:tr w:rsidR="009F6F9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87625A" w:rsidRDefault="009F6F95" w:rsidP="009F6F95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Antagna dokument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87625A" w:rsidRDefault="009F6F95" w:rsidP="009F6F95">
            <w:pPr>
              <w:rPr>
                <w:bCs/>
                <w:sz w:val="22"/>
                <w:szCs w:val="22"/>
              </w:rPr>
            </w:pPr>
          </w:p>
        </w:tc>
      </w:tr>
      <w:tr w:rsidR="009F6F9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87625A" w:rsidRDefault="009F6F95" w:rsidP="009F6F95">
            <w:pPr>
              <w:rPr>
                <w:bCs/>
                <w:sz w:val="22"/>
                <w:szCs w:val="22"/>
              </w:rPr>
            </w:pPr>
            <w:r w:rsidRPr="0087625A">
              <w:rPr>
                <w:bCs/>
                <w:sz w:val="22"/>
                <w:szCs w:val="22"/>
              </w:rPr>
              <w:t xml:space="preserve">Dokument antagna av </w:t>
            </w:r>
            <w:proofErr w:type="spellStart"/>
            <w:r w:rsidRPr="0087625A">
              <w:rPr>
                <w:bCs/>
                <w:sz w:val="22"/>
                <w:szCs w:val="22"/>
              </w:rPr>
              <w:t>Europa</w:t>
            </w:r>
            <w:r>
              <w:rPr>
                <w:bCs/>
                <w:sz w:val="22"/>
                <w:szCs w:val="22"/>
              </w:rPr>
              <w:t>-</w:t>
            </w:r>
            <w:r w:rsidRPr="0087625A">
              <w:rPr>
                <w:bCs/>
                <w:sz w:val="22"/>
                <w:szCs w:val="22"/>
              </w:rPr>
              <w:t>parlamentet</w:t>
            </w:r>
            <w:proofErr w:type="spellEnd"/>
            <w:r w:rsidRPr="0087625A">
              <w:rPr>
                <w:bCs/>
                <w:sz w:val="22"/>
                <w:szCs w:val="22"/>
              </w:rPr>
              <w:t xml:space="preserve"> </w:t>
            </w:r>
          </w:p>
          <w:p w:rsidR="009F6F95" w:rsidRPr="0087625A" w:rsidRDefault="009F6F95" w:rsidP="009F6F95">
            <w:pPr>
              <w:rPr>
                <w:bCs/>
                <w:sz w:val="22"/>
                <w:szCs w:val="22"/>
              </w:rPr>
            </w:pPr>
            <w:r w:rsidRPr="0087625A">
              <w:rPr>
                <w:bCs/>
                <w:sz w:val="22"/>
                <w:szCs w:val="22"/>
              </w:rPr>
              <w:t>9–10 oktober 2019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87625A" w:rsidRDefault="009F6F95" w:rsidP="009F6F95">
            <w:pPr>
              <w:rPr>
                <w:bCs/>
                <w:sz w:val="22"/>
                <w:szCs w:val="22"/>
              </w:rPr>
            </w:pPr>
          </w:p>
        </w:tc>
      </w:tr>
      <w:tr w:rsidR="009F6F95" w:rsidRPr="00B40F4D" w:rsidTr="009A0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B40F4D" w:rsidRDefault="009F6F95" w:rsidP="009F6F95">
            <w:pPr>
              <w:rPr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6F95" w:rsidRPr="00B40F4D" w:rsidRDefault="009F6F95" w:rsidP="009F6F95">
            <w:pPr>
              <w:rPr>
                <w:rStyle w:val="Hyperlnk"/>
                <w:sz w:val="22"/>
                <w:szCs w:val="22"/>
              </w:rPr>
            </w:pPr>
          </w:p>
        </w:tc>
      </w:tr>
    </w:tbl>
    <w:p w:rsidR="00177FF8" w:rsidRPr="00792488" w:rsidRDefault="00177FF8" w:rsidP="00993FD6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bookmarkStart w:id="3" w:name="_GoBack"/>
      <w:bookmarkEnd w:id="3"/>
    </w:p>
    <w:sectPr w:rsidR="00177FF8" w:rsidRPr="00792488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24E9"/>
    <w:rsid w:val="00076BDD"/>
    <w:rsid w:val="00091EA6"/>
    <w:rsid w:val="000926F1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B083C"/>
    <w:rsid w:val="001D7100"/>
    <w:rsid w:val="001E1F27"/>
    <w:rsid w:val="001F0044"/>
    <w:rsid w:val="001F3F30"/>
    <w:rsid w:val="001F641B"/>
    <w:rsid w:val="00200F8B"/>
    <w:rsid w:val="00204A24"/>
    <w:rsid w:val="0021176A"/>
    <w:rsid w:val="00212A8D"/>
    <w:rsid w:val="00216C70"/>
    <w:rsid w:val="002241EF"/>
    <w:rsid w:val="0023053D"/>
    <w:rsid w:val="00231475"/>
    <w:rsid w:val="002378CC"/>
    <w:rsid w:val="00246B81"/>
    <w:rsid w:val="0025203B"/>
    <w:rsid w:val="00254C5A"/>
    <w:rsid w:val="0025725D"/>
    <w:rsid w:val="00267A73"/>
    <w:rsid w:val="00272655"/>
    <w:rsid w:val="002830F4"/>
    <w:rsid w:val="00286C79"/>
    <w:rsid w:val="00287223"/>
    <w:rsid w:val="002968EE"/>
    <w:rsid w:val="002A14AC"/>
    <w:rsid w:val="002A1F46"/>
    <w:rsid w:val="002A3C5F"/>
    <w:rsid w:val="002C1D92"/>
    <w:rsid w:val="002C5FED"/>
    <w:rsid w:val="002D06F9"/>
    <w:rsid w:val="002D20B8"/>
    <w:rsid w:val="002D5CC4"/>
    <w:rsid w:val="002E5096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574C6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C61F7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274B2"/>
    <w:rsid w:val="00631728"/>
    <w:rsid w:val="00632A02"/>
    <w:rsid w:val="00635CA6"/>
    <w:rsid w:val="00640EEA"/>
    <w:rsid w:val="0064109C"/>
    <w:rsid w:val="00646730"/>
    <w:rsid w:val="00647558"/>
    <w:rsid w:val="0065168B"/>
    <w:rsid w:val="00656B94"/>
    <w:rsid w:val="00657FD1"/>
    <w:rsid w:val="00675F6F"/>
    <w:rsid w:val="0068454D"/>
    <w:rsid w:val="006A63A7"/>
    <w:rsid w:val="006D05CF"/>
    <w:rsid w:val="006D5F8F"/>
    <w:rsid w:val="006E15D9"/>
    <w:rsid w:val="006F4672"/>
    <w:rsid w:val="00716686"/>
    <w:rsid w:val="00721C53"/>
    <w:rsid w:val="00731635"/>
    <w:rsid w:val="007453FF"/>
    <w:rsid w:val="00754C4A"/>
    <w:rsid w:val="00762508"/>
    <w:rsid w:val="007719E4"/>
    <w:rsid w:val="00781CA5"/>
    <w:rsid w:val="00792488"/>
    <w:rsid w:val="00796426"/>
    <w:rsid w:val="007B1F72"/>
    <w:rsid w:val="007B26F0"/>
    <w:rsid w:val="007C246F"/>
    <w:rsid w:val="007E14E2"/>
    <w:rsid w:val="007F07D2"/>
    <w:rsid w:val="007F12BB"/>
    <w:rsid w:val="007F7A91"/>
    <w:rsid w:val="008032FE"/>
    <w:rsid w:val="008072FF"/>
    <w:rsid w:val="008124A2"/>
    <w:rsid w:val="008156AE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5A1D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3FD6"/>
    <w:rsid w:val="00994906"/>
    <w:rsid w:val="009A0C25"/>
    <w:rsid w:val="009B0A47"/>
    <w:rsid w:val="009B1CDF"/>
    <w:rsid w:val="009B1EEE"/>
    <w:rsid w:val="009B38A7"/>
    <w:rsid w:val="009C0C9D"/>
    <w:rsid w:val="009D2985"/>
    <w:rsid w:val="009D411D"/>
    <w:rsid w:val="009D4D1A"/>
    <w:rsid w:val="009D6236"/>
    <w:rsid w:val="009E0D7F"/>
    <w:rsid w:val="009E2FEF"/>
    <w:rsid w:val="009E3810"/>
    <w:rsid w:val="009F1689"/>
    <w:rsid w:val="009F6F95"/>
    <w:rsid w:val="00A03943"/>
    <w:rsid w:val="00A24171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04D6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A6CF2"/>
    <w:rsid w:val="00EB5801"/>
    <w:rsid w:val="00EC7E9B"/>
    <w:rsid w:val="00ED7FF4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28AD"/>
    <w:rsid w:val="00FA6C99"/>
    <w:rsid w:val="00FB0559"/>
    <w:rsid w:val="00FB5AF3"/>
    <w:rsid w:val="00FC1B12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A57D8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05AC-F19E-4E15-92BC-BFE465D5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8093</Characters>
  <Application>Microsoft Office Word</Application>
  <DocSecurity>0</DocSecurity>
  <Lines>279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2019-11-21T09:32:00Z</cp:lastPrinted>
  <dcterms:created xsi:type="dcterms:W3CDTF">2019-12-05T10:43:00Z</dcterms:created>
  <dcterms:modified xsi:type="dcterms:W3CDTF">2019-12-05T10:43:00Z</dcterms:modified>
</cp:coreProperties>
</file>