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1FCB" w:rsidRPr="00237751" w:rsidRDefault="003A1FCB">
      <w:pPr>
        <w:pStyle w:val="Rubrik1"/>
        <w:shd w:val="clear" w:color="000000" w:fill="auto"/>
      </w:pPr>
      <w:r w:rsidRPr="00237751">
        <w:t>Sammanfattning</w:t>
      </w:r>
    </w:p>
    <w:p w:rsidR="003A1FCB" w:rsidRPr="00237751" w:rsidRDefault="003A1FCB">
      <w:pPr>
        <w:shd w:val="clear" w:color="000000" w:fill="auto"/>
      </w:pPr>
      <w:r w:rsidRPr="00237751">
        <w:t>Regeringen intensifierar i budgetpropositionen det breda angrepp mot socia</w:t>
      </w:r>
      <w:r w:rsidRPr="00237751">
        <w:t>l</w:t>
      </w:r>
      <w:r w:rsidRPr="00237751">
        <w:t>försäkringssystemen man inledde hösten 2006 och presenterar nu ett åtstra</w:t>
      </w:r>
      <w:r w:rsidRPr="00237751">
        <w:t>m</w:t>
      </w:r>
      <w:r w:rsidRPr="00237751">
        <w:t>ningsprogram angående sjukförsäkringen. Vänsterpartiet avvisar dessa för</w:t>
      </w:r>
      <w:r w:rsidRPr="00237751">
        <w:t>e</w:t>
      </w:r>
      <w:r w:rsidRPr="00237751">
        <w:t>slagna och aviserade försämringar och ovillkorligen även tanken på att fö</w:t>
      </w:r>
      <w:r w:rsidRPr="00237751">
        <w:t>r</w:t>
      </w:r>
      <w:r w:rsidRPr="00237751">
        <w:t>sämringar i trygghetssystemen för sjuka och arbetslösa skulle leda till stärkt närvaro på arbetsmarknaden. Vi avvisar därmed den besparing som regerin</w:t>
      </w:r>
      <w:r w:rsidRPr="00237751">
        <w:t>g</w:t>
      </w:r>
      <w:r w:rsidRPr="00237751">
        <w:t>en säger sig göra inom sjukförsäkringen. Vi vill därför återställa taket i sju</w:t>
      </w:r>
      <w:r w:rsidRPr="00237751">
        <w:t>k</w:t>
      </w:r>
      <w:r w:rsidRPr="00237751">
        <w:t xml:space="preserve">försäkringen till 10 basbelopp och vi avvisar sänkningen av </w:t>
      </w:r>
      <w:r w:rsidRPr="00237751">
        <w:t>sjukpenningen som genomförts i två steg genom ändrade beräkningsgrunder för sjukpe</w:t>
      </w:r>
      <w:r w:rsidRPr="00237751">
        <w:t>n</w:t>
      </w:r>
      <w:r w:rsidRPr="00237751">
        <w:t>ninggrundande inkomst (SGI). Vi föreslår en höjning av sjukpenningen för arbetslösa. Vi återställer försämringarna angående antagandeinkomsten för personer med sjuk- och aktivitetsersättning. Vi föreslår ökade medel till Fö</w:t>
      </w:r>
      <w:r w:rsidRPr="00237751">
        <w:t>r</w:t>
      </w:r>
      <w:r w:rsidRPr="00237751">
        <w:t>säkringskassan för att öka personaltätheten. Vi föreslår också</w:t>
      </w:r>
      <w:r w:rsidRPr="00237751">
        <w:rPr>
          <w:szCs w:val="24"/>
        </w:rPr>
        <w:t xml:space="preserve"> att medel inom sjukpenningsanslaget skall få användas till ett förstärkt särskilt högriskskydd för långtidssjukskrivna och även till kvalitets</w:t>
      </w:r>
      <w:r w:rsidRPr="00237751">
        <w:rPr>
          <w:szCs w:val="24"/>
        </w:rPr>
        <w:t xml:space="preserve">säkrad företagshälsovård. Vi föreslår att bostadstillägget för förtidspensionärer höjs stegvis till </w:t>
      </w:r>
      <w:r w:rsidRPr="00237751">
        <w:t xml:space="preserve">95 procent och att hyrestaket höjs till 5 000 kronor. Därutöver anvisas medel för att genomföra en informationssatsning om bostadstillägget. Vi föreslår också en stegvis höjning av ersättningsnivån i sjuk- och aktivitetsersättningen till 67 procent. </w:t>
      </w:r>
    </w:p>
    <w:p w:rsidR="003A1FCB" w:rsidRPr="00237751" w:rsidRDefault="003A1FCB">
      <w:pPr>
        <w:pStyle w:val="Hemstlrubrik"/>
        <w:shd w:val="clear" w:color="000000" w:fill="auto"/>
      </w:pPr>
      <w:r w:rsidRPr="00237751">
        <w:t>Förslag till riksdagsbeslut</w:t>
      </w:r>
    </w:p>
    <w:p w:rsidR="003A1FCB" w:rsidRPr="00237751" w:rsidRDefault="003A1FCB">
      <w:pPr>
        <w:pStyle w:val="Hemstlatt"/>
        <w:numPr>
          <w:ilvl w:val="0"/>
          <w:numId w:val="1"/>
        </w:numPr>
        <w:shd w:val="clear" w:color="000000" w:fill="auto"/>
      </w:pPr>
      <w:r w:rsidRPr="00237751">
        <w:t>Riksdagen beslutar avslå regeringens förslag till lag om ändring i lagen (1962:381) om allmän försäkring (avsnitt 2.1 och 3.7.1 i budgetpropositionen).</w:t>
      </w:r>
    </w:p>
    <w:p w:rsidR="003A1FCB" w:rsidRPr="00237751" w:rsidRDefault="003A1FCB">
      <w:pPr>
        <w:pStyle w:val="Hemstlatt"/>
        <w:numPr>
          <w:ilvl w:val="0"/>
          <w:numId w:val="1"/>
        </w:numPr>
        <w:shd w:val="clear" w:color="000000" w:fill="auto"/>
      </w:pPr>
      <w:r w:rsidRPr="00237751">
        <w:lastRenderedPageBreak/>
        <w:t>Riksdagen anvisar med följande ändringar i förhållande till regeringens förslag anslagen under utgiftsområde 10 Ekonomisk trygghet vid sjukdom och handikapp enligt uppställning:</w:t>
      </w:r>
    </w:p>
    <w:tbl>
      <w:tblPr>
        <w:tblW w:w="5930" w:type="dxa"/>
        <w:tblInd w:w="55" w:type="dxa"/>
        <w:tblLayout w:type="fixed"/>
        <w:tblCellMar>
          <w:left w:w="70" w:type="dxa"/>
          <w:right w:w="70" w:type="dxa"/>
        </w:tblCellMar>
        <w:tblLook w:val="0000" w:firstRow="0" w:lastRow="0" w:firstColumn="0" w:lastColumn="0" w:noHBand="0" w:noVBand="0"/>
      </w:tblPr>
      <w:tblGrid>
        <w:gridCol w:w="855"/>
        <w:gridCol w:w="1920"/>
        <w:gridCol w:w="1742"/>
        <w:gridCol w:w="1413"/>
      </w:tblGrid>
      <w:tr w:rsidR="00000000" w:rsidRPr="00237751">
        <w:trPr>
          <w:trHeight w:val="420"/>
        </w:trPr>
        <w:tc>
          <w:tcPr>
            <w:tcW w:w="855" w:type="dxa"/>
            <w:tcBorders>
              <w:top w:val="single" w:sz="4" w:space="0" w:color="auto"/>
              <w:left w:val="nil"/>
              <w:bottom w:val="single" w:sz="8" w:space="0" w:color="000000"/>
              <w:right w:val="nil"/>
            </w:tcBorders>
          </w:tcPr>
          <w:p w:rsidR="003A1FCB" w:rsidRPr="00237751" w:rsidRDefault="003A1FCB">
            <w:pPr>
              <w:shd w:val="clear" w:color="000000" w:fill="auto"/>
              <w:spacing w:before="60" w:line="200" w:lineRule="exact"/>
              <w:rPr>
                <w:b/>
                <w:bCs/>
                <w:color w:val="000000"/>
                <w:sz w:val="16"/>
                <w:szCs w:val="16"/>
              </w:rPr>
            </w:pPr>
            <w:r w:rsidRPr="00237751">
              <w:rPr>
                <w:b/>
                <w:bCs/>
                <w:color w:val="000000"/>
                <w:sz w:val="16"/>
                <w:szCs w:val="16"/>
              </w:rPr>
              <w:t>Anslag</w:t>
            </w:r>
          </w:p>
        </w:tc>
        <w:tc>
          <w:tcPr>
            <w:tcW w:w="1920" w:type="dxa"/>
            <w:tcBorders>
              <w:top w:val="single" w:sz="4" w:space="0" w:color="auto"/>
              <w:left w:val="nil"/>
              <w:bottom w:val="single" w:sz="8" w:space="0" w:color="000000"/>
              <w:right w:val="nil"/>
            </w:tcBorders>
          </w:tcPr>
          <w:p w:rsidR="003A1FCB" w:rsidRPr="00237751" w:rsidRDefault="003A1FCB">
            <w:pPr>
              <w:shd w:val="clear" w:color="000000" w:fill="auto"/>
              <w:spacing w:before="60" w:line="200" w:lineRule="exact"/>
              <w:rPr>
                <w:b/>
                <w:bCs/>
                <w:color w:val="000000"/>
                <w:sz w:val="16"/>
                <w:szCs w:val="16"/>
              </w:rPr>
            </w:pPr>
          </w:p>
        </w:tc>
        <w:tc>
          <w:tcPr>
            <w:tcW w:w="1742" w:type="dxa"/>
            <w:tcBorders>
              <w:top w:val="single" w:sz="4" w:space="0" w:color="auto"/>
              <w:left w:val="nil"/>
              <w:bottom w:val="single" w:sz="8" w:space="0" w:color="000000"/>
              <w:right w:val="nil"/>
            </w:tcBorders>
          </w:tcPr>
          <w:p w:rsidR="003A1FCB" w:rsidRPr="00237751" w:rsidRDefault="003A1FCB">
            <w:pPr>
              <w:shd w:val="clear" w:color="000000" w:fill="auto"/>
              <w:spacing w:before="60" w:line="200" w:lineRule="exact"/>
              <w:jc w:val="right"/>
              <w:rPr>
                <w:b/>
                <w:bCs/>
                <w:color w:val="000000"/>
                <w:sz w:val="16"/>
                <w:szCs w:val="16"/>
              </w:rPr>
            </w:pPr>
            <w:r w:rsidRPr="00237751">
              <w:rPr>
                <w:b/>
                <w:bCs/>
                <w:color w:val="000000"/>
                <w:sz w:val="16"/>
                <w:szCs w:val="16"/>
              </w:rPr>
              <w:t>Regeringens förslag (tkr)</w:t>
            </w:r>
          </w:p>
        </w:tc>
        <w:tc>
          <w:tcPr>
            <w:tcW w:w="1413" w:type="dxa"/>
            <w:tcBorders>
              <w:top w:val="single" w:sz="4" w:space="0" w:color="auto"/>
              <w:left w:val="nil"/>
              <w:bottom w:val="single" w:sz="8" w:space="0" w:color="000000"/>
              <w:right w:val="nil"/>
            </w:tcBorders>
          </w:tcPr>
          <w:p w:rsidR="003A1FCB" w:rsidRPr="00237751" w:rsidRDefault="003A1FCB">
            <w:pPr>
              <w:shd w:val="clear" w:color="000000" w:fill="auto"/>
              <w:spacing w:before="60" w:line="200" w:lineRule="exact"/>
              <w:jc w:val="right"/>
              <w:rPr>
                <w:b/>
                <w:bCs/>
                <w:color w:val="000000"/>
                <w:sz w:val="16"/>
                <w:szCs w:val="16"/>
              </w:rPr>
            </w:pPr>
            <w:r w:rsidRPr="00237751">
              <w:rPr>
                <w:b/>
                <w:bCs/>
                <w:color w:val="000000"/>
                <w:sz w:val="16"/>
                <w:szCs w:val="16"/>
              </w:rPr>
              <w:t xml:space="preserve">Förändring </w:t>
            </w:r>
            <w:r w:rsidRPr="00237751">
              <w:rPr>
                <w:b/>
                <w:bCs/>
                <w:color w:val="000000"/>
                <w:sz w:val="16"/>
                <w:szCs w:val="16"/>
              </w:rPr>
              <w:br/>
              <w:t>(tkr)</w:t>
            </w:r>
          </w:p>
        </w:tc>
      </w:tr>
      <w:tr w:rsidR="00000000" w:rsidRPr="00237751">
        <w:trPr>
          <w:trHeight w:val="319"/>
        </w:trPr>
        <w:tc>
          <w:tcPr>
            <w:tcW w:w="855" w:type="dxa"/>
            <w:tcBorders>
              <w:top w:val="nil"/>
              <w:left w:val="nil"/>
              <w:bottom w:val="nil"/>
              <w:right w:val="nil"/>
            </w:tcBorders>
          </w:tcPr>
          <w:p w:rsidR="003A1FCB" w:rsidRPr="00237751" w:rsidRDefault="003A1FCB">
            <w:pPr>
              <w:shd w:val="clear" w:color="000000" w:fill="auto"/>
              <w:spacing w:before="60" w:line="200" w:lineRule="exact"/>
              <w:rPr>
                <w:color w:val="000000"/>
                <w:sz w:val="16"/>
                <w:szCs w:val="16"/>
              </w:rPr>
            </w:pPr>
            <w:r w:rsidRPr="00237751">
              <w:rPr>
                <w:color w:val="000000"/>
                <w:sz w:val="16"/>
                <w:szCs w:val="16"/>
              </w:rPr>
              <w:t>19:1</w:t>
            </w:r>
          </w:p>
        </w:tc>
        <w:tc>
          <w:tcPr>
            <w:tcW w:w="1920" w:type="dxa"/>
            <w:tcBorders>
              <w:top w:val="nil"/>
              <w:left w:val="nil"/>
              <w:bottom w:val="nil"/>
              <w:right w:val="nil"/>
            </w:tcBorders>
          </w:tcPr>
          <w:p w:rsidR="003A1FCB" w:rsidRPr="00237751" w:rsidRDefault="003A1FCB">
            <w:pPr>
              <w:shd w:val="clear" w:color="000000" w:fill="auto"/>
              <w:spacing w:before="60" w:line="200" w:lineRule="exact"/>
              <w:rPr>
                <w:color w:val="000000"/>
                <w:sz w:val="16"/>
                <w:szCs w:val="16"/>
              </w:rPr>
            </w:pPr>
            <w:r w:rsidRPr="00237751">
              <w:rPr>
                <w:color w:val="000000"/>
                <w:sz w:val="16"/>
                <w:szCs w:val="16"/>
              </w:rPr>
              <w:t>Sjukpenning och rehabil</w:t>
            </w:r>
            <w:r w:rsidRPr="00237751">
              <w:rPr>
                <w:color w:val="000000"/>
                <w:sz w:val="16"/>
                <w:szCs w:val="16"/>
              </w:rPr>
              <w:t>i</w:t>
            </w:r>
            <w:r w:rsidRPr="00237751">
              <w:rPr>
                <w:color w:val="000000"/>
                <w:sz w:val="16"/>
                <w:szCs w:val="16"/>
              </w:rPr>
              <w:t>tering m.m.</w:t>
            </w:r>
          </w:p>
        </w:tc>
        <w:tc>
          <w:tcPr>
            <w:tcW w:w="1742" w:type="dxa"/>
            <w:tcBorders>
              <w:top w:val="nil"/>
              <w:left w:val="nil"/>
              <w:bottom w:val="nil"/>
              <w:right w:val="nil"/>
            </w:tcBorders>
            <w:vAlign w:val="bottom"/>
          </w:tcPr>
          <w:p w:rsidR="003A1FCB" w:rsidRPr="00237751" w:rsidRDefault="003A1FCB">
            <w:pPr>
              <w:shd w:val="clear" w:color="000000" w:fill="auto"/>
              <w:spacing w:before="60" w:line="200" w:lineRule="exact"/>
              <w:jc w:val="right"/>
              <w:rPr>
                <w:color w:val="000000"/>
                <w:sz w:val="16"/>
                <w:szCs w:val="16"/>
              </w:rPr>
            </w:pPr>
            <w:r w:rsidRPr="00237751">
              <w:rPr>
                <w:color w:val="000000"/>
                <w:sz w:val="16"/>
                <w:szCs w:val="16"/>
              </w:rPr>
              <w:t>29 735 081</w:t>
            </w:r>
          </w:p>
        </w:tc>
        <w:tc>
          <w:tcPr>
            <w:tcW w:w="1413" w:type="dxa"/>
            <w:tcBorders>
              <w:top w:val="nil"/>
              <w:left w:val="nil"/>
              <w:bottom w:val="nil"/>
              <w:right w:val="nil"/>
            </w:tcBorders>
            <w:vAlign w:val="bottom"/>
          </w:tcPr>
          <w:p w:rsidR="003A1FCB" w:rsidRPr="00237751" w:rsidRDefault="003A1FCB">
            <w:pPr>
              <w:shd w:val="clear" w:color="000000" w:fill="auto"/>
              <w:spacing w:before="60" w:line="200" w:lineRule="exact"/>
              <w:jc w:val="right"/>
              <w:rPr>
                <w:color w:val="000000"/>
                <w:sz w:val="16"/>
                <w:szCs w:val="16"/>
              </w:rPr>
            </w:pPr>
            <w:r w:rsidRPr="00237751">
              <w:rPr>
                <w:color w:val="000000"/>
                <w:sz w:val="16"/>
                <w:szCs w:val="16"/>
              </w:rPr>
              <w:t>3 867 000</w:t>
            </w:r>
          </w:p>
        </w:tc>
      </w:tr>
      <w:tr w:rsidR="00000000" w:rsidRPr="00237751">
        <w:trPr>
          <w:trHeight w:val="319"/>
        </w:trPr>
        <w:tc>
          <w:tcPr>
            <w:tcW w:w="855" w:type="dxa"/>
            <w:tcBorders>
              <w:top w:val="nil"/>
              <w:left w:val="nil"/>
              <w:bottom w:val="nil"/>
              <w:right w:val="nil"/>
            </w:tcBorders>
          </w:tcPr>
          <w:p w:rsidR="003A1FCB" w:rsidRPr="00237751" w:rsidRDefault="003A1FCB">
            <w:pPr>
              <w:shd w:val="clear" w:color="000000" w:fill="auto"/>
              <w:spacing w:before="60" w:line="200" w:lineRule="exact"/>
              <w:rPr>
                <w:color w:val="000000"/>
                <w:sz w:val="16"/>
                <w:szCs w:val="16"/>
              </w:rPr>
            </w:pPr>
            <w:r w:rsidRPr="00237751">
              <w:rPr>
                <w:color w:val="000000"/>
                <w:sz w:val="16"/>
                <w:szCs w:val="16"/>
              </w:rPr>
              <w:t xml:space="preserve">19:2 </w:t>
            </w:r>
          </w:p>
        </w:tc>
        <w:tc>
          <w:tcPr>
            <w:tcW w:w="1920" w:type="dxa"/>
            <w:tcBorders>
              <w:top w:val="nil"/>
              <w:left w:val="nil"/>
              <w:bottom w:val="nil"/>
              <w:right w:val="nil"/>
            </w:tcBorders>
          </w:tcPr>
          <w:p w:rsidR="003A1FCB" w:rsidRPr="00237751" w:rsidRDefault="003A1FCB">
            <w:pPr>
              <w:shd w:val="clear" w:color="000000" w:fill="auto"/>
              <w:spacing w:before="60" w:line="200" w:lineRule="exact"/>
              <w:rPr>
                <w:color w:val="000000"/>
                <w:sz w:val="16"/>
                <w:szCs w:val="16"/>
              </w:rPr>
            </w:pPr>
            <w:r w:rsidRPr="00237751">
              <w:rPr>
                <w:color w:val="000000"/>
                <w:sz w:val="16"/>
                <w:szCs w:val="16"/>
              </w:rPr>
              <w:t>Aktivitets- och sjukersät</w:t>
            </w:r>
            <w:r w:rsidRPr="00237751">
              <w:rPr>
                <w:color w:val="000000"/>
                <w:sz w:val="16"/>
                <w:szCs w:val="16"/>
              </w:rPr>
              <w:t>t</w:t>
            </w:r>
            <w:r w:rsidRPr="00237751">
              <w:rPr>
                <w:color w:val="000000"/>
                <w:sz w:val="16"/>
                <w:szCs w:val="16"/>
              </w:rPr>
              <w:t>ningar m.m.</w:t>
            </w:r>
          </w:p>
        </w:tc>
        <w:tc>
          <w:tcPr>
            <w:tcW w:w="1742" w:type="dxa"/>
            <w:tcBorders>
              <w:top w:val="nil"/>
              <w:left w:val="nil"/>
              <w:bottom w:val="nil"/>
              <w:right w:val="nil"/>
            </w:tcBorders>
            <w:vAlign w:val="bottom"/>
          </w:tcPr>
          <w:p w:rsidR="003A1FCB" w:rsidRPr="00237751" w:rsidRDefault="003A1FCB">
            <w:pPr>
              <w:shd w:val="clear" w:color="000000" w:fill="auto"/>
              <w:spacing w:before="60" w:line="200" w:lineRule="exact"/>
              <w:jc w:val="right"/>
              <w:rPr>
                <w:color w:val="000000"/>
                <w:sz w:val="16"/>
                <w:szCs w:val="16"/>
              </w:rPr>
            </w:pPr>
            <w:r w:rsidRPr="00237751">
              <w:rPr>
                <w:color w:val="000000"/>
                <w:sz w:val="16"/>
                <w:szCs w:val="16"/>
              </w:rPr>
              <w:t>73 791 231</w:t>
            </w:r>
          </w:p>
        </w:tc>
        <w:tc>
          <w:tcPr>
            <w:tcW w:w="1413" w:type="dxa"/>
            <w:tcBorders>
              <w:top w:val="nil"/>
              <w:left w:val="nil"/>
              <w:bottom w:val="nil"/>
              <w:right w:val="nil"/>
            </w:tcBorders>
            <w:vAlign w:val="bottom"/>
          </w:tcPr>
          <w:p w:rsidR="003A1FCB" w:rsidRPr="00237751" w:rsidRDefault="003A1FCB">
            <w:pPr>
              <w:shd w:val="clear" w:color="000000" w:fill="auto"/>
              <w:spacing w:before="60" w:line="200" w:lineRule="exact"/>
              <w:jc w:val="right"/>
              <w:rPr>
                <w:color w:val="000000"/>
                <w:sz w:val="16"/>
                <w:szCs w:val="16"/>
              </w:rPr>
            </w:pPr>
            <w:r w:rsidRPr="00237751">
              <w:rPr>
                <w:color w:val="000000"/>
                <w:sz w:val="16"/>
                <w:szCs w:val="16"/>
              </w:rPr>
              <w:t>2 830 000</w:t>
            </w:r>
          </w:p>
        </w:tc>
      </w:tr>
      <w:tr w:rsidR="00000000" w:rsidRPr="00237751">
        <w:trPr>
          <w:trHeight w:val="319"/>
        </w:trPr>
        <w:tc>
          <w:tcPr>
            <w:tcW w:w="855" w:type="dxa"/>
            <w:tcBorders>
              <w:top w:val="nil"/>
              <w:left w:val="nil"/>
              <w:right w:val="nil"/>
            </w:tcBorders>
          </w:tcPr>
          <w:p w:rsidR="003A1FCB" w:rsidRPr="00237751" w:rsidRDefault="003A1FCB">
            <w:pPr>
              <w:shd w:val="clear" w:color="000000" w:fill="auto"/>
              <w:spacing w:before="60" w:line="200" w:lineRule="exact"/>
              <w:rPr>
                <w:color w:val="000000"/>
                <w:sz w:val="16"/>
                <w:szCs w:val="16"/>
              </w:rPr>
            </w:pPr>
            <w:r w:rsidRPr="00237751">
              <w:rPr>
                <w:color w:val="000000"/>
                <w:sz w:val="16"/>
                <w:szCs w:val="16"/>
              </w:rPr>
              <w:t>19:6</w:t>
            </w:r>
          </w:p>
        </w:tc>
        <w:tc>
          <w:tcPr>
            <w:tcW w:w="1920" w:type="dxa"/>
            <w:tcBorders>
              <w:top w:val="nil"/>
              <w:left w:val="nil"/>
              <w:right w:val="nil"/>
            </w:tcBorders>
          </w:tcPr>
          <w:p w:rsidR="003A1FCB" w:rsidRPr="00237751" w:rsidRDefault="003A1FCB">
            <w:pPr>
              <w:shd w:val="clear" w:color="000000" w:fill="auto"/>
              <w:spacing w:before="60" w:line="200" w:lineRule="exact"/>
              <w:rPr>
                <w:color w:val="000000"/>
                <w:sz w:val="16"/>
                <w:szCs w:val="16"/>
              </w:rPr>
            </w:pPr>
            <w:r w:rsidRPr="00237751">
              <w:rPr>
                <w:color w:val="000000"/>
                <w:sz w:val="16"/>
                <w:szCs w:val="16"/>
              </w:rPr>
              <w:t>Försäkringskassan</w:t>
            </w:r>
          </w:p>
        </w:tc>
        <w:tc>
          <w:tcPr>
            <w:tcW w:w="1742" w:type="dxa"/>
            <w:tcBorders>
              <w:top w:val="nil"/>
              <w:left w:val="nil"/>
              <w:right w:val="nil"/>
            </w:tcBorders>
          </w:tcPr>
          <w:p w:rsidR="003A1FCB" w:rsidRPr="00237751" w:rsidRDefault="003A1FCB">
            <w:pPr>
              <w:shd w:val="clear" w:color="000000" w:fill="auto"/>
              <w:spacing w:before="60" w:line="200" w:lineRule="exact"/>
              <w:jc w:val="right"/>
              <w:rPr>
                <w:color w:val="000000"/>
                <w:sz w:val="16"/>
                <w:szCs w:val="16"/>
              </w:rPr>
            </w:pPr>
            <w:r w:rsidRPr="00237751">
              <w:rPr>
                <w:color w:val="000000"/>
                <w:sz w:val="16"/>
                <w:szCs w:val="16"/>
              </w:rPr>
              <w:t>6 669 376</w:t>
            </w:r>
          </w:p>
        </w:tc>
        <w:tc>
          <w:tcPr>
            <w:tcW w:w="1413" w:type="dxa"/>
            <w:tcBorders>
              <w:top w:val="nil"/>
              <w:left w:val="nil"/>
              <w:right w:val="nil"/>
            </w:tcBorders>
          </w:tcPr>
          <w:p w:rsidR="003A1FCB" w:rsidRPr="00237751" w:rsidRDefault="003A1FCB">
            <w:pPr>
              <w:shd w:val="clear" w:color="000000" w:fill="auto"/>
              <w:spacing w:before="60" w:line="200" w:lineRule="exact"/>
              <w:jc w:val="right"/>
              <w:rPr>
                <w:color w:val="000000"/>
                <w:sz w:val="16"/>
                <w:szCs w:val="16"/>
              </w:rPr>
            </w:pPr>
            <w:r w:rsidRPr="00237751">
              <w:rPr>
                <w:color w:val="000000"/>
                <w:sz w:val="16"/>
                <w:szCs w:val="16"/>
              </w:rPr>
              <w:t>395 000</w:t>
            </w:r>
          </w:p>
        </w:tc>
      </w:tr>
      <w:tr w:rsidR="00000000" w:rsidRPr="00237751">
        <w:trPr>
          <w:trHeight w:val="319"/>
        </w:trPr>
        <w:tc>
          <w:tcPr>
            <w:tcW w:w="855" w:type="dxa"/>
            <w:tcBorders>
              <w:top w:val="nil"/>
              <w:left w:val="nil"/>
              <w:bottom w:val="single" w:sz="4" w:space="0" w:color="auto"/>
              <w:right w:val="nil"/>
            </w:tcBorders>
          </w:tcPr>
          <w:p w:rsidR="003A1FCB" w:rsidRPr="00237751" w:rsidRDefault="003A1FCB">
            <w:pPr>
              <w:shd w:val="clear" w:color="000000" w:fill="auto"/>
              <w:spacing w:before="60" w:line="200" w:lineRule="exact"/>
              <w:rPr>
                <w:b/>
                <w:bCs/>
                <w:color w:val="000000"/>
                <w:sz w:val="16"/>
                <w:szCs w:val="16"/>
              </w:rPr>
            </w:pPr>
            <w:r w:rsidRPr="00237751">
              <w:rPr>
                <w:b/>
                <w:bCs/>
                <w:color w:val="000000"/>
                <w:sz w:val="16"/>
                <w:szCs w:val="16"/>
              </w:rPr>
              <w:t>Summa:</w:t>
            </w:r>
          </w:p>
        </w:tc>
        <w:tc>
          <w:tcPr>
            <w:tcW w:w="1920" w:type="dxa"/>
            <w:tcBorders>
              <w:top w:val="nil"/>
              <w:left w:val="nil"/>
              <w:bottom w:val="single" w:sz="4" w:space="0" w:color="auto"/>
              <w:right w:val="nil"/>
            </w:tcBorders>
          </w:tcPr>
          <w:p w:rsidR="003A1FCB" w:rsidRPr="00237751" w:rsidRDefault="003A1FCB">
            <w:pPr>
              <w:shd w:val="clear" w:color="000000" w:fill="auto"/>
              <w:spacing w:before="60" w:line="200" w:lineRule="exact"/>
              <w:rPr>
                <w:b/>
                <w:bCs/>
                <w:color w:val="000000"/>
                <w:sz w:val="16"/>
                <w:szCs w:val="16"/>
              </w:rPr>
            </w:pPr>
          </w:p>
        </w:tc>
        <w:tc>
          <w:tcPr>
            <w:tcW w:w="1742" w:type="dxa"/>
            <w:tcBorders>
              <w:top w:val="nil"/>
              <w:left w:val="nil"/>
              <w:bottom w:val="single" w:sz="4" w:space="0" w:color="auto"/>
              <w:right w:val="nil"/>
            </w:tcBorders>
          </w:tcPr>
          <w:p w:rsidR="003A1FCB" w:rsidRPr="00237751" w:rsidRDefault="003A1FCB">
            <w:pPr>
              <w:shd w:val="clear" w:color="000000" w:fill="auto"/>
              <w:spacing w:before="60" w:line="200" w:lineRule="exact"/>
              <w:jc w:val="right"/>
              <w:rPr>
                <w:b/>
                <w:bCs/>
                <w:color w:val="000000"/>
                <w:sz w:val="16"/>
                <w:szCs w:val="16"/>
              </w:rPr>
            </w:pPr>
          </w:p>
        </w:tc>
        <w:tc>
          <w:tcPr>
            <w:tcW w:w="1413" w:type="dxa"/>
            <w:tcBorders>
              <w:top w:val="nil"/>
              <w:left w:val="nil"/>
              <w:bottom w:val="single" w:sz="4" w:space="0" w:color="auto"/>
              <w:right w:val="nil"/>
            </w:tcBorders>
          </w:tcPr>
          <w:p w:rsidR="003A1FCB" w:rsidRPr="00237751" w:rsidRDefault="003A1FCB">
            <w:pPr>
              <w:shd w:val="clear" w:color="000000" w:fill="auto"/>
              <w:spacing w:before="60" w:line="200" w:lineRule="exact"/>
              <w:jc w:val="right"/>
              <w:rPr>
                <w:b/>
                <w:bCs/>
                <w:color w:val="000000"/>
                <w:sz w:val="16"/>
                <w:szCs w:val="16"/>
              </w:rPr>
            </w:pPr>
            <w:r w:rsidRPr="00237751">
              <w:rPr>
                <w:b/>
                <w:bCs/>
                <w:color w:val="000000"/>
                <w:sz w:val="16"/>
                <w:szCs w:val="16"/>
              </w:rPr>
              <w:t>7 092 000</w:t>
            </w:r>
          </w:p>
        </w:tc>
      </w:tr>
    </w:tbl>
    <w:p w:rsidR="003A1FCB" w:rsidRPr="00237751" w:rsidRDefault="003A1FCB">
      <w:pPr>
        <w:shd w:val="clear" w:color="000000" w:fill="auto"/>
      </w:pPr>
    </w:p>
    <w:p w:rsidR="003A1FCB" w:rsidRPr="00237751" w:rsidRDefault="003A1FCB">
      <w:pPr>
        <w:pStyle w:val="Rubrik1"/>
        <w:shd w:val="clear" w:color="000000" w:fill="auto"/>
      </w:pPr>
      <w:r w:rsidRPr="00237751">
        <w:t>19:1 Sjukpenning och rehabilitering m.m.</w:t>
      </w:r>
    </w:p>
    <w:p w:rsidR="003A1FCB" w:rsidRPr="00237751" w:rsidRDefault="003A1FCB">
      <w:pPr>
        <w:shd w:val="clear" w:color="000000" w:fill="auto"/>
      </w:pPr>
      <w:r w:rsidRPr="00237751">
        <w:t>De genomgripande åtstramningar och kraftiga nedskärningar som regeringen föreslår på sjukförsäkringens område innebär ett kraftigt besparingspaket. Härigenom hotas socialförsäkringssystemets grundvalar och därmed indiv</w:t>
      </w:r>
      <w:r w:rsidRPr="00237751">
        <w:t>i</w:t>
      </w:r>
      <w:r w:rsidRPr="00237751">
        <w:t>dens rätt till ekonomisk trygghet vid sjukdom och handikapp. Den reform</w:t>
      </w:r>
      <w:r w:rsidRPr="00237751">
        <w:t>e</w:t>
      </w:r>
      <w:r w:rsidRPr="00237751">
        <w:t>ring av sjukförsäkringen som presenteras i höstbudgeten är inget annat än ett kraftigt besparingsprogram. Den innebär dels att lagen om anställningsskydd kringgås, dels att många människor helt enkelt får ett mycket sämre stöd som sjuka. Vänsterpartiet avvisar kraftigt dessa försämringar och ovillkorligen tanken på att inskränkningar i trygghetssystemen för sjuka och arbetslösa skulle leda till ökad sysselsättning.</w:t>
      </w:r>
    </w:p>
    <w:p w:rsidR="003A1FCB" w:rsidRPr="00237751" w:rsidRDefault="003A1FCB">
      <w:pPr>
        <w:pStyle w:val="Normaltindrag"/>
        <w:shd w:val="clear" w:color="000000" w:fill="auto"/>
      </w:pPr>
      <w:r w:rsidRPr="00237751">
        <w:t>Vänsterpartiet avvis</w:t>
      </w:r>
      <w:r w:rsidRPr="00237751">
        <w:t>ar den sänkning av sjukpenningen som föreslås genomföras genom ändrad beräkningsgrund för SGI och återställer även den sänkning som genomfördes i och med budgetpropositionen för 2007. Sa</w:t>
      </w:r>
      <w:r w:rsidRPr="00237751">
        <w:t>m</w:t>
      </w:r>
      <w:r w:rsidRPr="00237751">
        <w:t>mantaget innebär våra förslag en ökning av anslaget med 885 miljoner kr</w:t>
      </w:r>
      <w:r w:rsidRPr="00237751">
        <w:t>o</w:t>
      </w:r>
      <w:r w:rsidRPr="00237751">
        <w:t>nor. Mot denna bakgrund bör regeringens förslag till lag om ändring i lagen (1962:381) om allmän försäkring avslås (avsnitt 2.1 och 3.7.1 i budgetprop</w:t>
      </w:r>
      <w:r w:rsidRPr="00237751">
        <w:t>o</w:t>
      </w:r>
      <w:r w:rsidRPr="00237751">
        <w:t>sitionen). Detta bör riksdagen besluta.</w:t>
      </w:r>
    </w:p>
    <w:p w:rsidR="003A1FCB" w:rsidRPr="00237751" w:rsidRDefault="003A1FCB">
      <w:pPr>
        <w:pStyle w:val="Normaltindrag"/>
        <w:shd w:val="clear" w:color="000000" w:fill="auto"/>
      </w:pPr>
      <w:r w:rsidRPr="00237751">
        <w:t>Vi avvisar därmed också de besparingar som regeringen påstår s</w:t>
      </w:r>
      <w:r w:rsidRPr="00237751">
        <w:t xml:space="preserve">ig göra som en följd av åtgärdspaketets genomförande tillsammans med opreciserade satsningar för att bekämpa fusk. Därmed föreslår vi att anslaget förstärks med 982 miljoner kronor jämfört med regeringens förslag. </w:t>
      </w:r>
    </w:p>
    <w:p w:rsidR="003A1FCB" w:rsidRPr="00237751" w:rsidRDefault="003A1FCB">
      <w:pPr>
        <w:pStyle w:val="Normaltindrag"/>
        <w:shd w:val="clear" w:color="000000" w:fill="auto"/>
      </w:pPr>
      <w:r w:rsidRPr="00237751">
        <w:t>Utöver den minskning av utgifterna för sjukförsäkringen som enligt rege</w:t>
      </w:r>
      <w:r w:rsidRPr="00237751">
        <w:t>r</w:t>
      </w:r>
      <w:r w:rsidRPr="00237751">
        <w:t>ingens förslag följer av direkta regelförändringar och minskade ersättningsn</w:t>
      </w:r>
      <w:r w:rsidRPr="00237751">
        <w:t>i</w:t>
      </w:r>
      <w:r w:rsidRPr="00237751">
        <w:t>våer, sker en neddragning av anslagen som exempelvis är kopplad till förän</w:t>
      </w:r>
      <w:r w:rsidRPr="00237751">
        <w:t>d</w:t>
      </w:r>
      <w:r w:rsidRPr="00237751">
        <w:t xml:space="preserve">ringar i Försäkringskassans praxis och förhållanden på arbetsmarknaden. Även detta bör ses som ett resultat av regeringens åtstramningspolitik. </w:t>
      </w:r>
    </w:p>
    <w:p w:rsidR="003A1FCB" w:rsidRPr="00237751" w:rsidRDefault="003A1FCB">
      <w:pPr>
        <w:pStyle w:val="Normaltindrag"/>
        <w:shd w:val="clear" w:color="000000" w:fill="auto"/>
      </w:pPr>
      <w:r w:rsidRPr="00237751">
        <w:t>För att stärka försäkringen och för att fler skall omfattas av den inkoms</w:t>
      </w:r>
      <w:r w:rsidRPr="00237751">
        <w:t>t</w:t>
      </w:r>
      <w:r w:rsidRPr="00237751">
        <w:t>trygghet som sjukförsäkringen syftar till, föreslår Vänsterpartiet att taket i sjukförsäkringen återställs till 10 basbelopp. Vi anvisar för detta 1 700 milj</w:t>
      </w:r>
      <w:r w:rsidRPr="00237751">
        <w:t>o</w:t>
      </w:r>
      <w:r w:rsidRPr="00237751">
        <w:t xml:space="preserve">ner kronor 2008. År 2009 blir kostnaderna 1 800 miljoner kronor och för 2010 1 900 miljoner kronor. </w:t>
      </w:r>
    </w:p>
    <w:p w:rsidR="003A1FCB" w:rsidRPr="00237751" w:rsidRDefault="003A1FCB">
      <w:pPr>
        <w:pStyle w:val="Normaltindrag"/>
        <w:shd w:val="clear" w:color="000000" w:fill="auto"/>
      </w:pPr>
      <w:r w:rsidRPr="00237751">
        <w:t xml:space="preserve">Vänsterpartiet föreslår också att taket i sjukpenningen för arbetslösa skall höjas så att den motsvarar de höjningar i a-kassan som vi föreslår skall gälla från 1 juli 2008. Vi anvisar för detta 300 miljoner 2008 och 600 miljoner för kommande år. </w:t>
      </w:r>
    </w:p>
    <w:p w:rsidR="003A1FCB" w:rsidRPr="00237751" w:rsidRDefault="003A1FCB">
      <w:pPr>
        <w:pStyle w:val="Normaltindrag"/>
        <w:shd w:val="clear" w:color="000000" w:fill="auto"/>
        <w:rPr>
          <w:color w:val="000000"/>
        </w:rPr>
      </w:pPr>
      <w:r w:rsidRPr="00237751">
        <w:t xml:space="preserve">Vidare föreslår vi att medel inom sjukpenningsanslaget skall få användas till ett förstärkt särskilt högriskskydd för långtidssjukskrivna som undantas från sjuklöneperioden </w:t>
      </w:r>
      <w:r w:rsidRPr="00237751">
        <w:rPr>
          <w:color w:val="000000"/>
        </w:rPr>
        <w:t>i ett år vid återgång i arbete hos samma eller ny arbet</w:t>
      </w:r>
      <w:r w:rsidRPr="00237751">
        <w:rPr>
          <w:color w:val="000000"/>
        </w:rPr>
        <w:t>s</w:t>
      </w:r>
      <w:r w:rsidRPr="00237751">
        <w:rPr>
          <w:color w:val="000000"/>
        </w:rPr>
        <w:t xml:space="preserve">givare. </w:t>
      </w:r>
    </w:p>
    <w:p w:rsidR="003A1FCB" w:rsidRPr="00237751" w:rsidRDefault="003A1FCB">
      <w:pPr>
        <w:pStyle w:val="Normaltindrag"/>
        <w:shd w:val="clear" w:color="000000" w:fill="auto"/>
      </w:pPr>
      <w:r w:rsidRPr="00237751">
        <w:t>Vi välkomnar att regeringen avsätter medel inom anslaget till satsningar på företagshälsovård men avvisar den föreslagna inriktningen av denna satsning. Vi vill istället att medlen skall användas till en förstärkning av tillgången till företagshälsovård av hög kvalitet. Arbetet med certifiering och utvecklingen av medicinsk och annan arbetsplatsrelaterad rehabilitering behöver skyndsamt förstärkas. Vi finner inte att beslutsunderlaget i budget</w:t>
      </w:r>
      <w:r w:rsidRPr="00237751">
        <w:t>propositionen är tillfy</w:t>
      </w:r>
      <w:r w:rsidRPr="00237751">
        <w:t>l</w:t>
      </w:r>
      <w:r w:rsidRPr="00237751">
        <w:t xml:space="preserve">lest eftersom riksdagen inte kommer att veta vad anslaget om 3,4 miljarder kommer att gå till. </w:t>
      </w:r>
    </w:p>
    <w:p w:rsidR="003A1FCB" w:rsidRPr="00237751" w:rsidRDefault="003A1FCB">
      <w:pPr>
        <w:pStyle w:val="Normaltindrag"/>
        <w:shd w:val="clear" w:color="000000" w:fill="auto"/>
        <w:rPr>
          <w:color w:val="000000"/>
          <w:szCs w:val="24"/>
        </w:rPr>
      </w:pPr>
      <w:r w:rsidRPr="00237751">
        <w:t>Sammantaget föreslår Vänsterpartiet en ökning av anslaget 19:1 Sjukpe</w:t>
      </w:r>
      <w:r w:rsidRPr="00237751">
        <w:t>n</w:t>
      </w:r>
      <w:r w:rsidRPr="00237751">
        <w:t>ning och rehabilitering m.m. med 3 867 miljoner kronor för 2008.</w:t>
      </w:r>
    </w:p>
    <w:p w:rsidR="003A1FCB" w:rsidRPr="00237751" w:rsidRDefault="003A1FCB">
      <w:pPr>
        <w:pStyle w:val="Rubrik1"/>
        <w:shd w:val="clear" w:color="000000" w:fill="auto"/>
      </w:pPr>
      <w:r w:rsidRPr="00237751">
        <w:t>19:2 Aktivitets- och sjukersättning m.m.</w:t>
      </w:r>
    </w:p>
    <w:p w:rsidR="003A1FCB" w:rsidRPr="00237751" w:rsidRDefault="003A1FCB">
      <w:pPr>
        <w:shd w:val="clear" w:color="000000" w:fill="auto"/>
      </w:pPr>
      <w:r w:rsidRPr="00237751">
        <w:t>Vänsterpartiet anvisar inom anslaget medel för att återställa den försämring som regeringen genomförde i och med budgetpropositionen för 2007 för personer med sjuk- och aktivitetsersättning, som innebär att endast 80 procent av antagandeinkomsten skall vara pensionsgrundande. Detta leder till en sä</w:t>
      </w:r>
      <w:r w:rsidRPr="00237751">
        <w:t>m</w:t>
      </w:r>
      <w:r w:rsidRPr="00237751">
        <w:t xml:space="preserve">re framtida pension för denna grupp. Vi vill därför höja beräkningsunderlaget av antagandeinkomsten inom sjuk- och aktivitetsersättningen till den tidigare nivån på 93 procent och anvisar för detta 1 800 miljoner kronor från 2008. </w:t>
      </w:r>
    </w:p>
    <w:p w:rsidR="003A1FCB" w:rsidRPr="00237751" w:rsidRDefault="003A1FCB">
      <w:pPr>
        <w:pStyle w:val="Normaltindrag"/>
        <w:shd w:val="clear" w:color="000000" w:fill="auto"/>
      </w:pPr>
      <w:r w:rsidRPr="00237751">
        <w:t>För att förbättra villkoren för en grupp som är mycket eftersatt föreslår vi från 2008 en stegvis höjning av ersättningsnivån i sjuk- och aktivitetsersät</w:t>
      </w:r>
      <w:r w:rsidRPr="00237751">
        <w:t>t</w:t>
      </w:r>
      <w:r w:rsidRPr="00237751">
        <w:t>ningen till 67 procent. Vi anvisar därmed en förstärkning av anslaget med 600 miljoner 2008. Kostnaderna för förslaget de kommande åren beräknas bli 1 200 miljoner kronor 2009 och 1 850 miljoner kronor 2010.</w:t>
      </w:r>
    </w:p>
    <w:p w:rsidR="003A1FCB" w:rsidRPr="00237751" w:rsidRDefault="003A1FCB">
      <w:pPr>
        <w:pStyle w:val="Normaltindrag"/>
        <w:shd w:val="clear" w:color="000000" w:fill="auto"/>
      </w:pPr>
      <w:r w:rsidRPr="00237751">
        <w:t>Vänsterpartiet föreslår att bostadstillägget för personer med sjuk- och akt</w:t>
      </w:r>
      <w:r w:rsidRPr="00237751">
        <w:t>i</w:t>
      </w:r>
      <w:r w:rsidRPr="00237751">
        <w:t>vitetsersättning 2008 skall höjas till 94 procent och att hyrestaket skall höjas till 5 000 kr. Vi föreslår året efter en fortsatt höjning av ersättningsnivån till 95 procent. Därmed föreslår vi en ökning av anslaget med 430 miljoner kr</w:t>
      </w:r>
      <w:r w:rsidRPr="00237751">
        <w:t>o</w:t>
      </w:r>
      <w:r w:rsidRPr="00237751">
        <w:t xml:space="preserve">nor 2008 och 500 miljoner de kommande åren. </w:t>
      </w:r>
    </w:p>
    <w:p w:rsidR="003A1FCB" w:rsidRPr="00237751" w:rsidRDefault="003A1FCB">
      <w:pPr>
        <w:pStyle w:val="Normaltindrag"/>
        <w:shd w:val="clear" w:color="000000" w:fill="auto"/>
      </w:pPr>
      <w:r w:rsidRPr="00237751">
        <w:t>Sammantaget föreslår Vänsterpartiet en ökning av anslaget 19:2 Aktiv</w:t>
      </w:r>
      <w:r w:rsidRPr="00237751">
        <w:t>i</w:t>
      </w:r>
      <w:r w:rsidRPr="00237751">
        <w:t>tets- och sjukersättning m.m. med 2 830 miljoner kronor för 2008.</w:t>
      </w:r>
    </w:p>
    <w:p w:rsidR="003A1FCB" w:rsidRPr="00237751" w:rsidRDefault="003A1FCB">
      <w:pPr>
        <w:pStyle w:val="Rubrik1"/>
        <w:shd w:val="clear" w:color="000000" w:fill="auto"/>
        <w:rPr>
          <w:color w:val="000000"/>
          <w:szCs w:val="24"/>
        </w:rPr>
      </w:pPr>
      <w:r w:rsidRPr="00237751">
        <w:t xml:space="preserve">19:6 Försäkringskassan </w:t>
      </w:r>
    </w:p>
    <w:p w:rsidR="003A1FCB" w:rsidRPr="00237751" w:rsidRDefault="003A1FCB">
      <w:pPr>
        <w:shd w:val="clear" w:color="000000" w:fill="auto"/>
      </w:pPr>
      <w:r w:rsidRPr="00237751">
        <w:t>Regeringen föreslår en kraftig minskning av Försäkringskassans medel. Detta tillsammans med den låga löneomräkningen som görs innebär att persona</w:t>
      </w:r>
      <w:r w:rsidRPr="00237751">
        <w:t>l</w:t>
      </w:r>
      <w:r w:rsidRPr="00237751">
        <w:t>minskningarna inom myndigheten kan förväntas bli mycket stora under de kommande åren. För att värna rättssäkerheten och kvaliteten på handläg</w:t>
      </w:r>
      <w:r w:rsidRPr="00237751">
        <w:t>g</w:t>
      </w:r>
      <w:r w:rsidRPr="00237751">
        <w:t>ningen föreslår vi en förstärkning av medlen till Försäkringskassan. Det inn</w:t>
      </w:r>
      <w:r w:rsidRPr="00237751">
        <w:t>e</w:t>
      </w:r>
      <w:r w:rsidRPr="00237751">
        <w:t>bär att vi lämnar utrymme för att ca 1 500 personer fler anställda kan arbeta med att handlägga försäkringen jämfört med regeringens förslag. Förstär</w:t>
      </w:r>
      <w:r w:rsidRPr="00237751">
        <w:t>k</w:t>
      </w:r>
      <w:r w:rsidRPr="00237751">
        <w:t xml:space="preserve">ningen av anslaget skall inte användas till anställning av så kallade fuskjägare eller liknande. Mot bakgrund av ovanstående ökar vi anslaget </w:t>
      </w:r>
      <w:r w:rsidRPr="00237751">
        <w:t>till Försä</w:t>
      </w:r>
      <w:r w:rsidRPr="00237751">
        <w:t>k</w:t>
      </w:r>
      <w:r w:rsidRPr="00237751">
        <w:t>ringskassan med 390 miljoner kronor.</w:t>
      </w:r>
    </w:p>
    <w:p w:rsidR="003A1FCB" w:rsidRPr="00237751" w:rsidRDefault="003A1FCB">
      <w:pPr>
        <w:pStyle w:val="Normaltindrag"/>
        <w:shd w:val="clear" w:color="000000" w:fill="auto"/>
      </w:pPr>
      <w:r w:rsidRPr="00237751">
        <w:t>Vi anvisar därutöver medel till Försäkringskassan för att genomföra en tr</w:t>
      </w:r>
      <w:r w:rsidRPr="00237751">
        <w:t>e</w:t>
      </w:r>
      <w:r w:rsidRPr="00237751">
        <w:t>årig informationssatsning om bostadstillägget så att fler av de personer som är berättigade till detta stöd faktiskt får del av det. Vi föreslår därför en ökning av anslaget med 5 miljoner kronor från 2008.</w:t>
      </w:r>
    </w:p>
    <w:p w:rsidR="003A1FCB" w:rsidRPr="00237751" w:rsidRDefault="003A1FCB">
      <w:pPr>
        <w:pStyle w:val="Normaltindrag"/>
        <w:shd w:val="clear" w:color="000000" w:fill="auto"/>
      </w:pPr>
      <w:r w:rsidRPr="00237751">
        <w:t>Sammantaget föreslår Vänsterpartiet en ökning av anslaget 19:6 Försä</w:t>
      </w:r>
      <w:r w:rsidRPr="00237751">
        <w:t>k</w:t>
      </w:r>
      <w:r w:rsidRPr="00237751">
        <w:t>ringskassan med 395 miljoner kronor för 2008.</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7751">
        <w:trPr>
          <w:cantSplit/>
        </w:trPr>
        <w:tc>
          <w:tcPr>
            <w:tcW w:w="3046" w:type="dxa"/>
          </w:tcPr>
          <w:p w:rsidR="003A1FCB" w:rsidRPr="00237751" w:rsidRDefault="003A1FCB">
            <w:pPr>
              <w:pStyle w:val="UnderskriftDatum"/>
              <w:shd w:val="clear" w:color="000000" w:fill="auto"/>
              <w:spacing w:before="240"/>
            </w:pPr>
            <w:r w:rsidRPr="00237751">
              <w:t>Stockholm den 3 oktober 2007</w:t>
            </w:r>
          </w:p>
        </w:tc>
        <w:tc>
          <w:tcPr>
            <w:tcW w:w="3047" w:type="dxa"/>
          </w:tcPr>
          <w:p w:rsidR="003A1FCB" w:rsidRPr="00237751" w:rsidRDefault="003A1FCB">
            <w:pPr>
              <w:pStyle w:val="Underskrifter"/>
              <w:shd w:val="clear" w:color="000000" w:fill="auto"/>
              <w:spacing w:before="240"/>
            </w:pPr>
          </w:p>
        </w:tc>
      </w:tr>
      <w:tr w:rsidR="00000000" w:rsidRPr="00237751">
        <w:trPr>
          <w:cantSplit/>
        </w:trPr>
        <w:tc>
          <w:tcPr>
            <w:tcW w:w="3046" w:type="dxa"/>
          </w:tcPr>
          <w:p w:rsidR="003A1FCB" w:rsidRPr="00237751" w:rsidRDefault="003A1FCB">
            <w:pPr>
              <w:pStyle w:val="Underskrifter"/>
              <w:shd w:val="clear" w:color="000000" w:fill="auto"/>
            </w:pPr>
            <w:r w:rsidRPr="00237751">
              <w:t>Lars Ohly (v)</w:t>
            </w:r>
          </w:p>
        </w:tc>
        <w:tc>
          <w:tcPr>
            <w:tcW w:w="3046" w:type="dxa"/>
          </w:tcPr>
          <w:p w:rsidR="003A1FCB" w:rsidRPr="00237751" w:rsidRDefault="003A1FCB">
            <w:pPr>
              <w:pStyle w:val="Underskrifter"/>
              <w:shd w:val="clear" w:color="000000" w:fill="auto"/>
            </w:pPr>
          </w:p>
        </w:tc>
      </w:tr>
      <w:tr w:rsidR="00000000" w:rsidRPr="00237751">
        <w:trPr>
          <w:cantSplit/>
        </w:trPr>
        <w:tc>
          <w:tcPr>
            <w:tcW w:w="3046" w:type="dxa"/>
          </w:tcPr>
          <w:p w:rsidR="003A1FCB" w:rsidRPr="00237751" w:rsidRDefault="003A1FCB">
            <w:pPr>
              <w:pStyle w:val="Underskrifter"/>
              <w:shd w:val="clear" w:color="000000" w:fill="auto"/>
            </w:pPr>
            <w:r w:rsidRPr="00237751">
              <w:t>Marianne Berg (v)</w:t>
            </w:r>
          </w:p>
        </w:tc>
        <w:tc>
          <w:tcPr>
            <w:tcW w:w="3046" w:type="dxa"/>
          </w:tcPr>
          <w:p w:rsidR="003A1FCB" w:rsidRPr="00237751" w:rsidRDefault="003A1FCB">
            <w:pPr>
              <w:pStyle w:val="Underskrifter"/>
              <w:shd w:val="clear" w:color="000000" w:fill="auto"/>
            </w:pPr>
            <w:r w:rsidRPr="00237751">
              <w:t>Wiwi-Anne Johansson (v)</w:t>
            </w:r>
          </w:p>
        </w:tc>
      </w:tr>
      <w:tr w:rsidR="00000000" w:rsidRPr="00237751">
        <w:trPr>
          <w:cantSplit/>
        </w:trPr>
        <w:tc>
          <w:tcPr>
            <w:tcW w:w="3046" w:type="dxa"/>
          </w:tcPr>
          <w:p w:rsidR="003A1FCB" w:rsidRPr="00237751" w:rsidRDefault="003A1FCB">
            <w:pPr>
              <w:pStyle w:val="Underskrifter"/>
              <w:shd w:val="clear" w:color="000000" w:fill="auto"/>
            </w:pPr>
            <w:r w:rsidRPr="00237751">
              <w:t>Hans Linde (v)</w:t>
            </w:r>
          </w:p>
        </w:tc>
        <w:tc>
          <w:tcPr>
            <w:tcW w:w="3046" w:type="dxa"/>
          </w:tcPr>
          <w:p w:rsidR="003A1FCB" w:rsidRPr="00237751" w:rsidRDefault="003A1FCB">
            <w:pPr>
              <w:pStyle w:val="Underskrifter"/>
              <w:shd w:val="clear" w:color="000000" w:fill="auto"/>
            </w:pPr>
            <w:r w:rsidRPr="00237751">
              <w:t>Elina Linna (v)</w:t>
            </w:r>
          </w:p>
        </w:tc>
      </w:tr>
      <w:tr w:rsidR="00000000" w:rsidRPr="00237751">
        <w:trPr>
          <w:cantSplit/>
        </w:trPr>
        <w:tc>
          <w:tcPr>
            <w:tcW w:w="3046" w:type="dxa"/>
          </w:tcPr>
          <w:p w:rsidR="003A1FCB" w:rsidRPr="00237751" w:rsidRDefault="003A1FCB">
            <w:pPr>
              <w:pStyle w:val="Underskrifter"/>
              <w:shd w:val="clear" w:color="000000" w:fill="auto"/>
            </w:pPr>
            <w:r w:rsidRPr="00237751">
              <w:t>Kent Persson (v)</w:t>
            </w:r>
          </w:p>
        </w:tc>
        <w:tc>
          <w:tcPr>
            <w:tcW w:w="3046" w:type="dxa"/>
          </w:tcPr>
          <w:p w:rsidR="003A1FCB" w:rsidRPr="00237751" w:rsidRDefault="003A1FCB">
            <w:pPr>
              <w:pStyle w:val="Underskrifter"/>
              <w:shd w:val="clear" w:color="000000" w:fill="auto"/>
            </w:pPr>
            <w:r w:rsidRPr="00237751">
              <w:t>Alice Åström (v)</w:t>
            </w:r>
          </w:p>
        </w:tc>
      </w:tr>
      <w:tr w:rsidR="00000000" w:rsidRPr="00237751">
        <w:trPr>
          <w:cantSplit/>
        </w:trPr>
        <w:tc>
          <w:tcPr>
            <w:tcW w:w="3046" w:type="dxa"/>
          </w:tcPr>
          <w:p w:rsidR="003A1FCB" w:rsidRPr="00237751" w:rsidRDefault="003A1FCB">
            <w:pPr>
              <w:pStyle w:val="Underskrifter"/>
              <w:shd w:val="clear" w:color="000000" w:fill="auto"/>
            </w:pPr>
            <w:r w:rsidRPr="00237751">
              <w:t>LiseLotte Olsson (v)</w:t>
            </w:r>
          </w:p>
        </w:tc>
        <w:tc>
          <w:tcPr>
            <w:tcW w:w="3046" w:type="dxa"/>
          </w:tcPr>
          <w:p w:rsidR="003A1FCB" w:rsidRPr="00237751" w:rsidRDefault="003A1FCB">
            <w:pPr>
              <w:pStyle w:val="Underskrifter"/>
              <w:shd w:val="clear" w:color="000000" w:fill="auto"/>
            </w:pPr>
          </w:p>
        </w:tc>
      </w:tr>
    </w:tbl>
    <w:p w:rsidR="003A1FCB" w:rsidRPr="00237751" w:rsidRDefault="003A1FCB">
      <w:pPr>
        <w:pStyle w:val="Normaltindrag"/>
        <w:shd w:val="clear" w:color="000000" w:fill="auto"/>
      </w:pPr>
    </w:p>
    <w:sectPr w:rsidR="003A1FCB" w:rsidRPr="002377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1FCB" w:rsidRPr="00237751" w:rsidRDefault="003A1FCB">
      <w:r w:rsidRPr="00237751">
        <w:separator/>
      </w:r>
    </w:p>
  </w:endnote>
  <w:endnote w:type="continuationSeparator" w:id="0">
    <w:p w:rsidR="003A1FCB" w:rsidRPr="00237751" w:rsidRDefault="003A1FCB">
      <w:r w:rsidRPr="002377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FCB" w:rsidRPr="00237751" w:rsidRDefault="00237751">
    <w:pPr>
      <w:pStyle w:val="Sidfot"/>
    </w:pPr>
    <w:r w:rsidRPr="002377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59173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FCB" w:rsidRDefault="003A1F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1FCB" w:rsidRDefault="003A1F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FCB" w:rsidRPr="00237751" w:rsidRDefault="00237751">
    <w:pPr>
      <w:pStyle w:val="Sidfot"/>
    </w:pPr>
    <w:r w:rsidRPr="002377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7263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FCB" w:rsidRDefault="003A1FC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1FCB" w:rsidRDefault="003A1FC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FCB" w:rsidRPr="00237751" w:rsidRDefault="00237751">
    <w:pPr>
      <w:pStyle w:val="Sidfot"/>
    </w:pPr>
    <w:r w:rsidRPr="002377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04557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FCB" w:rsidRDefault="003A1F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1FCB" w:rsidRDefault="003A1F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1FCB" w:rsidRPr="00237751" w:rsidRDefault="003A1FCB">
      <w:r w:rsidRPr="00237751">
        <w:separator/>
      </w:r>
    </w:p>
  </w:footnote>
  <w:footnote w:type="continuationSeparator" w:id="0">
    <w:p w:rsidR="003A1FCB" w:rsidRPr="00237751" w:rsidRDefault="003A1FCB">
      <w:r w:rsidRPr="002377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FCB" w:rsidRPr="00237751" w:rsidRDefault="00237751">
    <w:pPr>
      <w:pStyle w:val="Sidhuvud"/>
    </w:pPr>
    <w:r w:rsidRPr="002377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30860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FCB" w:rsidRDefault="003A1FC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1FCB" w:rsidRDefault="003A1FC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FCB" w:rsidRPr="00237751" w:rsidRDefault="00237751">
    <w:pPr>
      <w:pStyle w:val="Sidhuvud"/>
    </w:pPr>
    <w:r w:rsidRPr="002377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54878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FCB" w:rsidRDefault="003A1FC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1FCB" w:rsidRDefault="003A1FC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FCB" w:rsidRPr="00237751" w:rsidRDefault="003A1FCB">
    <w:pPr>
      <w:pStyle w:val="FSHNormal"/>
      <w:tabs>
        <w:tab w:val="right" w:pos="5840"/>
      </w:tabs>
    </w:pPr>
    <w:r w:rsidRPr="00237751">
      <w:br/>
    </w:r>
    <w:r w:rsidRPr="00237751">
      <w:fldChar w:fldCharType="begin" w:fldLock="1"/>
    </w:r>
    <w:r w:rsidRPr="00237751">
      <w:instrText xml:space="preserve"> DOCPROPERTY</w:instrText>
    </w:r>
    <w:r w:rsidRPr="00237751">
      <w:rPr>
        <w:sz w:val="18"/>
      </w:rPr>
      <w:instrText xml:space="preserve"> "YearUser" *\charformat </w:instrText>
    </w:r>
    <w:r w:rsidRPr="00237751">
      <w:fldChar w:fldCharType="separate"/>
    </w:r>
    <w:r w:rsidRPr="00237751">
      <w:t>2007/08</w:t>
    </w:r>
    <w:r w:rsidRPr="00237751">
      <w:fldChar w:fldCharType="end"/>
    </w:r>
    <w:r w:rsidRPr="00237751">
      <w:t xml:space="preserve"> </w:t>
    </w:r>
    <w:r w:rsidRPr="00237751">
      <w:tab/>
      <w:t xml:space="preserve">mnr: </w:t>
    </w:r>
    <w:r w:rsidRPr="00237751">
      <w:fldChar w:fldCharType="begin" w:fldLock="1"/>
    </w:r>
    <w:r w:rsidRPr="00237751">
      <w:instrText xml:space="preserve"> DOCPROPERTY</w:instrText>
    </w:r>
    <w:r w:rsidRPr="00237751">
      <w:rPr>
        <w:sz w:val="18"/>
      </w:rPr>
      <w:instrText xml:space="preserve"> "Motionsnummer" *\charformat </w:instrText>
    </w:r>
    <w:r w:rsidRPr="00237751">
      <w:fldChar w:fldCharType="separate"/>
    </w:r>
    <w:r w:rsidRPr="00237751">
      <w:t>Sf266</w:t>
    </w:r>
    <w:r w:rsidRPr="00237751">
      <w:fldChar w:fldCharType="end"/>
    </w:r>
    <w:r w:rsidRPr="00237751">
      <w:br/>
    </w:r>
    <w:r w:rsidRPr="00237751">
      <w:fldChar w:fldCharType="begin" w:fldLock="1"/>
    </w:r>
    <w:r w:rsidRPr="00237751">
      <w:instrText xml:space="preserve"> DOCPROPERTY</w:instrText>
    </w:r>
    <w:r w:rsidRPr="00237751">
      <w:rPr>
        <w:sz w:val="18"/>
      </w:rPr>
      <w:instrText xml:space="preserve"> "Samling" *\charformat </w:instrText>
    </w:r>
    <w:r w:rsidRPr="00237751">
      <w:fldChar w:fldCharType="end"/>
    </w:r>
    <w:r w:rsidRPr="00237751">
      <w:tab/>
      <w:t xml:space="preserve">pnr: </w:t>
    </w:r>
    <w:r w:rsidRPr="00237751">
      <w:fldChar w:fldCharType="begin" w:fldLock="1"/>
    </w:r>
    <w:r w:rsidRPr="00237751">
      <w:instrText xml:space="preserve"> DOCPROPERTY</w:instrText>
    </w:r>
    <w:r w:rsidRPr="00237751">
      <w:rPr>
        <w:sz w:val="18"/>
      </w:rPr>
      <w:instrText xml:space="preserve"> "Partinummer" *\charformat </w:instrText>
    </w:r>
    <w:r w:rsidRPr="00237751">
      <w:fldChar w:fldCharType="separate"/>
    </w:r>
    <w:r w:rsidRPr="00237751">
      <w:t>v451</w:t>
    </w:r>
    <w:r w:rsidRPr="00237751">
      <w:fldChar w:fldCharType="end"/>
    </w:r>
  </w:p>
  <w:p w:rsidR="003A1FCB" w:rsidRPr="00237751" w:rsidRDefault="003A1FCB">
    <w:pPr>
      <w:pStyle w:val="FSHRub1"/>
    </w:pPr>
    <w:r w:rsidRPr="00237751">
      <w:t>Motion till riksdagen</w:t>
    </w:r>
    <w:r w:rsidRPr="00237751">
      <w:br/>
    </w:r>
    <w:r w:rsidRPr="00237751">
      <w:fldChar w:fldCharType="begin" w:fldLock="1"/>
    </w:r>
    <w:r w:rsidRPr="00237751">
      <w:instrText xml:space="preserve"> DOCPROPERTY "YearUser" *\charformat </w:instrText>
    </w:r>
    <w:r w:rsidRPr="00237751">
      <w:fldChar w:fldCharType="separate"/>
    </w:r>
    <w:r w:rsidRPr="00237751">
      <w:t>2007/08</w:t>
    </w:r>
    <w:r w:rsidRPr="00237751">
      <w:fldChar w:fldCharType="end"/>
    </w:r>
    <w:r w:rsidRPr="00237751">
      <w:t>:</w:t>
    </w:r>
    <w:r w:rsidRPr="00237751">
      <w:fldChar w:fldCharType="begin" w:fldLock="1"/>
    </w:r>
    <w:r w:rsidRPr="00237751">
      <w:instrText xml:space="preserve"> DOCPROPERTY "Motionsnummer" *\charformat </w:instrText>
    </w:r>
    <w:r w:rsidRPr="00237751">
      <w:fldChar w:fldCharType="separate"/>
    </w:r>
    <w:r w:rsidRPr="00237751">
      <w:t>Sf266</w:t>
    </w:r>
    <w:r w:rsidRPr="00237751">
      <w:fldChar w:fldCharType="end"/>
    </w:r>
  </w:p>
  <w:p w:rsidR="003A1FCB" w:rsidRPr="00237751" w:rsidRDefault="003A1FCB">
    <w:pPr>
      <w:pStyle w:val="FSHNormalS5"/>
    </w:pPr>
    <w:r w:rsidRPr="00237751">
      <w:fldChar w:fldCharType="begin" w:fldLock="1"/>
    </w:r>
    <w:r w:rsidRPr="00237751">
      <w:instrText xml:space="preserve"> DOCPROPERTY "MotionarText" *\charformat </w:instrText>
    </w:r>
    <w:r w:rsidRPr="00237751">
      <w:fldChar w:fldCharType="separate"/>
    </w:r>
    <w:r w:rsidRPr="00237751">
      <w:t>av Lars Ohly m.fl. (v)</w:t>
    </w:r>
    <w:r w:rsidRPr="00237751">
      <w:fldChar w:fldCharType="end"/>
    </w:r>
    <w:r w:rsidRPr="00237751">
      <w:br/>
    </w:r>
    <w:r w:rsidRPr="00237751">
      <w:fldChar w:fldCharType="begin" w:fldLock="1"/>
    </w:r>
    <w:r w:rsidRPr="00237751">
      <w:instrText xml:space="preserve"> DOCPROPERTY "SvarFrasKort" *\charformat </w:instrText>
    </w:r>
    <w:r w:rsidRPr="00237751">
      <w:fldChar w:fldCharType="end"/>
    </w:r>
  </w:p>
  <w:p w:rsidR="003A1FCB" w:rsidRPr="00237751" w:rsidRDefault="003A1FCB">
    <w:pPr>
      <w:pStyle w:val="FSHTitel"/>
    </w:pPr>
    <w:r w:rsidRPr="00237751">
      <w:fldChar w:fldCharType="begin" w:fldLock="1"/>
    </w:r>
    <w:r w:rsidRPr="00237751">
      <w:instrText xml:space="preserve"> DOCPROPERTY</w:instrText>
    </w:r>
    <w:r w:rsidRPr="00237751">
      <w:rPr>
        <w:sz w:val="18"/>
      </w:rPr>
      <w:instrText xml:space="preserve"> "RubrikSvar" *\charformat </w:instrText>
    </w:r>
    <w:r w:rsidRPr="00237751">
      <w:fldChar w:fldCharType="separate"/>
    </w:r>
    <w:r w:rsidRPr="00237751">
      <w:t xml:space="preserve">Utgiftsområde 10 Ekonomisk trygghet vid sjukdom och handikapp </w:t>
    </w:r>
    <w:r w:rsidRPr="00237751">
      <w:fldChar w:fldCharType="end"/>
    </w:r>
  </w:p>
  <w:p w:rsidR="003A1FCB" w:rsidRPr="00237751" w:rsidRDefault="003A1FCB">
    <w:pPr>
      <w:pStyle w:val="Normal00"/>
    </w:pPr>
  </w:p>
  <w:p w:rsidR="003A1FCB" w:rsidRPr="00237751" w:rsidRDefault="003A1F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294C2F"/>
    <w:multiLevelType w:val="hybridMultilevel"/>
    <w:tmpl w:val="887A5BFE"/>
    <w:lvl w:ilvl="0" w:tplc="11F68696">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C7E64B72">
      <w:start w:val="1"/>
      <w:numFmt w:val="decimal"/>
      <w:lvlText w:val="%1."/>
      <w:lvlJc w:val="left"/>
      <w:pPr>
        <w:tabs>
          <w:tab w:val="num" w:pos="340"/>
        </w:tabs>
        <w:ind w:left="340" w:hanging="340"/>
      </w:pPr>
    </w:lvl>
    <w:lvl w:ilvl="1" w:tplc="A29A59A4" w:tentative="1">
      <w:start w:val="1"/>
      <w:numFmt w:val="lowerLetter"/>
      <w:lvlText w:val="%2."/>
      <w:lvlJc w:val="left"/>
      <w:pPr>
        <w:tabs>
          <w:tab w:val="num" w:pos="1440"/>
        </w:tabs>
        <w:ind w:left="1440" w:hanging="360"/>
      </w:pPr>
    </w:lvl>
    <w:lvl w:ilvl="2" w:tplc="5B2E5D84" w:tentative="1">
      <w:start w:val="1"/>
      <w:numFmt w:val="lowerRoman"/>
      <w:lvlText w:val="%3."/>
      <w:lvlJc w:val="right"/>
      <w:pPr>
        <w:tabs>
          <w:tab w:val="num" w:pos="2160"/>
        </w:tabs>
        <w:ind w:left="2160" w:hanging="180"/>
      </w:pPr>
    </w:lvl>
    <w:lvl w:ilvl="3" w:tplc="FE0EF432" w:tentative="1">
      <w:start w:val="1"/>
      <w:numFmt w:val="decimal"/>
      <w:lvlText w:val="%4."/>
      <w:lvlJc w:val="left"/>
      <w:pPr>
        <w:tabs>
          <w:tab w:val="num" w:pos="2880"/>
        </w:tabs>
        <w:ind w:left="2880" w:hanging="360"/>
      </w:pPr>
    </w:lvl>
    <w:lvl w:ilvl="4" w:tplc="D2825DD8" w:tentative="1">
      <w:start w:val="1"/>
      <w:numFmt w:val="lowerLetter"/>
      <w:lvlText w:val="%5."/>
      <w:lvlJc w:val="left"/>
      <w:pPr>
        <w:tabs>
          <w:tab w:val="num" w:pos="3600"/>
        </w:tabs>
        <w:ind w:left="3600" w:hanging="360"/>
      </w:pPr>
    </w:lvl>
    <w:lvl w:ilvl="5" w:tplc="83CA6EB4" w:tentative="1">
      <w:start w:val="1"/>
      <w:numFmt w:val="lowerRoman"/>
      <w:lvlText w:val="%6."/>
      <w:lvlJc w:val="right"/>
      <w:pPr>
        <w:tabs>
          <w:tab w:val="num" w:pos="4320"/>
        </w:tabs>
        <w:ind w:left="4320" w:hanging="180"/>
      </w:pPr>
    </w:lvl>
    <w:lvl w:ilvl="6" w:tplc="66424EFC" w:tentative="1">
      <w:start w:val="1"/>
      <w:numFmt w:val="decimal"/>
      <w:lvlText w:val="%7."/>
      <w:lvlJc w:val="left"/>
      <w:pPr>
        <w:tabs>
          <w:tab w:val="num" w:pos="5040"/>
        </w:tabs>
        <w:ind w:left="5040" w:hanging="360"/>
      </w:pPr>
    </w:lvl>
    <w:lvl w:ilvl="7" w:tplc="91BA2F94" w:tentative="1">
      <w:start w:val="1"/>
      <w:numFmt w:val="lowerLetter"/>
      <w:lvlText w:val="%8."/>
      <w:lvlJc w:val="left"/>
      <w:pPr>
        <w:tabs>
          <w:tab w:val="num" w:pos="5760"/>
        </w:tabs>
        <w:ind w:left="5760" w:hanging="360"/>
      </w:pPr>
    </w:lvl>
    <w:lvl w:ilvl="8" w:tplc="C8EA3392" w:tentative="1">
      <w:start w:val="1"/>
      <w:numFmt w:val="lowerRoman"/>
      <w:lvlText w:val="%9."/>
      <w:lvlJc w:val="right"/>
      <w:pPr>
        <w:tabs>
          <w:tab w:val="num" w:pos="6480"/>
        </w:tabs>
        <w:ind w:left="6480" w:hanging="180"/>
      </w:pPr>
    </w:lvl>
  </w:abstractNum>
  <w:abstractNum w:abstractNumId="15" w15:restartNumberingAfterBreak="0">
    <w:nsid w:val="6F1955F3"/>
    <w:multiLevelType w:val="multilevel"/>
    <w:tmpl w:val="5016DD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96854550">
    <w:abstractNumId w:val="14"/>
  </w:num>
  <w:num w:numId="2" w16cid:durableId="204296312">
    <w:abstractNumId w:val="10"/>
  </w:num>
  <w:num w:numId="3" w16cid:durableId="1402410359">
    <w:abstractNumId w:val="12"/>
  </w:num>
  <w:num w:numId="4" w16cid:durableId="956641818">
    <w:abstractNumId w:val="13"/>
  </w:num>
  <w:num w:numId="5" w16cid:durableId="1531647015">
    <w:abstractNumId w:val="8"/>
  </w:num>
  <w:num w:numId="6" w16cid:durableId="1544948638">
    <w:abstractNumId w:val="3"/>
  </w:num>
  <w:num w:numId="7" w16cid:durableId="1439179971">
    <w:abstractNumId w:val="2"/>
  </w:num>
  <w:num w:numId="8" w16cid:durableId="93598967">
    <w:abstractNumId w:val="1"/>
  </w:num>
  <w:num w:numId="9" w16cid:durableId="418017410">
    <w:abstractNumId w:val="0"/>
  </w:num>
  <w:num w:numId="10" w16cid:durableId="1863277014">
    <w:abstractNumId w:val="9"/>
  </w:num>
  <w:num w:numId="11" w16cid:durableId="980767480">
    <w:abstractNumId w:val="7"/>
  </w:num>
  <w:num w:numId="12" w16cid:durableId="1059397600">
    <w:abstractNumId w:val="6"/>
  </w:num>
  <w:num w:numId="13" w16cid:durableId="92241759">
    <w:abstractNumId w:val="5"/>
  </w:num>
  <w:num w:numId="14" w16cid:durableId="1186867662">
    <w:abstractNumId w:val="4"/>
  </w:num>
  <w:num w:numId="15" w16cid:durableId="65423918">
    <w:abstractNumId w:val="11"/>
  </w:num>
  <w:num w:numId="16" w16cid:durableId="1147599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1"/>
    <w:docVar w:name="PersonGUIDs" w:val="{F1A2565D-4D2F-4887-9B1D-3D7BE825DA8C},{25384487-954A-4B3D-A759-FB67661DCC6F},{93F71F64-B3B2-464F-BCC5-C49DA1B8F0E4},{88576935-7337-4AFA-923F-6E59D33EEBED},{8B923F15-4996-4696-A089-6A5BE8BF8E1B},{CBCE2632-605E-484A-97AC-47C334EA7100},{7E0BF71E-CD03-4DBF-9F51-3B5B798F2741},{06478B68-C776-4FFD-96E4-23144F4B9796}"/>
  </w:docVars>
  <w:rsids>
    <w:rsidRoot w:val="00B755C4"/>
    <w:rsid w:val="00237751"/>
    <w:rsid w:val="003A1FCB"/>
    <w:rsid w:val="00B755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725140-DDFB-4C7F-941E-1EC3E10D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5"/>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1135</Words>
  <Characters>7054</Characters>
  <Application>Microsoft Office Word</Application>
  <DocSecurity>4</DocSecurity>
  <Lines>156</Lines>
  <Paragraphs>58</Paragraphs>
  <ScaleCrop>false</ScaleCrop>
  <HeadingPairs>
    <vt:vector size="2" baseType="variant">
      <vt:variant>
        <vt:lpstr>Rubrik</vt:lpstr>
      </vt:variant>
      <vt:variant>
        <vt:i4>1</vt:i4>
      </vt:variant>
    </vt:vector>
  </HeadingPairs>
  <TitlesOfParts>
    <vt:vector size="1" baseType="lpstr">
      <vt:lpstr>v451</vt:lpstr>
    </vt:vector>
  </TitlesOfParts>
  <Company>Riksdagen</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v451</dc:title>
  <dc:subject>v451</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2007-11-19T11:52:00Z</cp:lastPrinted>
  <dcterms:created xsi:type="dcterms:W3CDTF">2025-12-17T07:50:00Z</dcterms:created>
  <dcterms:modified xsi:type="dcterms:W3CDTF">2025-12-17T07:50:00Z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mot2000_490_2007-09-21</vt:lpwstr>
  </property>
  <property fmtid="{D5CDD505-2E9C-101B-9397-08002B2CF9AE}" pid="3" name="version">
    <vt:lpwstr>mot2000_453_2006-09-29</vt:lpwstr>
  </property>
  <property fmtid="{D5CDD505-2E9C-101B-9397-08002B2CF9AE}" pid="4" name="dokumenttyp">
    <vt:lpwstr>motion</vt:lpwstr>
  </property>
  <property fmtid="{D5CDD505-2E9C-101B-9397-08002B2CF9AE}" pid="5" name="Sekr">
    <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10 Ekonomisk trygghet vid sjukdom och handikapp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10 Ekonomisk trygghet vid sjukdom och handikapp </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v451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20072008000000000118000004510080</vt:lpwstr>
  </property>
  <property fmtid="{D5CDD505-2E9C-101B-9397-08002B2CF9AE}" pid="47" name="datum">
    <vt:lpwstr>071003</vt:lpwstr>
  </property>
  <property fmtid="{D5CDD505-2E9C-101B-9397-08002B2CF9AE}" pid="48" name="avsändar-e-post">
    <vt:lpwstr>anna-maria.westwood@riksdagen.se</vt:lpwstr>
  </property>
  <property fmtid="{D5CDD505-2E9C-101B-9397-08002B2CF9AE}" pid="49" name="id">
    <vt:lpwstr>20072008000000000118000004510080</vt:lpwstr>
  </property>
  <property fmtid="{D5CDD505-2E9C-101B-9397-08002B2CF9AE}" pid="50" name="nummer">
    <vt:lpwstr>266</vt:lpwstr>
  </property>
  <property fmtid="{D5CDD505-2E9C-101B-9397-08002B2CF9AE}" pid="51" name="utskottsbeteckning">
    <vt:lpwstr>Sf</vt:lpwstr>
  </property>
  <property fmtid="{D5CDD505-2E9C-101B-9397-08002B2CF9AE}" pid="52" name="GlobalUID">
    <vt:lpwstr>{33F9F335-2304-40C0-89B2-61FD205F81C8}</vt:lpwstr>
  </property>
  <property fmtid="{D5CDD505-2E9C-101B-9397-08002B2CF9AE}" pid="53" name="Överföringar">
    <vt:i4>0</vt:i4>
  </property>
  <property fmtid="{D5CDD505-2E9C-101B-9397-08002B2CF9AE}" pid="54" name="Checksum">
    <vt:lpwstr>*0010936461028*</vt:lpwstr>
  </property>
  <property fmtid="{D5CDD505-2E9C-101B-9397-08002B2CF9AE}" pid="55" name="skuggnummer">
    <vt:lpwstr>1906</vt:lpwstr>
  </property>
  <property fmtid="{D5CDD505-2E9C-101B-9397-08002B2CF9AE}" pid="56" name="urixVersion">
    <vt:lpwstr>3.2.0.8</vt:lpwstr>
  </property>
  <property fmtid="{D5CDD505-2E9C-101B-9397-08002B2CF9AE}" pid="57" name="urixOrigin">
    <vt:lpwstr>071119 12:52:42.481</vt:lpwstr>
  </property>
  <property fmtid="{D5CDD505-2E9C-101B-9397-08002B2CF9AE}" pid="58" name="urixGuid">
    <vt:lpwstr>{FF139B4A-BC10-484D-8C6F-C90F7A3EE6B7}</vt:lpwstr>
  </property>
</Properties>
</file>