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63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4 februari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gruppledare för partigrupp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Mia Sydow Mölleby (V) fr.o.m. den 3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 för gruppledare för partigrupp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Maj Karlsson (V) fr.o.m. den 3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2015/16:18 Torsdagen den 28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KOM(2015) 598 Meddelande från kommissionen till Europaparlamentet, rådet, Europeiska ekonomiska och sociala kommittén samt Regionkommittén En luftfartsstrategi för Europa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Klimat- och miljöminister Åsa Romson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2015/16:326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ändamålsenligt strandskydd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2015/16:318 av Rickard Nordin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Oroväckande trög marknad för fossiloberoende bilar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2015/16:344 av Jessica Rosencrantz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EU:s nya direktiv för fordonsbesiktning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Närings- och innovationsminister Mikael Damberg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Anna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Mehmet Kaplan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Aida Hadzialic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4 februari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2016-02-04</SAFIR_Sammantradesdatum_Doc>
    <SAFIR_SammantradeID xmlns="C07A1A6C-0B19-41D9-BDF8-F523BA3921EB">b325529e-314b-4762-808c-d68a50504c66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6C4679-2147-478F-9865-DB0E10EEC0F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4 februari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