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F2CEC">
        <w:tblPrEx>
          <w:tblCellMar>
            <w:top w:w="0" w:type="dxa"/>
            <w:bottom w:w="0" w:type="dxa"/>
          </w:tblCellMar>
        </w:tblPrEx>
        <w:trPr>
          <w:cantSplit/>
          <w:trHeight w:hRule="exact" w:val="1260"/>
        </w:trPr>
        <w:tc>
          <w:tcPr>
            <w:tcW w:w="6024" w:type="dxa"/>
            <w:gridSpan w:val="2"/>
            <w:vMerge w:val="restart"/>
          </w:tcPr>
          <w:p w:rsidR="004B0E66" w:rsidRPr="003F2CEC" w:rsidRDefault="004B0E66">
            <w:pPr>
              <w:pStyle w:val="HuvudRubrik"/>
            </w:pPr>
            <w:bookmarkStart w:id="0" w:name="BetänkandeRubrik"/>
            <w:bookmarkEnd w:id="0"/>
            <w:r w:rsidRPr="003F2CEC">
              <w:t>Finansutskottets betänkande</w:t>
            </w:r>
            <w:r w:rsidR="003F2CEC" w:rsidRPr="003F2CE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53994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B0E66" w:rsidRPr="003F2CEC" w:rsidRDefault="004B0E66">
                                  <w:pPr>
                                    <w:pStyle w:val="Logo"/>
                                  </w:pPr>
                                  <w:r w:rsidRPr="003F2CE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26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B0E66" w:rsidRPr="003F2CEC" w:rsidRDefault="004B0E66">
                            <w:pPr>
                              <w:pStyle w:val="Logo"/>
                            </w:pPr>
                            <w:r w:rsidRPr="003F2CEC">
                              <w:object w:dxaOrig="840" w:dyaOrig="1545">
                                <v:shape id="_x0000_i1025" type="#_x0000_t75" style="width:90.45pt;height:77.15pt" fillcolor="window">
                                  <v:imagedata r:id="rId6" o:title="" cropright="-75835f"/>
                                </v:shape>
                                <o:OLEObject Type="Embed" ProgID="Word.Picture.8" ShapeID="_x0000_i1025" DrawAspect="Content" ObjectID="_1827342261" r:id="rId8"/>
                              </w:object>
                            </w:r>
                          </w:p>
                        </w:txbxContent>
                      </v:textbox>
                      <w10:wrap anchorx="page" anchory="page"/>
                    </v:shape>
                  </w:pict>
                </mc:Fallback>
              </mc:AlternateContent>
            </w:r>
          </w:p>
          <w:p w:rsidR="004B0E66" w:rsidRPr="003F2CEC" w:rsidRDefault="004B0E66">
            <w:pPr>
              <w:pStyle w:val="HuvudRubrikRad2"/>
            </w:pPr>
            <w:bookmarkStart w:id="17" w:name="BetänkandeNr"/>
            <w:bookmarkEnd w:id="17"/>
            <w:r w:rsidRPr="003F2CEC">
              <w:t>1999/2000:FiU5</w:t>
            </w:r>
          </w:p>
          <w:p w:rsidR="004B0E66" w:rsidRPr="003F2CEC" w:rsidRDefault="004B0E66">
            <w:pPr>
              <w:pStyle w:val="BetnkandeRubrik"/>
              <w:spacing w:before="123"/>
            </w:pPr>
            <w:bookmarkStart w:id="18" w:name="Huvudrubrik"/>
            <w:bookmarkEnd w:id="18"/>
            <w:r w:rsidRPr="003F2CEC">
              <w:t>Utgiftsområde 27 Avgiften till Europeiska geme</w:t>
            </w:r>
            <w:r w:rsidRPr="003F2CEC">
              <w:t>n</w:t>
            </w:r>
            <w:r w:rsidRPr="003F2CEC">
              <w:t>skapen</w:t>
            </w:r>
          </w:p>
        </w:tc>
        <w:tc>
          <w:tcPr>
            <w:tcW w:w="1559" w:type="dxa"/>
            <w:tcBorders>
              <w:bottom w:val="nil"/>
            </w:tcBorders>
          </w:tcPr>
          <w:p w:rsidR="004B0E66" w:rsidRPr="003F2CEC" w:rsidRDefault="004B0E66">
            <w:pPr>
              <w:spacing w:before="0" w:line="230" w:lineRule="auto"/>
              <w:rPr>
                <w:sz w:val="24"/>
              </w:rPr>
            </w:pPr>
          </w:p>
        </w:tc>
      </w:tr>
      <w:tr w:rsidR="00000000" w:rsidRPr="003F2CEC">
        <w:tblPrEx>
          <w:tblCellMar>
            <w:top w:w="0" w:type="dxa"/>
            <w:bottom w:w="0" w:type="dxa"/>
          </w:tblCellMar>
        </w:tblPrEx>
        <w:trPr>
          <w:cantSplit/>
          <w:trHeight w:hRule="exact" w:val="240"/>
        </w:trPr>
        <w:tc>
          <w:tcPr>
            <w:tcW w:w="6024" w:type="dxa"/>
            <w:gridSpan w:val="2"/>
            <w:vMerge/>
            <w:tcBorders>
              <w:top w:val="nil"/>
              <w:bottom w:val="nil"/>
            </w:tcBorders>
          </w:tcPr>
          <w:p w:rsidR="004B0E66" w:rsidRPr="003F2CEC" w:rsidRDefault="004B0E66">
            <w:pPr>
              <w:spacing w:before="40" w:after="900" w:line="280" w:lineRule="exact"/>
              <w:jc w:val="left"/>
              <w:rPr>
                <w:sz w:val="28"/>
              </w:rPr>
            </w:pPr>
          </w:p>
        </w:tc>
        <w:tc>
          <w:tcPr>
            <w:tcW w:w="1559" w:type="dxa"/>
          </w:tcPr>
          <w:p w:rsidR="004B0E66" w:rsidRPr="003F2CEC" w:rsidRDefault="004B0E66">
            <w:pPr>
              <w:pStyle w:val="rtal"/>
            </w:pPr>
            <w:r w:rsidRPr="003F2CEC">
              <w:t>1999/2000</w:t>
            </w:r>
          </w:p>
        </w:tc>
      </w:tr>
      <w:tr w:rsidR="00000000" w:rsidRPr="003F2CEC">
        <w:tblPrEx>
          <w:tblCellMar>
            <w:top w:w="0" w:type="dxa"/>
            <w:bottom w:w="0" w:type="dxa"/>
          </w:tblCellMar>
        </w:tblPrEx>
        <w:trPr>
          <w:cantSplit/>
          <w:trHeight w:val="560"/>
        </w:trPr>
        <w:tc>
          <w:tcPr>
            <w:tcW w:w="6024" w:type="dxa"/>
            <w:gridSpan w:val="2"/>
            <w:vMerge/>
            <w:tcBorders>
              <w:top w:val="nil"/>
              <w:bottom w:val="single" w:sz="6" w:space="0" w:color="auto"/>
            </w:tcBorders>
          </w:tcPr>
          <w:p w:rsidR="004B0E66" w:rsidRPr="003F2CEC" w:rsidRDefault="004B0E66">
            <w:pPr>
              <w:spacing w:before="40" w:after="900" w:line="280" w:lineRule="exact"/>
              <w:jc w:val="left"/>
              <w:rPr>
                <w:sz w:val="28"/>
              </w:rPr>
            </w:pPr>
          </w:p>
        </w:tc>
        <w:tc>
          <w:tcPr>
            <w:tcW w:w="1559" w:type="dxa"/>
            <w:tcBorders>
              <w:bottom w:val="single" w:sz="6" w:space="0" w:color="auto"/>
            </w:tcBorders>
          </w:tcPr>
          <w:p w:rsidR="004B0E66" w:rsidRPr="003F2CEC" w:rsidRDefault="004B0E66">
            <w:pPr>
              <w:pStyle w:val="rtal"/>
            </w:pPr>
            <w:r w:rsidRPr="003F2CEC">
              <w:t>FiU5</w:t>
            </w:r>
          </w:p>
        </w:tc>
      </w:tr>
      <w:tr w:rsidR="00000000" w:rsidRPr="003F2CEC">
        <w:tblPrEx>
          <w:tblCellMar>
            <w:top w:w="0" w:type="dxa"/>
            <w:bottom w:w="0" w:type="dxa"/>
          </w:tblCellMar>
        </w:tblPrEx>
        <w:trPr>
          <w:cantSplit/>
          <w:trHeight w:hRule="exact" w:val="660"/>
        </w:trPr>
        <w:tc>
          <w:tcPr>
            <w:tcW w:w="3012" w:type="dxa"/>
          </w:tcPr>
          <w:p w:rsidR="004B0E66" w:rsidRPr="003F2CEC" w:rsidRDefault="004B0E66">
            <w:pPr>
              <w:pStyle w:val="StatusSida1"/>
            </w:pPr>
          </w:p>
          <w:p w:rsidR="004B0E66" w:rsidRPr="003F2CEC" w:rsidRDefault="004B0E66">
            <w:pPr>
              <w:pStyle w:val="StatusSida1"/>
            </w:pPr>
          </w:p>
        </w:tc>
        <w:tc>
          <w:tcPr>
            <w:tcW w:w="3012" w:type="dxa"/>
          </w:tcPr>
          <w:p w:rsidR="004B0E66" w:rsidRPr="003F2CEC" w:rsidRDefault="004B0E66">
            <w:pPr>
              <w:pStyle w:val="UtskriftsdatumSida1"/>
              <w:rPr>
                <w:b/>
                <w:sz w:val="28"/>
              </w:rPr>
            </w:pPr>
          </w:p>
        </w:tc>
        <w:tc>
          <w:tcPr>
            <w:tcW w:w="1559" w:type="dxa"/>
          </w:tcPr>
          <w:p w:rsidR="004B0E66" w:rsidRPr="003F2CEC" w:rsidRDefault="004B0E66"/>
        </w:tc>
      </w:tr>
    </w:tbl>
    <w:p w:rsidR="004B0E66" w:rsidRPr="003F2CEC" w:rsidRDefault="004B0E66">
      <w:pPr>
        <w:pStyle w:val="Rubrik1"/>
      </w:pPr>
      <w:bookmarkStart w:id="19" w:name="_Toc468861799"/>
      <w:r w:rsidRPr="003F2CEC">
        <w:t>Sammanfattning</w:t>
      </w:r>
      <w:bookmarkEnd w:id="19"/>
    </w:p>
    <w:p w:rsidR="004B0E66" w:rsidRPr="003F2CEC" w:rsidRDefault="004B0E66">
      <w:bookmarkStart w:id="20" w:name="Textstart"/>
      <w:bookmarkEnd w:id="20"/>
      <w:r w:rsidRPr="003F2CEC">
        <w:t>I betänkandet tillstyrker utskottet regeringens förslag inom utgiftsområde 27 Avgiften till Europeiska gemenskapen. Utskottet hänvisar vidare till de av riksdagen godkända målen för den svenska EU-budgetpolitiken och anför att regeringen också under det svenska ordförandeskapet i EU:s ministerråd första halvåret 2001 bör sträva efter en återhållsam budgetpolitik i EU. En motion avstyrks.</w:t>
      </w:r>
    </w:p>
    <w:p w:rsidR="004B0E66" w:rsidRPr="003F2CEC" w:rsidRDefault="004B0E66">
      <w:pPr>
        <w:pStyle w:val="Normaltindrag"/>
      </w:pPr>
      <w:r w:rsidRPr="003F2CEC">
        <w:t>Till betänkandet har fogats 1 reservation (kd).</w:t>
      </w:r>
    </w:p>
    <w:p w:rsidR="004B0E66" w:rsidRPr="003F2CEC" w:rsidRDefault="004B0E66">
      <w:pPr>
        <w:pStyle w:val="Rubrik1"/>
      </w:pPr>
      <w:bookmarkStart w:id="21" w:name="_Toc468861800"/>
      <w:r w:rsidRPr="003F2CEC">
        <w:t>Propositionen</w:t>
      </w:r>
      <w:bookmarkEnd w:id="21"/>
    </w:p>
    <w:p w:rsidR="004B0E66" w:rsidRPr="003F2CEC" w:rsidRDefault="004B0E66">
      <w:r w:rsidRPr="003F2CEC">
        <w:t>I proposition 1999/2000:1 Budgetpropositionen för 2000, utgiftsområde 27 Avgiften till Europeiska gemenskapen, föreslår regeringen</w:t>
      </w:r>
    </w:p>
    <w:p w:rsidR="004B0E66" w:rsidRPr="003F2CEC" w:rsidRDefault="004B0E66">
      <w:pPr>
        <w:pStyle w:val="Normaltindrag"/>
      </w:pPr>
      <w:r w:rsidRPr="003F2CEC">
        <w:t>1. att riksdagen bemyndigar regeringen att ikläda staten de åtaganden som följer av EU-budgeten för budgetåret 2000 avseende åtagandebemyndiga</w:t>
      </w:r>
      <w:r w:rsidRPr="003F2CEC">
        <w:t>n</w:t>
      </w:r>
      <w:r w:rsidRPr="003F2CEC">
        <w:t xml:space="preserve">den (avsnitt 5), </w:t>
      </w:r>
    </w:p>
    <w:p w:rsidR="004B0E66" w:rsidRPr="003F2CEC" w:rsidRDefault="004B0E66">
      <w:pPr>
        <w:pStyle w:val="Normaltindrag"/>
      </w:pPr>
      <w:r w:rsidRPr="003F2CEC">
        <w:t xml:space="preserve">2. för budgetåret 2000 anvisar anslag under utgiftsområde 27 Avgiften till Europeiska gemenskapen enligt följande uppställning: </w:t>
      </w:r>
    </w:p>
    <w:p w:rsidR="004B0E66" w:rsidRPr="003F2CEC" w:rsidRDefault="004B0E66"/>
    <w:tbl>
      <w:tblPr>
        <w:tblW w:w="0" w:type="auto"/>
        <w:tblLayout w:type="fixed"/>
        <w:tblCellMar>
          <w:left w:w="42" w:type="dxa"/>
          <w:right w:w="42" w:type="dxa"/>
        </w:tblCellMar>
        <w:tblLook w:val="0000" w:firstRow="0" w:lastRow="0" w:firstColumn="0" w:lastColumn="0" w:noHBand="0" w:noVBand="0"/>
      </w:tblPr>
      <w:tblGrid>
        <w:gridCol w:w="326"/>
        <w:gridCol w:w="3402"/>
        <w:gridCol w:w="992"/>
        <w:gridCol w:w="1418"/>
      </w:tblGrid>
      <w:tr w:rsidR="00000000" w:rsidRPr="003F2CEC">
        <w:tblPrEx>
          <w:tblCellMar>
            <w:top w:w="0" w:type="dxa"/>
            <w:bottom w:w="0" w:type="dxa"/>
          </w:tblCellMar>
        </w:tblPrEx>
        <w:trPr>
          <w:cantSplit/>
          <w:tblHeader/>
        </w:trPr>
        <w:tc>
          <w:tcPr>
            <w:tcW w:w="326" w:type="dxa"/>
            <w:tcBorders>
              <w:top w:val="single" w:sz="4" w:space="0" w:color="auto"/>
            </w:tcBorders>
          </w:tcPr>
          <w:p w:rsidR="004B0E66" w:rsidRPr="003F2CEC" w:rsidRDefault="004B0E66">
            <w:pPr>
              <w:pStyle w:val="SBTabell"/>
              <w:rPr>
                <w:sz w:val="17"/>
              </w:rPr>
            </w:pPr>
          </w:p>
        </w:tc>
        <w:tc>
          <w:tcPr>
            <w:tcW w:w="3402" w:type="dxa"/>
            <w:tcBorders>
              <w:top w:val="single" w:sz="4" w:space="0" w:color="auto"/>
            </w:tcBorders>
          </w:tcPr>
          <w:p w:rsidR="004B0E66" w:rsidRPr="003F2CEC" w:rsidRDefault="004B0E66">
            <w:pPr>
              <w:pStyle w:val="SBTabell"/>
              <w:rPr>
                <w:sz w:val="17"/>
              </w:rPr>
            </w:pPr>
            <w:r w:rsidRPr="003F2CEC">
              <w:rPr>
                <w:sz w:val="17"/>
              </w:rPr>
              <w:t>Anslag</w:t>
            </w:r>
          </w:p>
        </w:tc>
        <w:tc>
          <w:tcPr>
            <w:tcW w:w="992" w:type="dxa"/>
            <w:tcBorders>
              <w:top w:val="single" w:sz="4" w:space="0" w:color="auto"/>
            </w:tcBorders>
          </w:tcPr>
          <w:p w:rsidR="004B0E66" w:rsidRPr="003F2CEC" w:rsidRDefault="004B0E66">
            <w:pPr>
              <w:pStyle w:val="SBTabell"/>
              <w:jc w:val="right"/>
              <w:rPr>
                <w:sz w:val="17"/>
              </w:rPr>
            </w:pPr>
            <w:r w:rsidRPr="003F2CEC">
              <w:rPr>
                <w:sz w:val="17"/>
              </w:rPr>
              <w:t>Anslagstyp</w:t>
            </w:r>
          </w:p>
        </w:tc>
        <w:tc>
          <w:tcPr>
            <w:tcW w:w="1418" w:type="dxa"/>
            <w:tcBorders>
              <w:top w:val="single" w:sz="4" w:space="0" w:color="auto"/>
            </w:tcBorders>
          </w:tcPr>
          <w:p w:rsidR="004B0E66" w:rsidRPr="003F2CEC" w:rsidRDefault="004B0E66">
            <w:pPr>
              <w:pStyle w:val="SBTabell"/>
              <w:jc w:val="right"/>
              <w:rPr>
                <w:sz w:val="17"/>
              </w:rPr>
            </w:pPr>
            <w:r w:rsidRPr="003F2CEC">
              <w:rPr>
                <w:sz w:val="17"/>
              </w:rPr>
              <w:t xml:space="preserve">Anslagsbelopp </w:t>
            </w:r>
          </w:p>
        </w:tc>
      </w:tr>
      <w:tr w:rsidR="00000000" w:rsidRPr="003F2CEC">
        <w:tblPrEx>
          <w:tblCellMar>
            <w:top w:w="0" w:type="dxa"/>
            <w:bottom w:w="0" w:type="dxa"/>
          </w:tblCellMar>
        </w:tblPrEx>
        <w:trPr>
          <w:trHeight w:val="311"/>
          <w:tblHeader/>
        </w:trPr>
        <w:tc>
          <w:tcPr>
            <w:tcW w:w="326" w:type="dxa"/>
            <w:tcBorders>
              <w:bottom w:val="single" w:sz="4" w:space="0" w:color="auto"/>
            </w:tcBorders>
          </w:tcPr>
          <w:p w:rsidR="004B0E66" w:rsidRPr="003F2CEC" w:rsidRDefault="004B0E66">
            <w:pPr>
              <w:pStyle w:val="SBTabell"/>
              <w:rPr>
                <w:sz w:val="17"/>
              </w:rPr>
            </w:pPr>
          </w:p>
        </w:tc>
        <w:tc>
          <w:tcPr>
            <w:tcW w:w="3402" w:type="dxa"/>
            <w:tcBorders>
              <w:bottom w:val="single" w:sz="4" w:space="0" w:color="auto"/>
            </w:tcBorders>
          </w:tcPr>
          <w:p w:rsidR="004B0E66" w:rsidRPr="003F2CEC" w:rsidRDefault="004B0E66">
            <w:pPr>
              <w:pStyle w:val="SBTabell"/>
              <w:rPr>
                <w:sz w:val="17"/>
              </w:rPr>
            </w:pPr>
          </w:p>
        </w:tc>
        <w:tc>
          <w:tcPr>
            <w:tcW w:w="992" w:type="dxa"/>
            <w:tcBorders>
              <w:bottom w:val="single" w:sz="4" w:space="0" w:color="auto"/>
            </w:tcBorders>
          </w:tcPr>
          <w:p w:rsidR="004B0E66" w:rsidRPr="003F2CEC" w:rsidRDefault="004B0E66">
            <w:pPr>
              <w:pStyle w:val="SBTabell"/>
              <w:jc w:val="right"/>
              <w:rPr>
                <w:sz w:val="17"/>
              </w:rPr>
            </w:pPr>
          </w:p>
        </w:tc>
        <w:tc>
          <w:tcPr>
            <w:tcW w:w="1418" w:type="dxa"/>
            <w:tcBorders>
              <w:bottom w:val="single" w:sz="4" w:space="0" w:color="auto"/>
            </w:tcBorders>
          </w:tcPr>
          <w:p w:rsidR="004B0E66" w:rsidRPr="003F2CEC" w:rsidRDefault="004B0E66">
            <w:pPr>
              <w:pStyle w:val="SBTabell"/>
              <w:jc w:val="right"/>
              <w:rPr>
                <w:sz w:val="17"/>
              </w:rPr>
            </w:pPr>
            <w:r w:rsidRPr="003F2CEC">
              <w:rPr>
                <w:sz w:val="17"/>
              </w:rPr>
              <w:t xml:space="preserve">1000-tal kr     </w:t>
            </w:r>
          </w:p>
        </w:tc>
      </w:tr>
      <w:tr w:rsidR="00000000" w:rsidRPr="003F2CEC">
        <w:tblPrEx>
          <w:tblCellMar>
            <w:top w:w="0" w:type="dxa"/>
            <w:bottom w:w="0" w:type="dxa"/>
          </w:tblCellMar>
        </w:tblPrEx>
        <w:trPr>
          <w:trHeight w:hRule="exact" w:val="180"/>
          <w:tblHeader/>
        </w:trPr>
        <w:tc>
          <w:tcPr>
            <w:tcW w:w="326" w:type="dxa"/>
          </w:tcPr>
          <w:p w:rsidR="004B0E66" w:rsidRPr="003F2CEC" w:rsidRDefault="004B0E66">
            <w:pPr>
              <w:pStyle w:val="SBTabell"/>
              <w:rPr>
                <w:sz w:val="17"/>
              </w:rPr>
            </w:pPr>
          </w:p>
        </w:tc>
        <w:tc>
          <w:tcPr>
            <w:tcW w:w="3402" w:type="dxa"/>
          </w:tcPr>
          <w:p w:rsidR="004B0E66" w:rsidRPr="003F2CEC" w:rsidRDefault="004B0E66">
            <w:pPr>
              <w:pStyle w:val="SBTabell"/>
              <w:rPr>
                <w:sz w:val="17"/>
              </w:rPr>
            </w:pPr>
          </w:p>
        </w:tc>
        <w:tc>
          <w:tcPr>
            <w:tcW w:w="992" w:type="dxa"/>
          </w:tcPr>
          <w:p w:rsidR="004B0E66" w:rsidRPr="003F2CEC" w:rsidRDefault="004B0E66">
            <w:pPr>
              <w:pStyle w:val="SBTabell"/>
              <w:rPr>
                <w:sz w:val="17"/>
              </w:rPr>
            </w:pPr>
          </w:p>
        </w:tc>
        <w:tc>
          <w:tcPr>
            <w:tcW w:w="1418" w:type="dxa"/>
          </w:tcPr>
          <w:p w:rsidR="004B0E66" w:rsidRPr="003F2CEC" w:rsidRDefault="004B0E66">
            <w:pPr>
              <w:pStyle w:val="SBTabell"/>
              <w:rPr>
                <w:sz w:val="17"/>
              </w:rPr>
            </w:pPr>
          </w:p>
        </w:tc>
      </w:tr>
      <w:tr w:rsidR="00000000" w:rsidRPr="003F2CEC">
        <w:tblPrEx>
          <w:tblCellMar>
            <w:top w:w="0" w:type="dxa"/>
            <w:bottom w:w="0" w:type="dxa"/>
          </w:tblCellMar>
        </w:tblPrEx>
        <w:tc>
          <w:tcPr>
            <w:tcW w:w="326" w:type="dxa"/>
          </w:tcPr>
          <w:p w:rsidR="004B0E66" w:rsidRPr="003F2CEC" w:rsidRDefault="004B0E66">
            <w:pPr>
              <w:pStyle w:val="SBTabell"/>
              <w:rPr>
                <w:sz w:val="17"/>
              </w:rPr>
            </w:pPr>
            <w:r w:rsidRPr="003F2CEC">
              <w:rPr>
                <w:sz w:val="17"/>
              </w:rPr>
              <w:t>A1</w:t>
            </w:r>
          </w:p>
        </w:tc>
        <w:tc>
          <w:tcPr>
            <w:tcW w:w="3402" w:type="dxa"/>
          </w:tcPr>
          <w:p w:rsidR="004B0E66" w:rsidRPr="003F2CEC" w:rsidRDefault="004B0E66">
            <w:pPr>
              <w:pStyle w:val="SBTabell"/>
              <w:rPr>
                <w:sz w:val="17"/>
              </w:rPr>
            </w:pPr>
            <w:r w:rsidRPr="003F2CEC">
              <w:rPr>
                <w:sz w:val="17"/>
              </w:rPr>
              <w:t>Avgiften till Europeiska gemenskapens bu</w:t>
            </w:r>
            <w:r w:rsidRPr="003F2CEC">
              <w:rPr>
                <w:sz w:val="17"/>
              </w:rPr>
              <w:t>d</w:t>
            </w:r>
            <w:r w:rsidRPr="003F2CEC">
              <w:rPr>
                <w:sz w:val="17"/>
              </w:rPr>
              <w:t xml:space="preserve">get </w:t>
            </w:r>
          </w:p>
        </w:tc>
        <w:tc>
          <w:tcPr>
            <w:tcW w:w="992" w:type="dxa"/>
          </w:tcPr>
          <w:p w:rsidR="004B0E66" w:rsidRPr="003F2CEC" w:rsidRDefault="004B0E66">
            <w:pPr>
              <w:pStyle w:val="SBTabell"/>
              <w:jc w:val="right"/>
              <w:rPr>
                <w:sz w:val="17"/>
              </w:rPr>
            </w:pPr>
            <w:r w:rsidRPr="003F2CEC">
              <w:rPr>
                <w:sz w:val="17"/>
              </w:rPr>
              <w:t>ramanslag</w:t>
            </w:r>
          </w:p>
        </w:tc>
        <w:tc>
          <w:tcPr>
            <w:tcW w:w="1418" w:type="dxa"/>
          </w:tcPr>
          <w:p w:rsidR="004B0E66" w:rsidRPr="003F2CEC" w:rsidRDefault="004B0E66">
            <w:pPr>
              <w:pStyle w:val="SBTabell"/>
              <w:jc w:val="right"/>
              <w:rPr>
                <w:sz w:val="17"/>
              </w:rPr>
            </w:pPr>
            <w:r w:rsidRPr="003F2CEC">
              <w:rPr>
                <w:sz w:val="17"/>
              </w:rPr>
              <w:t>23 083 000</w:t>
            </w:r>
          </w:p>
        </w:tc>
      </w:tr>
      <w:tr w:rsidR="00000000" w:rsidRPr="003F2CEC">
        <w:tblPrEx>
          <w:tblCellMar>
            <w:top w:w="0" w:type="dxa"/>
            <w:bottom w:w="0" w:type="dxa"/>
          </w:tblCellMar>
        </w:tblPrEx>
        <w:trPr>
          <w:trHeight w:hRule="exact" w:val="160"/>
        </w:trPr>
        <w:tc>
          <w:tcPr>
            <w:tcW w:w="326" w:type="dxa"/>
          </w:tcPr>
          <w:p w:rsidR="004B0E66" w:rsidRPr="003F2CEC" w:rsidRDefault="004B0E66">
            <w:pPr>
              <w:pStyle w:val="SBTabell"/>
              <w:rPr>
                <w:sz w:val="17"/>
              </w:rPr>
            </w:pPr>
          </w:p>
        </w:tc>
        <w:tc>
          <w:tcPr>
            <w:tcW w:w="3402" w:type="dxa"/>
          </w:tcPr>
          <w:p w:rsidR="004B0E66" w:rsidRPr="003F2CEC" w:rsidRDefault="004B0E66">
            <w:pPr>
              <w:pStyle w:val="SBTabell"/>
              <w:rPr>
                <w:sz w:val="17"/>
              </w:rPr>
            </w:pPr>
          </w:p>
        </w:tc>
        <w:tc>
          <w:tcPr>
            <w:tcW w:w="992" w:type="dxa"/>
          </w:tcPr>
          <w:p w:rsidR="004B0E66" w:rsidRPr="003F2CEC" w:rsidRDefault="004B0E66">
            <w:pPr>
              <w:pStyle w:val="SBTabell"/>
              <w:rPr>
                <w:sz w:val="17"/>
              </w:rPr>
            </w:pPr>
          </w:p>
        </w:tc>
        <w:tc>
          <w:tcPr>
            <w:tcW w:w="1418" w:type="dxa"/>
          </w:tcPr>
          <w:p w:rsidR="004B0E66" w:rsidRPr="003F2CEC" w:rsidRDefault="004B0E66">
            <w:pPr>
              <w:pStyle w:val="SBTabell"/>
              <w:rPr>
                <w:sz w:val="17"/>
              </w:rPr>
            </w:pPr>
          </w:p>
        </w:tc>
      </w:tr>
      <w:tr w:rsidR="00000000" w:rsidRPr="003F2CEC">
        <w:tblPrEx>
          <w:tblCellMar>
            <w:top w:w="0" w:type="dxa"/>
            <w:bottom w:w="0" w:type="dxa"/>
          </w:tblCellMar>
        </w:tblPrEx>
        <w:tc>
          <w:tcPr>
            <w:tcW w:w="326" w:type="dxa"/>
          </w:tcPr>
          <w:p w:rsidR="004B0E66" w:rsidRPr="003F2CEC" w:rsidRDefault="004B0E66">
            <w:pPr>
              <w:pStyle w:val="SBTabell"/>
              <w:rPr>
                <w:sz w:val="18"/>
              </w:rPr>
            </w:pPr>
          </w:p>
        </w:tc>
        <w:tc>
          <w:tcPr>
            <w:tcW w:w="3402" w:type="dxa"/>
          </w:tcPr>
          <w:p w:rsidR="004B0E66" w:rsidRPr="003F2CEC" w:rsidRDefault="004B0E66">
            <w:pPr>
              <w:pStyle w:val="SBTabell"/>
              <w:rPr>
                <w:sz w:val="18"/>
              </w:rPr>
            </w:pPr>
            <w:r w:rsidRPr="003F2CEC">
              <w:rPr>
                <w:b/>
                <w:sz w:val="18"/>
              </w:rPr>
              <w:t>Summa för utgiftsområdet</w:t>
            </w:r>
          </w:p>
        </w:tc>
        <w:tc>
          <w:tcPr>
            <w:tcW w:w="992" w:type="dxa"/>
          </w:tcPr>
          <w:p w:rsidR="004B0E66" w:rsidRPr="003F2CEC" w:rsidRDefault="004B0E66">
            <w:pPr>
              <w:pStyle w:val="SBTabell"/>
              <w:jc w:val="right"/>
              <w:rPr>
                <w:b/>
                <w:sz w:val="18"/>
              </w:rPr>
            </w:pPr>
          </w:p>
        </w:tc>
        <w:tc>
          <w:tcPr>
            <w:tcW w:w="1418" w:type="dxa"/>
          </w:tcPr>
          <w:p w:rsidR="004B0E66" w:rsidRPr="003F2CEC" w:rsidRDefault="004B0E66">
            <w:pPr>
              <w:pStyle w:val="SBTabell"/>
              <w:jc w:val="right"/>
              <w:rPr>
                <w:sz w:val="18"/>
              </w:rPr>
            </w:pPr>
            <w:r w:rsidRPr="003F2CEC">
              <w:rPr>
                <w:b/>
                <w:sz w:val="18"/>
              </w:rPr>
              <w:t>23 083 000</w:t>
            </w:r>
          </w:p>
        </w:tc>
      </w:tr>
      <w:tr w:rsidR="00000000" w:rsidRPr="003F2CEC">
        <w:tblPrEx>
          <w:tblCellMar>
            <w:top w:w="0" w:type="dxa"/>
            <w:bottom w:w="0" w:type="dxa"/>
          </w:tblCellMar>
        </w:tblPrEx>
        <w:trPr>
          <w:trHeight w:hRule="exact" w:val="160"/>
        </w:trPr>
        <w:tc>
          <w:tcPr>
            <w:tcW w:w="326" w:type="dxa"/>
            <w:tcBorders>
              <w:bottom w:val="single" w:sz="4" w:space="0" w:color="auto"/>
            </w:tcBorders>
          </w:tcPr>
          <w:p w:rsidR="004B0E66" w:rsidRPr="003F2CEC" w:rsidRDefault="004B0E66">
            <w:pPr>
              <w:pStyle w:val="SBTabell"/>
              <w:rPr>
                <w:sz w:val="17"/>
              </w:rPr>
            </w:pPr>
          </w:p>
        </w:tc>
        <w:tc>
          <w:tcPr>
            <w:tcW w:w="3402" w:type="dxa"/>
            <w:tcBorders>
              <w:bottom w:val="single" w:sz="4" w:space="0" w:color="auto"/>
            </w:tcBorders>
          </w:tcPr>
          <w:p w:rsidR="004B0E66" w:rsidRPr="003F2CEC" w:rsidRDefault="004B0E66">
            <w:pPr>
              <w:pStyle w:val="SBTabell"/>
              <w:rPr>
                <w:sz w:val="17"/>
              </w:rPr>
            </w:pPr>
          </w:p>
        </w:tc>
        <w:tc>
          <w:tcPr>
            <w:tcW w:w="992" w:type="dxa"/>
            <w:tcBorders>
              <w:bottom w:val="single" w:sz="4" w:space="0" w:color="auto"/>
            </w:tcBorders>
          </w:tcPr>
          <w:p w:rsidR="004B0E66" w:rsidRPr="003F2CEC" w:rsidRDefault="004B0E66">
            <w:pPr>
              <w:pStyle w:val="SBTabell"/>
              <w:rPr>
                <w:sz w:val="17"/>
              </w:rPr>
            </w:pPr>
          </w:p>
        </w:tc>
        <w:tc>
          <w:tcPr>
            <w:tcW w:w="1418" w:type="dxa"/>
            <w:tcBorders>
              <w:bottom w:val="single" w:sz="4" w:space="0" w:color="auto"/>
            </w:tcBorders>
          </w:tcPr>
          <w:p w:rsidR="004B0E66" w:rsidRPr="003F2CEC" w:rsidRDefault="004B0E66">
            <w:pPr>
              <w:pStyle w:val="SBTabell"/>
              <w:rPr>
                <w:sz w:val="17"/>
              </w:rPr>
            </w:pPr>
          </w:p>
        </w:tc>
      </w:tr>
    </w:tbl>
    <w:p w:rsidR="004B0E66" w:rsidRPr="003F2CEC" w:rsidRDefault="004B0E66">
      <w:pPr>
        <w:pStyle w:val="Rubrik1"/>
        <w:spacing w:before="360"/>
      </w:pPr>
      <w:bookmarkStart w:id="22" w:name="_Toc468861801"/>
      <w:r w:rsidRPr="003F2CEC">
        <w:t>Motionen</w:t>
      </w:r>
      <w:bookmarkEnd w:id="22"/>
    </w:p>
    <w:p w:rsidR="004B0E66" w:rsidRPr="003F2CEC" w:rsidRDefault="004B0E66">
      <w:r w:rsidRPr="003F2CEC">
        <w:t>1999/2000:U514 av Holger Gustafsson m.fl. (kd) vari yrkas</w:t>
      </w:r>
    </w:p>
    <w:p w:rsidR="004B0E66" w:rsidRPr="003F2CEC" w:rsidRDefault="004B0E66">
      <w:pPr>
        <w:pStyle w:val="Normaltindrag"/>
      </w:pPr>
      <w:r w:rsidRPr="003F2CEC">
        <w:t xml:space="preserve">16. att riksdagen som sin mening ger regeringen till känna vad i motionen anförts om en rättvisare finansiering av Europasamarbetet. </w:t>
      </w:r>
    </w:p>
    <w:p w:rsidR="004B0E66" w:rsidRPr="003F2CEC" w:rsidRDefault="004B0E66">
      <w:pPr>
        <w:pStyle w:val="Rubrik1"/>
        <w:sectPr w:rsidR="00000000" w:rsidRPr="003F2CEC">
          <w:headerReference w:type="default" r:id="rId9"/>
          <w:footerReference w:type="default" r:id="rId10"/>
          <w:pgSz w:w="11906" w:h="16838" w:code="9"/>
          <w:pgMar w:top="567" w:right="4876" w:bottom="4508" w:left="1134" w:header="227" w:footer="227" w:gutter="0"/>
          <w:cols w:space="720"/>
        </w:sectPr>
      </w:pPr>
    </w:p>
    <w:p w:rsidR="004B0E66" w:rsidRPr="003F2CEC" w:rsidRDefault="004B0E66">
      <w:pPr>
        <w:pStyle w:val="Rubrik1"/>
        <w:spacing w:before="0"/>
      </w:pPr>
      <w:bookmarkStart w:id="23" w:name="_Toc468861802"/>
      <w:r w:rsidRPr="003F2CEC">
        <w:lastRenderedPageBreak/>
        <w:t>Utskottet</w:t>
      </w:r>
      <w:bookmarkEnd w:id="23"/>
    </w:p>
    <w:p w:rsidR="004B0E66" w:rsidRPr="003F2CEC" w:rsidRDefault="004B0E66">
      <w:pPr>
        <w:pStyle w:val="Rubrik2"/>
        <w:spacing w:before="123"/>
      </w:pPr>
      <w:bookmarkStart w:id="24" w:name="_Toc468861803"/>
      <w:r w:rsidRPr="003F2CEC">
        <w:t>Inledning</w:t>
      </w:r>
      <w:bookmarkEnd w:id="24"/>
    </w:p>
    <w:p w:rsidR="004B0E66" w:rsidRPr="003F2CEC" w:rsidRDefault="004B0E66">
      <w:pPr>
        <w:rPr>
          <w:snapToGrid w:val="0"/>
          <w:lang w:eastAsia="sv-SE"/>
        </w:rPr>
      </w:pPr>
      <w:r w:rsidRPr="003F2CEC">
        <w:rPr>
          <w:snapToGrid w:val="0"/>
          <w:lang w:eastAsia="sv-SE"/>
        </w:rPr>
        <w:t>Europeiska unionen disponerar en budget för finansiella åtaganden på unionsnivå. Utgiftsområdet avser Sveriges avgift till EU-budgeten. Utgifte</w:t>
      </w:r>
      <w:r w:rsidRPr="003F2CEC">
        <w:rPr>
          <w:snapToGrid w:val="0"/>
          <w:lang w:eastAsia="sv-SE"/>
        </w:rPr>
        <w:t>r</w:t>
      </w:r>
      <w:r w:rsidRPr="003F2CEC">
        <w:rPr>
          <w:snapToGrid w:val="0"/>
          <w:lang w:eastAsia="sv-SE"/>
        </w:rPr>
        <w:t>na för budgetåret 2000 avser Sveriges betalningar under budgetåret till Eur</w:t>
      </w:r>
      <w:r w:rsidRPr="003F2CEC">
        <w:rPr>
          <w:snapToGrid w:val="0"/>
          <w:lang w:eastAsia="sv-SE"/>
        </w:rPr>
        <w:t>o</w:t>
      </w:r>
      <w:r w:rsidRPr="003F2CEC">
        <w:rPr>
          <w:snapToGrid w:val="0"/>
          <w:lang w:eastAsia="sv-SE"/>
        </w:rPr>
        <w:t>peiska kommissionen avseende EU-budgeten för 2000 inklusive eventuella korrigeringar avseende tidigare år. Avgiften kan under löpande budgetår förändras till följd av faktisk uppbörd av tullar och importavgifter, utfallet av EU-budgeten tidigare år, EU-tilläggsbudgetar, valutakursändringar samt andra korrigeringar av avgiften. EU-budgeten för 2000 fastställs i euro, men betalning av avgiften sker i kronor.</w:t>
      </w:r>
    </w:p>
    <w:p w:rsidR="004B0E66" w:rsidRPr="003F2CEC" w:rsidRDefault="004B0E66">
      <w:pPr>
        <w:pStyle w:val="Rubrik2"/>
      </w:pPr>
      <w:bookmarkStart w:id="25" w:name="_Toc468861804"/>
      <w:r w:rsidRPr="003F2CEC">
        <w:t>Anslag och åtagandebemynd</w:t>
      </w:r>
      <w:r w:rsidRPr="003F2CEC">
        <w:t>iganden</w:t>
      </w:r>
      <w:bookmarkEnd w:id="25"/>
    </w:p>
    <w:p w:rsidR="004B0E66" w:rsidRPr="003F2CEC" w:rsidRDefault="004B0E66">
      <w:pPr>
        <w:pStyle w:val="Rubrik4"/>
        <w:spacing w:before="123"/>
      </w:pPr>
      <w:bookmarkStart w:id="26" w:name="_Toc468861805"/>
      <w:r w:rsidRPr="003F2CEC">
        <w:t>Propositionen</w:t>
      </w:r>
      <w:bookmarkEnd w:id="26"/>
    </w:p>
    <w:p w:rsidR="004B0E66" w:rsidRPr="003F2CEC" w:rsidRDefault="004B0E66">
      <w:r w:rsidRPr="003F2CEC">
        <w:t xml:space="preserve">Regeringen föreslår att 23 083 000 000 kr anvisas inom utgiftsområdet för budgetåret 2000. Medlen föreslås bli anvisade under anslaget </w:t>
      </w:r>
      <w:r w:rsidRPr="003F2CEC">
        <w:rPr>
          <w:i/>
        </w:rPr>
        <w:t>A 1</w:t>
      </w:r>
      <w:r w:rsidRPr="003F2CEC">
        <w:t xml:space="preserve"> </w:t>
      </w:r>
      <w:r w:rsidRPr="003F2CEC">
        <w:rPr>
          <w:i/>
        </w:rPr>
        <w:t xml:space="preserve">Avgiften till Europeiska gemenskapens budget </w:t>
      </w:r>
      <w:r w:rsidRPr="003F2CEC">
        <w:t>(yrkande 2).</w:t>
      </w:r>
    </w:p>
    <w:p w:rsidR="004B0E66" w:rsidRPr="003F2CEC" w:rsidRDefault="004B0E66">
      <w:pPr>
        <w:pStyle w:val="Normaltindrag"/>
      </w:pPr>
      <w:r w:rsidRPr="003F2CEC">
        <w:t>Från och med 1999 utgörs avgiften till EU-budgeten av ett anslag. De tid</w:t>
      </w:r>
      <w:r w:rsidRPr="003F2CEC">
        <w:t>i</w:t>
      </w:r>
      <w:r w:rsidRPr="003F2CEC">
        <w:t>gare fyra anslagen utgör nu, tillsammans med Avgift avseende Storbritann</w:t>
      </w:r>
      <w:r w:rsidRPr="003F2CEC">
        <w:t>i</w:t>
      </w:r>
      <w:r w:rsidRPr="003F2CEC">
        <w:t>ens budgetreduktion, anslagsposter. Beräknad fördelning och utfall på a</w:t>
      </w:r>
      <w:r w:rsidRPr="003F2CEC">
        <w:t>n</w:t>
      </w:r>
      <w:r w:rsidRPr="003F2CEC">
        <w:t>slagspostnivå redovisas för riksdagens information i budgetpropositionen. För år 2000 är den beräknade fördelningen följande (miljoner kronor).</w:t>
      </w:r>
    </w:p>
    <w:tbl>
      <w:tblPr>
        <w:tblW w:w="0" w:type="auto"/>
        <w:tblInd w:w="-70" w:type="dxa"/>
        <w:tblLayout w:type="fixed"/>
        <w:tblCellMar>
          <w:left w:w="70" w:type="dxa"/>
          <w:right w:w="70" w:type="dxa"/>
        </w:tblCellMar>
        <w:tblLook w:val="0000" w:firstRow="0" w:lastRow="0" w:firstColumn="0" w:lastColumn="0" w:noHBand="0" w:noVBand="0"/>
      </w:tblPr>
      <w:tblGrid>
        <w:gridCol w:w="4446"/>
        <w:gridCol w:w="993"/>
      </w:tblGrid>
      <w:tr w:rsidR="00000000" w:rsidRPr="003F2CEC">
        <w:tblPrEx>
          <w:tblCellMar>
            <w:top w:w="0" w:type="dxa"/>
            <w:bottom w:w="0" w:type="dxa"/>
          </w:tblCellMar>
        </w:tblPrEx>
        <w:tc>
          <w:tcPr>
            <w:tcW w:w="4446" w:type="dxa"/>
          </w:tcPr>
          <w:p w:rsidR="004B0E66" w:rsidRPr="003F2CEC" w:rsidRDefault="004B0E66">
            <w:r w:rsidRPr="003F2CEC">
              <w:t>A 1.1 Tullavgift</w:t>
            </w:r>
          </w:p>
        </w:tc>
        <w:tc>
          <w:tcPr>
            <w:tcW w:w="993" w:type="dxa"/>
          </w:tcPr>
          <w:p w:rsidR="004B0E66" w:rsidRPr="003F2CEC" w:rsidRDefault="004B0E66">
            <w:pPr>
              <w:jc w:val="right"/>
            </w:pPr>
            <w:r w:rsidRPr="003F2CEC">
              <w:t>2 850</w:t>
            </w:r>
          </w:p>
        </w:tc>
      </w:tr>
      <w:tr w:rsidR="00000000" w:rsidRPr="003F2CEC">
        <w:tblPrEx>
          <w:tblCellMar>
            <w:top w:w="0" w:type="dxa"/>
            <w:bottom w:w="0" w:type="dxa"/>
          </w:tblCellMar>
        </w:tblPrEx>
        <w:tc>
          <w:tcPr>
            <w:tcW w:w="4446" w:type="dxa"/>
          </w:tcPr>
          <w:p w:rsidR="004B0E66" w:rsidRPr="003F2CEC" w:rsidRDefault="004B0E66">
            <w:r w:rsidRPr="003F2CEC">
              <w:t>A 1.2 Särskilda jordbrukstullar och sockeravgifter</w:t>
            </w:r>
          </w:p>
        </w:tc>
        <w:tc>
          <w:tcPr>
            <w:tcW w:w="993" w:type="dxa"/>
          </w:tcPr>
          <w:p w:rsidR="004B0E66" w:rsidRPr="003F2CEC" w:rsidRDefault="004B0E66">
            <w:pPr>
              <w:jc w:val="right"/>
            </w:pPr>
            <w:r w:rsidRPr="003F2CEC">
              <w:t>380</w:t>
            </w:r>
          </w:p>
        </w:tc>
      </w:tr>
      <w:tr w:rsidR="00000000" w:rsidRPr="003F2CEC">
        <w:tblPrEx>
          <w:tblCellMar>
            <w:top w:w="0" w:type="dxa"/>
            <w:bottom w:w="0" w:type="dxa"/>
          </w:tblCellMar>
        </w:tblPrEx>
        <w:tc>
          <w:tcPr>
            <w:tcW w:w="4446" w:type="dxa"/>
          </w:tcPr>
          <w:p w:rsidR="004B0E66" w:rsidRPr="003F2CEC" w:rsidRDefault="004B0E66">
            <w:r w:rsidRPr="003F2CEC">
              <w:t>A 1.3 Mervärdesskattebaserad avgift</w:t>
            </w:r>
          </w:p>
        </w:tc>
        <w:tc>
          <w:tcPr>
            <w:tcW w:w="993" w:type="dxa"/>
          </w:tcPr>
          <w:p w:rsidR="004B0E66" w:rsidRPr="003F2CEC" w:rsidRDefault="004B0E66">
            <w:pPr>
              <w:jc w:val="right"/>
            </w:pPr>
            <w:r w:rsidRPr="003F2CEC">
              <w:t>7 392</w:t>
            </w:r>
          </w:p>
        </w:tc>
      </w:tr>
      <w:tr w:rsidR="00000000" w:rsidRPr="003F2CEC">
        <w:tblPrEx>
          <w:tblCellMar>
            <w:top w:w="0" w:type="dxa"/>
            <w:bottom w:w="0" w:type="dxa"/>
          </w:tblCellMar>
        </w:tblPrEx>
        <w:tc>
          <w:tcPr>
            <w:tcW w:w="4446" w:type="dxa"/>
          </w:tcPr>
          <w:p w:rsidR="004B0E66" w:rsidRPr="003F2CEC" w:rsidRDefault="004B0E66">
            <w:r w:rsidRPr="003F2CEC">
              <w:t>A 1.4 Avgift baserad på bruttonationalinkomsten</w:t>
            </w:r>
          </w:p>
        </w:tc>
        <w:tc>
          <w:tcPr>
            <w:tcW w:w="993" w:type="dxa"/>
          </w:tcPr>
          <w:p w:rsidR="004B0E66" w:rsidRPr="003F2CEC" w:rsidRDefault="004B0E66">
            <w:pPr>
              <w:jc w:val="right"/>
            </w:pPr>
            <w:r w:rsidRPr="003F2CEC">
              <w:t>11 330</w:t>
            </w:r>
          </w:p>
        </w:tc>
      </w:tr>
      <w:tr w:rsidR="00000000" w:rsidRPr="003F2CEC">
        <w:tblPrEx>
          <w:tblCellMar>
            <w:top w:w="0" w:type="dxa"/>
            <w:bottom w:w="0" w:type="dxa"/>
          </w:tblCellMar>
        </w:tblPrEx>
        <w:tc>
          <w:tcPr>
            <w:tcW w:w="4446" w:type="dxa"/>
          </w:tcPr>
          <w:p w:rsidR="004B0E66" w:rsidRPr="003F2CEC" w:rsidRDefault="004B0E66">
            <w:r w:rsidRPr="003F2CEC">
              <w:t>A 1.5 Avgift avseende Storbritanniens budgetr</w:t>
            </w:r>
            <w:r w:rsidRPr="003F2CEC">
              <w:t>e</w:t>
            </w:r>
            <w:r w:rsidRPr="003F2CEC">
              <w:t>duktion</w:t>
            </w:r>
          </w:p>
        </w:tc>
        <w:tc>
          <w:tcPr>
            <w:tcW w:w="993" w:type="dxa"/>
          </w:tcPr>
          <w:p w:rsidR="004B0E66" w:rsidRPr="003F2CEC" w:rsidRDefault="004B0E66">
            <w:pPr>
              <w:jc w:val="right"/>
            </w:pPr>
            <w:r w:rsidRPr="003F2CEC">
              <w:t xml:space="preserve">1 131 </w:t>
            </w:r>
          </w:p>
        </w:tc>
      </w:tr>
    </w:tbl>
    <w:p w:rsidR="004B0E66" w:rsidRPr="003F2CEC" w:rsidRDefault="004B0E66">
      <w:r w:rsidRPr="003F2CEC">
        <w:t>Finansiering av budgeten med avgifter från medlemsländerna avser utgifte</w:t>
      </w:r>
      <w:r w:rsidRPr="003F2CEC">
        <w:t>r</w:t>
      </w:r>
      <w:r w:rsidRPr="003F2CEC">
        <w:t xml:space="preserve">na enligt s.k. betalningsbemyndiganden (anslag). </w:t>
      </w:r>
      <w:r w:rsidRPr="003F2CEC">
        <w:rPr>
          <w:i/>
        </w:rPr>
        <w:t>Åtagandebemyndiganden</w:t>
      </w:r>
      <w:r w:rsidRPr="003F2CEC">
        <w:t xml:space="preserve"> ger inte upphov till samma direkta betalningsansvar men uttrycker utgiftsåt</w:t>
      </w:r>
      <w:r w:rsidRPr="003F2CEC">
        <w:t>a</w:t>
      </w:r>
      <w:r w:rsidRPr="003F2CEC">
        <w:t>gandet för flera kommande år. Regeringen föreslår att riksdagen bemyndigar regeringen att ikläda sig högst det utgiftsåtagande som följer av EU-budgeten för budgetåret 2000 (yrkande 1). Enligt en grov fördelning av åtagandet blir Sveriges andel motsvarande cirka 22 845 miljoner kronor.</w:t>
      </w:r>
    </w:p>
    <w:p w:rsidR="004B0E66" w:rsidRPr="003F2CEC" w:rsidRDefault="004B0E66">
      <w:pPr>
        <w:pStyle w:val="Rubrik4"/>
      </w:pPr>
      <w:bookmarkStart w:id="27" w:name="_Toc468861806"/>
      <w:r w:rsidRPr="003F2CEC">
        <w:t>Utskottets ställningstagande</w:t>
      </w:r>
      <w:bookmarkEnd w:id="27"/>
    </w:p>
    <w:p w:rsidR="004B0E66" w:rsidRPr="003F2CEC" w:rsidRDefault="004B0E66">
      <w:r w:rsidRPr="003F2CEC">
        <w:t>Riksdagen har den 18 november 1999 beslutat om utgiftsramar för år 2000 för statsbudgetens 27 utgiftsområden (bet. 1999/2000:FiU1, rskr. 1999/2000:28). Under riksdagens fortsatta beredning av anslagen får dessa ramar inte överskridas. För utgiftsområde 27 Avgiften till Europeiska g</w:t>
      </w:r>
      <w:r w:rsidRPr="003F2CEC">
        <w:t>e</w:t>
      </w:r>
      <w:r w:rsidRPr="003F2CEC">
        <w:t>menskapen beslutade riksdagen att fastställa ramen till 23 083 miljoner kr</w:t>
      </w:r>
      <w:r w:rsidRPr="003F2CEC">
        <w:t>o</w:t>
      </w:r>
      <w:r w:rsidRPr="003F2CEC">
        <w:t>nor.</w:t>
      </w:r>
    </w:p>
    <w:p w:rsidR="004B0E66" w:rsidRPr="003F2CEC" w:rsidRDefault="004B0E66">
      <w:pPr>
        <w:pStyle w:val="Normaltindrag"/>
      </w:pPr>
      <w:r w:rsidRPr="003F2CEC">
        <w:t>Utskottet tillstyrker regeringens förslag om medelstilldelning (yrkande 2). Vidare tillstyrks förslaget om åtagandebemyndiganden (yrkande 1).</w:t>
      </w:r>
    </w:p>
    <w:p w:rsidR="004B0E66" w:rsidRPr="003F2CEC" w:rsidRDefault="004B0E66">
      <w:pPr>
        <w:pStyle w:val="Rubrik2"/>
      </w:pPr>
      <w:bookmarkStart w:id="28" w:name="_Toc468861807"/>
      <w:r w:rsidRPr="003F2CEC">
        <w:t>Motion om finansieringen av EU:s budget</w:t>
      </w:r>
      <w:bookmarkEnd w:id="28"/>
    </w:p>
    <w:p w:rsidR="004B0E66" w:rsidRPr="003F2CEC" w:rsidRDefault="004B0E66">
      <w:pPr>
        <w:rPr>
          <w:snapToGrid w:val="0"/>
          <w:color w:val="000000"/>
          <w:lang w:eastAsia="sv-SE"/>
        </w:rPr>
      </w:pPr>
      <w:r w:rsidRPr="003F2CEC">
        <w:t xml:space="preserve">Enligt </w:t>
      </w:r>
      <w:r w:rsidRPr="003F2CEC">
        <w:rPr>
          <w:i/>
        </w:rPr>
        <w:t xml:space="preserve">motion U514 </w:t>
      </w:r>
      <w:r w:rsidRPr="003F2CEC">
        <w:t xml:space="preserve">av Holger Gustafsson m.fl. (kd) betalar </w:t>
      </w:r>
      <w:r w:rsidRPr="003F2CEC">
        <w:rPr>
          <w:snapToGrid w:val="0"/>
          <w:color w:val="000000"/>
          <w:lang w:eastAsia="sv-SE"/>
        </w:rPr>
        <w:t>Sverige en opr</w:t>
      </w:r>
      <w:r w:rsidRPr="003F2CEC">
        <w:rPr>
          <w:snapToGrid w:val="0"/>
          <w:color w:val="000000"/>
          <w:lang w:eastAsia="sv-SE"/>
        </w:rPr>
        <w:t>o</w:t>
      </w:r>
      <w:r w:rsidRPr="003F2CEC">
        <w:rPr>
          <w:snapToGrid w:val="0"/>
          <w:color w:val="000000"/>
          <w:lang w:eastAsia="sv-SE"/>
        </w:rPr>
        <w:t>portionerligt stor medlemsavgift till unionen. Sverige ger nästa år 1,1 milja</w:t>
      </w:r>
      <w:r w:rsidRPr="003F2CEC">
        <w:rPr>
          <w:snapToGrid w:val="0"/>
          <w:color w:val="000000"/>
          <w:lang w:eastAsia="sv-SE"/>
        </w:rPr>
        <w:t>r</w:t>
      </w:r>
      <w:r w:rsidRPr="003F2CEC">
        <w:rPr>
          <w:snapToGrid w:val="0"/>
          <w:color w:val="000000"/>
          <w:lang w:eastAsia="sv-SE"/>
        </w:rPr>
        <w:t>der kronor i bidrag till Storbritanniens avgiftsrabatt. Denna situation är i längden ohållbar. Motionärerna anser att Sverige bör driva på hårdare för en rättvisare finansiering av EU:s budget. Vidare bör ett generellt tak införas för begränsning av skillnaden mellan inbetalningar och återflöde. Därutöver vill motionärerna se en större sparsamhet med gemensamma med</w:t>
      </w:r>
      <w:r w:rsidRPr="003F2CEC">
        <w:rPr>
          <w:snapToGrid w:val="0"/>
          <w:color w:val="000000"/>
          <w:lang w:eastAsia="sv-SE"/>
        </w:rPr>
        <w:t>el, och utgif</w:t>
      </w:r>
      <w:r w:rsidRPr="003F2CEC">
        <w:rPr>
          <w:snapToGrid w:val="0"/>
          <w:color w:val="000000"/>
          <w:lang w:eastAsia="sv-SE"/>
        </w:rPr>
        <w:t>t</w:t>
      </w:r>
      <w:r w:rsidRPr="003F2CEC">
        <w:rPr>
          <w:snapToGrid w:val="0"/>
          <w:color w:val="000000"/>
          <w:lang w:eastAsia="sv-SE"/>
        </w:rPr>
        <w:t>s</w:t>
      </w:r>
      <w:r w:rsidRPr="003F2CEC">
        <w:rPr>
          <w:snapToGrid w:val="0"/>
          <w:color w:val="000000"/>
          <w:lang w:eastAsia="sv-SE"/>
        </w:rPr>
        <w:softHyphen/>
        <w:t>taket på 1,27 % av medlemsländernas BNP bör ligga fast. EU skall inte heller i framtiden ha någon egen beskattningsrätt; medlemsavgifter är bättre ägnade att främja ländernas deltagande och känsla av samhörighet. Vad i motionen anförts om en rättvisare finansiering av Europasamarbetet bör riksdagen som sin mening ge regeringen till känna (yrkande 16).</w:t>
      </w:r>
    </w:p>
    <w:p w:rsidR="004B0E66" w:rsidRPr="003F2CEC" w:rsidRDefault="004B0E66">
      <w:pPr>
        <w:pStyle w:val="Rubrik4"/>
      </w:pPr>
      <w:bookmarkStart w:id="29" w:name="_Toc468861808"/>
      <w:r w:rsidRPr="003F2CEC">
        <w:t>Utskottets ställningstagande</w:t>
      </w:r>
      <w:bookmarkEnd w:id="29"/>
    </w:p>
    <w:p w:rsidR="004B0E66" w:rsidRPr="003F2CEC" w:rsidRDefault="004B0E66">
      <w:r w:rsidRPr="003F2CEC">
        <w:t>Utskottet vill erinra om de av riksdagen godkända målen för den svenska EU-budgetpolitiken (prop. 1994/95:40, bet. 1994/95:FiU5). Målen innebär bland annat att Sverige skall verka för en effektiv och återhållsam budgetp</w:t>
      </w:r>
      <w:r w:rsidRPr="003F2CEC">
        <w:t>o</w:t>
      </w:r>
      <w:r w:rsidRPr="003F2CEC">
        <w:t>litik inom EU. Vidare skall Sverige verka för en förbättrad budgetdisciplin vid användningen av EU:s budgetmedel. Finansutskottet har vid flera tillfä</w:t>
      </w:r>
      <w:r w:rsidRPr="003F2CEC">
        <w:t>l</w:t>
      </w:r>
      <w:r w:rsidRPr="003F2CEC">
        <w:t>len framhållit att dessa mål alltjämt gäller. Utskottet har vidare understrukit vikten av att den svenska avgiften till EU kan begränsas i så stor utsträckning som möjligt och att ett kraftfullt agerande från regeringen är i överensstä</w:t>
      </w:r>
      <w:r w:rsidRPr="003F2CEC">
        <w:t>m</w:t>
      </w:r>
      <w:r w:rsidRPr="003F2CEC">
        <w:t>melse med de budgetpolitiska riktlinjer som riksdagen ställt sig bakom (bet. 1997/98:FiU5 och 1998/99:FiU5).</w:t>
      </w:r>
    </w:p>
    <w:p w:rsidR="004B0E66" w:rsidRPr="003F2CEC" w:rsidRDefault="004B0E66">
      <w:pPr>
        <w:pStyle w:val="Normaltindrag"/>
      </w:pPr>
      <w:r w:rsidRPr="003F2CEC">
        <w:t>Utskottet kan k</w:t>
      </w:r>
      <w:r w:rsidRPr="003F2CEC">
        <w:t>onstatera att Europeiska rådet i mars 1999 beslutade om i</w:t>
      </w:r>
      <w:r w:rsidRPr="003F2CEC">
        <w:t>n</w:t>
      </w:r>
      <w:r w:rsidRPr="003F2CEC">
        <w:t>nehållet i ett nytt beslut om egna medel och att kommissionen i juli lade fram ett förslag till nytt beslut grundat på innehållet i Europeiska rådets överen</w:t>
      </w:r>
      <w:r w:rsidRPr="003F2CEC">
        <w:t>s</w:t>
      </w:r>
      <w:r w:rsidRPr="003F2CEC">
        <w:t>kommelse. Beslutet innehåller olika komponenter som påverkar den svenska avgiften. Bland annat införs en reducering av finansieringsansvaret för den brittiska budgetreduktionen till 25 % av nuvarande andel för Nederländerna, Sverige, Tyskland och Österrike. Taket för uttag av egna medel från 1,27</w:t>
      </w:r>
      <w:r w:rsidRPr="003F2CEC">
        <w:t xml:space="preserve"> % av BNI enligt nationalräkenskapssystemet ENS 79 modifieras till motsv</w:t>
      </w:r>
      <w:r w:rsidRPr="003F2CEC">
        <w:t>a</w:t>
      </w:r>
      <w:r w:rsidRPr="003F2CEC">
        <w:t>rande belopp uttryckt i procent av BNI enligt det nya nationalräkenskap</w:t>
      </w:r>
      <w:r w:rsidRPr="003F2CEC">
        <w:t>s</w:t>
      </w:r>
      <w:r w:rsidRPr="003F2CEC">
        <w:t>systemet ENS 95. Syftet med modifieringen av taket är att övergången till ett nytt nationalräkenskapssystem inte skall leda till ökade resurser för EU-budgeten. Kommissionen har vidare lagt fram ett förslag till förordning om budgetdisciplin. Förslaget tar sikte på jordbruksutgifterna och syftar till att förhindra att taket för utgifterna för jordbruket överskrids.</w:t>
      </w:r>
      <w:r w:rsidRPr="003F2CEC">
        <w:t xml:space="preserve"> Regeringen har i en faktapromemoria till riksdagen framhållit att man är positiv till förstärkt budgetdisciplin och välkomnar kommissionens ambitionsnivå. I faktapr</w:t>
      </w:r>
      <w:r w:rsidRPr="003F2CEC">
        <w:t>o</w:t>
      </w:r>
      <w:r w:rsidRPr="003F2CEC">
        <w:t>memorian framhålls att utgångspunkten för en förordning som syftar till att säkra budgetdisciplinen bör vara att Europeiska rådets beslut respekteras, dvs. att jordbruksutgifterna skall hålla sig inom de fastställda utgiftstaken varje år, att transparens i systemet säkerställs och att det är de ministrar som ansvarar för lagstiftningen, dvs. jo</w:t>
      </w:r>
      <w:r w:rsidRPr="003F2CEC">
        <w:t>rdbruksministrarna, som är ytterst ansvar</w:t>
      </w:r>
      <w:r w:rsidRPr="003F2CEC">
        <w:t>i</w:t>
      </w:r>
      <w:r w:rsidRPr="003F2CEC">
        <w:t>ga för att jordbruksutgifterna håller sig inom fas</w:t>
      </w:r>
      <w:r w:rsidRPr="003F2CEC">
        <w:t>t</w:t>
      </w:r>
      <w:r w:rsidRPr="003F2CEC">
        <w:t>ställda utgiftstak.</w:t>
      </w:r>
    </w:p>
    <w:p w:rsidR="004B0E66" w:rsidRPr="003F2CEC" w:rsidRDefault="004B0E66">
      <w:pPr>
        <w:pStyle w:val="Normaltindrag"/>
      </w:pPr>
      <w:r w:rsidRPr="003F2CEC">
        <w:t xml:space="preserve">I promemorian </w:t>
      </w:r>
      <w:r w:rsidRPr="003F2CEC">
        <w:rPr>
          <w:i/>
        </w:rPr>
        <w:t xml:space="preserve">Modernisering av EU </w:t>
      </w:r>
      <w:r w:rsidRPr="003F2CEC">
        <w:t>(1999-10-14) redovisar regeringen att den konsekvent arbetar för en återhållsam budgetpolitik inom EU. I pr</w:t>
      </w:r>
      <w:r w:rsidRPr="003F2CEC">
        <w:t>o</w:t>
      </w:r>
      <w:r w:rsidRPr="003F2CEC">
        <w:t>memorian hänvisas också till de riktlinjer som riksdagen ställde sig bakom hösten 1994. Vidare anges att Sverige kommer att arbeta än närmare och mer aktivt med likasinnade länder i EU för att vinna inflytande för detta tänka</w:t>
      </w:r>
      <w:r w:rsidRPr="003F2CEC">
        <w:t>n</w:t>
      </w:r>
      <w:r w:rsidRPr="003F2CEC">
        <w:t>de.</w:t>
      </w:r>
    </w:p>
    <w:p w:rsidR="004B0E66" w:rsidRPr="003F2CEC" w:rsidRDefault="004B0E66">
      <w:pPr>
        <w:pStyle w:val="Normaltindrag"/>
      </w:pPr>
      <w:r w:rsidRPr="003F2CEC">
        <w:t>Utskottet kan med tillfredsställelse konstatera att regeringen driver en stram budgetpolitik i EU i linje med riksdagens beslut. Utskottet förutsätter att</w:t>
      </w:r>
      <w:r w:rsidRPr="003F2CEC">
        <w:t xml:space="preserve"> regeringen även framdeles följer de riktlinjer som riksdagen ställt sig bakom. Också under det svenska ordförandeskapet i EU:s ministerråd första halvåret 2001 bör regeringen sträva efter en återhållsam budgetpolitik i EU.</w:t>
      </w:r>
    </w:p>
    <w:p w:rsidR="004B0E66" w:rsidRPr="003F2CEC" w:rsidRDefault="004B0E66">
      <w:pPr>
        <w:pStyle w:val="Normaltindrag"/>
      </w:pPr>
      <w:r w:rsidRPr="003F2CEC">
        <w:t>Avslutningsvis vill utskottet erinra om att redovisningen av avgifter till och bidrag från EU nyligen berördes i behandlingen av årsredovisningen för staten (skr. 1998/99:150). Utskottet uttalade att det vore värdefullt om åte</w:t>
      </w:r>
      <w:r w:rsidRPr="003F2CEC">
        <w:t>r</w:t>
      </w:r>
      <w:r w:rsidRPr="003F2CEC">
        <w:t>rapporteringen till riksdagen till kommande år i första hand kompletterades med en redovisning av de anslag på statsbudgeten som helt eller delvis fina</w:t>
      </w:r>
      <w:r w:rsidRPr="003F2CEC">
        <w:t>n</w:t>
      </w:r>
      <w:r w:rsidRPr="003F2CEC">
        <w:t>sieras av EU-bidrag (bet. 1999/2000:FiU1, s. 248).</w:t>
      </w:r>
    </w:p>
    <w:p w:rsidR="004B0E66" w:rsidRPr="003F2CEC" w:rsidRDefault="004B0E66">
      <w:pPr>
        <w:pStyle w:val="Normaltindrag"/>
      </w:pPr>
      <w:r w:rsidRPr="003F2CEC">
        <w:t xml:space="preserve">Utskottet finner inte någon riksdagens åtgärd påkallad med anledning av motion U514 (kd) yrkande </w:t>
      </w:r>
      <w:r w:rsidRPr="003F2CEC">
        <w:rPr>
          <w:snapToGrid w:val="0"/>
          <w:color w:val="000000"/>
          <w:lang w:eastAsia="sv-SE"/>
        </w:rPr>
        <w:t xml:space="preserve">16 som således </w:t>
      </w:r>
      <w:r w:rsidRPr="003F2CEC">
        <w:t>avstyrks.</w:t>
      </w:r>
      <w:r w:rsidRPr="003F2CEC">
        <w:rPr>
          <w:snapToGrid w:val="0"/>
          <w:color w:val="000000"/>
          <w:lang w:eastAsia="sv-SE"/>
        </w:rPr>
        <w:t xml:space="preserve"> </w:t>
      </w:r>
    </w:p>
    <w:p w:rsidR="004B0E66" w:rsidRPr="003F2CEC" w:rsidRDefault="004B0E66">
      <w:pPr>
        <w:pStyle w:val="Rubrik2"/>
      </w:pPr>
      <w:bookmarkStart w:id="30" w:name="_Toc468861809"/>
      <w:r w:rsidRPr="003F2CEC">
        <w:t>Hemställan</w:t>
      </w:r>
      <w:bookmarkEnd w:id="30"/>
    </w:p>
    <w:p w:rsidR="004B0E66" w:rsidRPr="003F2CEC" w:rsidRDefault="004B0E66">
      <w:r w:rsidRPr="003F2CEC">
        <w:t>Utskottet hemställer</w:t>
      </w:r>
    </w:p>
    <w:p w:rsidR="004B0E66" w:rsidRPr="003F2CEC" w:rsidRDefault="004B0E66">
      <w:pPr>
        <w:pStyle w:val="hembetr"/>
      </w:pPr>
      <w:r w:rsidRPr="003F2CEC">
        <w:t xml:space="preserve">1. beträffande </w:t>
      </w:r>
      <w:r w:rsidRPr="003F2CEC">
        <w:rPr>
          <w:i/>
        </w:rPr>
        <w:t>anslaget inom utgiftsområde 27 budgetåret 2000</w:t>
      </w:r>
    </w:p>
    <w:p w:rsidR="004B0E66" w:rsidRPr="003F2CEC" w:rsidRDefault="004B0E66">
      <w:pPr>
        <w:pStyle w:val="hemtext"/>
      </w:pPr>
      <w:r w:rsidRPr="003F2CEC">
        <w:t xml:space="preserve">att riksdagen med bifall till proposition 1999/2000:1 utgiftsområde 27 yrkande 2 anvisar anslag under utgiftsområde 27 </w:t>
      </w:r>
      <w:bookmarkStart w:id="31" w:name="Nästa_Hpunkt"/>
      <w:bookmarkEnd w:id="31"/>
      <w:r w:rsidRPr="003F2CEC">
        <w:rPr>
          <w:i/>
        </w:rPr>
        <w:t>Avgiften till Europ</w:t>
      </w:r>
      <w:r w:rsidRPr="003F2CEC">
        <w:rPr>
          <w:i/>
        </w:rPr>
        <w:t>e</w:t>
      </w:r>
      <w:r w:rsidRPr="003F2CEC">
        <w:rPr>
          <w:i/>
        </w:rPr>
        <w:t xml:space="preserve">iska gemenskapen </w:t>
      </w:r>
      <w:r w:rsidRPr="003F2CEC">
        <w:t>på det sätt som framgår av efterföljande specifik</w:t>
      </w:r>
      <w:r w:rsidRPr="003F2CEC">
        <w:t>a</w:t>
      </w:r>
      <w:r w:rsidRPr="003F2CEC">
        <w:t>tion,</w:t>
      </w:r>
    </w:p>
    <w:p w:rsidR="004B0E66" w:rsidRPr="003F2CEC" w:rsidRDefault="004B0E66">
      <w:pPr>
        <w:pStyle w:val="hembetr"/>
      </w:pPr>
      <w:r w:rsidRPr="003F2CEC">
        <w:t xml:space="preserve">2. beträffande </w:t>
      </w:r>
      <w:r w:rsidRPr="003F2CEC">
        <w:rPr>
          <w:i/>
        </w:rPr>
        <w:t>åtaganden som följer av EU-budgeten för budgetåret 2000</w:t>
      </w:r>
    </w:p>
    <w:p w:rsidR="004B0E66" w:rsidRPr="003F2CEC" w:rsidRDefault="004B0E66">
      <w:pPr>
        <w:pStyle w:val="hemtext"/>
      </w:pPr>
      <w:r w:rsidRPr="003F2CEC">
        <w:t>att riksdagen med bifall till proposition 1999/2000:1 utgiftsområde 27 yrkande 1 bemyndigar regeringen att ikläda staten de åtaganden som följer av EU-budgeten för budgetåret 2000 avseende åtagandebemy</w:t>
      </w:r>
      <w:r w:rsidRPr="003F2CEC">
        <w:t>n</w:t>
      </w:r>
      <w:r w:rsidRPr="003F2CEC">
        <w:t>diganden,</w:t>
      </w:r>
    </w:p>
    <w:p w:rsidR="004B0E66" w:rsidRPr="003F2CEC" w:rsidRDefault="004B0E66">
      <w:pPr>
        <w:pStyle w:val="hembetr"/>
      </w:pPr>
      <w:r w:rsidRPr="003F2CEC">
        <w:t xml:space="preserve">3. beträffande </w:t>
      </w:r>
      <w:r w:rsidRPr="003F2CEC">
        <w:rPr>
          <w:i/>
        </w:rPr>
        <w:t>finansieringen av EU:s budget</w:t>
      </w:r>
    </w:p>
    <w:p w:rsidR="004B0E66" w:rsidRPr="003F2CEC" w:rsidRDefault="004B0E66">
      <w:pPr>
        <w:pStyle w:val="hemtext"/>
      </w:pPr>
      <w:r w:rsidRPr="003F2CEC">
        <w:t>att riksdagen avslår motion 1999/2000:U514 yrkande 16.</w:t>
      </w:r>
    </w:p>
    <w:p w:rsidR="004B0E66" w:rsidRPr="003F2CEC" w:rsidRDefault="004B0E66">
      <w:pPr>
        <w:pStyle w:val="Reseftermom"/>
      </w:pPr>
      <w:r w:rsidRPr="003F2CEC">
        <w:t>res. (kd)</w:t>
      </w:r>
      <w:bookmarkStart w:id="32" w:name="RESPARTI003"/>
      <w:bookmarkEnd w:id="32"/>
    </w:p>
    <w:p w:rsidR="004B0E66" w:rsidRPr="003F2CEC" w:rsidRDefault="004B0E66">
      <w:pPr>
        <w:pStyle w:val="Normaltindrag"/>
      </w:pPr>
    </w:p>
    <w:p w:rsidR="004B0E66" w:rsidRPr="003F2CEC" w:rsidRDefault="004B0E66">
      <w:pPr>
        <w:pStyle w:val="Stockholm"/>
      </w:pPr>
      <w:r w:rsidRPr="003F2CEC">
        <w:br w:type="page"/>
        <w:t>Stockholm den 2 december 1999</w:t>
      </w:r>
    </w:p>
    <w:p w:rsidR="004B0E66" w:rsidRPr="003F2CEC" w:rsidRDefault="004B0E66">
      <w:pPr>
        <w:pStyle w:val="Vgnar"/>
      </w:pPr>
      <w:r w:rsidRPr="003F2CEC">
        <w:t>På finansutskottets vägnar</w:t>
      </w:r>
    </w:p>
    <w:p w:rsidR="004B0E66" w:rsidRPr="003F2CEC" w:rsidRDefault="004B0E66">
      <w:pPr>
        <w:pStyle w:val="Ordfnamn"/>
      </w:pPr>
      <w:bookmarkStart w:id="33" w:name="Ordförande"/>
      <w:bookmarkEnd w:id="33"/>
      <w:r w:rsidRPr="003F2CEC">
        <w:t xml:space="preserve">Jan Bergqvist </w:t>
      </w:r>
    </w:p>
    <w:p w:rsidR="004B0E66" w:rsidRPr="003F2CEC" w:rsidRDefault="004B0E66">
      <w:pPr>
        <w:pStyle w:val="Deltagare"/>
      </w:pPr>
      <w:r w:rsidRPr="003F2CEC">
        <w:t>I beslutet har deltagit: Jan Bergqvist (s), Mats Odell (kd), Gunnar Hökmark (m), Bengt Silfverstrand (s), Lisbet Calner (s), Lennart Hedquist (m), Sonia Karlsson (s), Fredrik Reinfeldt (m), Carin Lundberg (s), Siv Holma (v), Per Landgren (kd), Anna Åkerhielm (m), Matz Hammarström (mp), Lena Ek (c), Hans Hoff (s), Marie Engström (v) och Bijan Fahimi (fp).</w:t>
      </w:r>
    </w:p>
    <w:p w:rsidR="004B0E66" w:rsidRPr="003F2CEC" w:rsidRDefault="004B0E66"/>
    <w:p w:rsidR="004B0E66" w:rsidRPr="003F2CEC" w:rsidRDefault="004B0E66">
      <w:pPr>
        <w:pStyle w:val="Normaltindrag"/>
      </w:pPr>
    </w:p>
    <w:p w:rsidR="004B0E66" w:rsidRPr="003F2CEC" w:rsidRDefault="004B0E66">
      <w:pPr>
        <w:spacing w:before="0"/>
      </w:pPr>
    </w:p>
    <w:p w:rsidR="004B0E66" w:rsidRPr="003F2CEC" w:rsidRDefault="004B0E66">
      <w:pPr>
        <w:pStyle w:val="Rubrik3"/>
      </w:pPr>
      <w:bookmarkStart w:id="34" w:name="_Toc468861810"/>
      <w:r w:rsidRPr="003F2CEC">
        <w:t>Förslag till beslut om anslag inom utgiftsområde 27 Avgiften till Europeiska gemenskapen</w:t>
      </w:r>
      <w:bookmarkEnd w:id="34"/>
    </w:p>
    <w:p w:rsidR="004B0E66" w:rsidRPr="003F2CEC" w:rsidRDefault="004B0E66">
      <w:pPr>
        <w:spacing w:after="120"/>
      </w:pPr>
      <w:r w:rsidRPr="003F2CEC">
        <w:t>Utskottets förslag överensstämmer med regeringens förslag till anslagsfö</w:t>
      </w:r>
      <w:r w:rsidRPr="003F2CEC">
        <w:t>r</w:t>
      </w:r>
      <w:r w:rsidRPr="003F2CEC">
        <w:t>delning.</w:t>
      </w:r>
    </w:p>
    <w:tbl>
      <w:tblPr>
        <w:tblW w:w="0" w:type="auto"/>
        <w:tblInd w:w="-42" w:type="dxa"/>
        <w:tblLayout w:type="fixed"/>
        <w:tblCellMar>
          <w:left w:w="42" w:type="dxa"/>
          <w:right w:w="42" w:type="dxa"/>
        </w:tblCellMar>
        <w:tblLook w:val="0000" w:firstRow="0" w:lastRow="0" w:firstColumn="0" w:lastColumn="0" w:noHBand="0" w:noVBand="0"/>
      </w:tblPr>
      <w:tblGrid>
        <w:gridCol w:w="283"/>
        <w:gridCol w:w="4012"/>
        <w:gridCol w:w="1701"/>
      </w:tblGrid>
      <w:tr w:rsidR="00000000" w:rsidRPr="003F2CEC">
        <w:tblPrEx>
          <w:tblCellMar>
            <w:top w:w="0" w:type="dxa"/>
            <w:bottom w:w="0" w:type="dxa"/>
          </w:tblCellMar>
        </w:tblPrEx>
        <w:trPr>
          <w:cantSplit/>
          <w:tblHeader/>
        </w:trPr>
        <w:tc>
          <w:tcPr>
            <w:tcW w:w="283" w:type="dxa"/>
            <w:tcBorders>
              <w:top w:val="single" w:sz="4" w:space="0" w:color="auto"/>
              <w:bottom w:val="single" w:sz="4" w:space="0" w:color="auto"/>
            </w:tcBorders>
          </w:tcPr>
          <w:p w:rsidR="004B0E66" w:rsidRPr="003F2CEC" w:rsidRDefault="004B0E66">
            <w:pPr>
              <w:pStyle w:val="SBTabell"/>
              <w:rPr>
                <w:sz w:val="17"/>
              </w:rPr>
            </w:pPr>
          </w:p>
        </w:tc>
        <w:tc>
          <w:tcPr>
            <w:tcW w:w="4012" w:type="dxa"/>
            <w:tcBorders>
              <w:top w:val="single" w:sz="4" w:space="0" w:color="auto"/>
              <w:bottom w:val="single" w:sz="4" w:space="0" w:color="auto"/>
            </w:tcBorders>
          </w:tcPr>
          <w:p w:rsidR="004B0E66" w:rsidRPr="003F2CEC" w:rsidRDefault="004B0E66">
            <w:pPr>
              <w:pStyle w:val="SBTabell"/>
              <w:rPr>
                <w:sz w:val="17"/>
              </w:rPr>
            </w:pPr>
            <w:r w:rsidRPr="003F2CEC">
              <w:rPr>
                <w:sz w:val="17"/>
              </w:rPr>
              <w:t>Verksamhetsområde</w:t>
            </w:r>
          </w:p>
          <w:p w:rsidR="004B0E66" w:rsidRPr="003F2CEC" w:rsidRDefault="004B0E66">
            <w:pPr>
              <w:pStyle w:val="SBTabell"/>
              <w:rPr>
                <w:sz w:val="17"/>
              </w:rPr>
            </w:pPr>
            <w:r w:rsidRPr="003F2CEC">
              <w:rPr>
                <w:sz w:val="17"/>
              </w:rPr>
              <w:t>Anslag</w:t>
            </w:r>
          </w:p>
        </w:tc>
        <w:tc>
          <w:tcPr>
            <w:tcW w:w="1701" w:type="dxa"/>
            <w:tcBorders>
              <w:top w:val="single" w:sz="4" w:space="0" w:color="auto"/>
              <w:bottom w:val="single" w:sz="4" w:space="0" w:color="auto"/>
            </w:tcBorders>
          </w:tcPr>
          <w:p w:rsidR="004B0E66" w:rsidRPr="003F2CEC" w:rsidRDefault="004B0E66">
            <w:pPr>
              <w:pStyle w:val="SBTabell"/>
              <w:jc w:val="right"/>
              <w:rPr>
                <w:sz w:val="17"/>
              </w:rPr>
            </w:pPr>
            <w:r w:rsidRPr="003F2CEC">
              <w:rPr>
                <w:sz w:val="17"/>
              </w:rPr>
              <w:t>Utskottets förslag</w:t>
            </w:r>
            <w:r w:rsidRPr="003F2CEC">
              <w:rPr>
                <w:sz w:val="17"/>
              </w:rPr>
              <w:br/>
              <w:t xml:space="preserve">1 000-tal kr </w:t>
            </w:r>
          </w:p>
        </w:tc>
      </w:tr>
      <w:tr w:rsidR="00000000" w:rsidRPr="003F2CEC">
        <w:tblPrEx>
          <w:tblCellMar>
            <w:top w:w="0" w:type="dxa"/>
            <w:bottom w:w="0" w:type="dxa"/>
          </w:tblCellMar>
        </w:tblPrEx>
        <w:trPr>
          <w:tblHeader/>
        </w:trPr>
        <w:tc>
          <w:tcPr>
            <w:tcW w:w="283" w:type="dxa"/>
          </w:tcPr>
          <w:p w:rsidR="004B0E66" w:rsidRPr="003F2CEC" w:rsidRDefault="004B0E66">
            <w:pPr>
              <w:pStyle w:val="SBTabell"/>
              <w:rPr>
                <w:sz w:val="17"/>
              </w:rPr>
            </w:pPr>
          </w:p>
        </w:tc>
        <w:tc>
          <w:tcPr>
            <w:tcW w:w="4012" w:type="dxa"/>
          </w:tcPr>
          <w:p w:rsidR="004B0E66" w:rsidRPr="003F2CEC" w:rsidRDefault="004B0E66">
            <w:pPr>
              <w:pStyle w:val="SBTabell"/>
              <w:rPr>
                <w:sz w:val="17"/>
              </w:rPr>
            </w:pPr>
          </w:p>
        </w:tc>
        <w:tc>
          <w:tcPr>
            <w:tcW w:w="1701" w:type="dxa"/>
          </w:tcPr>
          <w:p w:rsidR="004B0E66" w:rsidRPr="003F2CEC" w:rsidRDefault="004B0E66">
            <w:pPr>
              <w:pStyle w:val="SBTabell"/>
              <w:rPr>
                <w:sz w:val="17"/>
              </w:rPr>
            </w:pPr>
          </w:p>
        </w:tc>
      </w:tr>
      <w:tr w:rsidR="00000000" w:rsidRPr="003F2CEC">
        <w:tblPrEx>
          <w:tblCellMar>
            <w:top w:w="0" w:type="dxa"/>
            <w:bottom w:w="0" w:type="dxa"/>
          </w:tblCellMar>
        </w:tblPrEx>
        <w:trPr>
          <w:cantSplit/>
        </w:trPr>
        <w:tc>
          <w:tcPr>
            <w:tcW w:w="283" w:type="dxa"/>
          </w:tcPr>
          <w:p w:rsidR="004B0E66" w:rsidRPr="003F2CEC" w:rsidRDefault="004B0E66">
            <w:pPr>
              <w:pStyle w:val="SBTabell"/>
              <w:rPr>
                <w:sz w:val="18"/>
              </w:rPr>
            </w:pPr>
            <w:r w:rsidRPr="003F2CEC">
              <w:rPr>
                <w:b/>
                <w:sz w:val="18"/>
              </w:rPr>
              <w:t>A</w:t>
            </w:r>
          </w:p>
        </w:tc>
        <w:tc>
          <w:tcPr>
            <w:tcW w:w="5713" w:type="dxa"/>
            <w:gridSpan w:val="2"/>
          </w:tcPr>
          <w:p w:rsidR="004B0E66" w:rsidRPr="003F2CEC" w:rsidRDefault="004B0E66">
            <w:pPr>
              <w:pStyle w:val="SBTabell"/>
              <w:rPr>
                <w:sz w:val="18"/>
              </w:rPr>
            </w:pPr>
            <w:r w:rsidRPr="003F2CEC">
              <w:rPr>
                <w:b/>
                <w:sz w:val="18"/>
              </w:rPr>
              <w:t>Avgiften till Europeiska gemenskapens budget</w:t>
            </w:r>
          </w:p>
        </w:tc>
      </w:tr>
      <w:tr w:rsidR="00000000" w:rsidRPr="003F2CEC">
        <w:tblPrEx>
          <w:tblCellMar>
            <w:top w:w="0" w:type="dxa"/>
            <w:bottom w:w="0" w:type="dxa"/>
          </w:tblCellMar>
        </w:tblPrEx>
        <w:tc>
          <w:tcPr>
            <w:tcW w:w="283" w:type="dxa"/>
          </w:tcPr>
          <w:p w:rsidR="004B0E66" w:rsidRPr="003F2CEC" w:rsidRDefault="004B0E66">
            <w:pPr>
              <w:pStyle w:val="SBTabell"/>
              <w:rPr>
                <w:sz w:val="17"/>
              </w:rPr>
            </w:pPr>
            <w:r w:rsidRPr="003F2CEC">
              <w:rPr>
                <w:sz w:val="17"/>
              </w:rPr>
              <w:t>1</w:t>
            </w:r>
          </w:p>
        </w:tc>
        <w:tc>
          <w:tcPr>
            <w:tcW w:w="4012" w:type="dxa"/>
          </w:tcPr>
          <w:p w:rsidR="004B0E66" w:rsidRPr="003F2CEC" w:rsidRDefault="004B0E66">
            <w:pPr>
              <w:pStyle w:val="SBTabell"/>
              <w:rPr>
                <w:sz w:val="17"/>
              </w:rPr>
            </w:pPr>
            <w:r w:rsidRPr="003F2CEC">
              <w:rPr>
                <w:sz w:val="17"/>
              </w:rPr>
              <w:t xml:space="preserve">Avgiften till Europeiska gemenskapens budget </w:t>
            </w:r>
            <w:r w:rsidRPr="003F2CEC">
              <w:rPr>
                <w:i/>
                <w:sz w:val="17"/>
              </w:rPr>
              <w:t>(ram.)</w:t>
            </w:r>
          </w:p>
        </w:tc>
        <w:tc>
          <w:tcPr>
            <w:tcW w:w="1701" w:type="dxa"/>
          </w:tcPr>
          <w:p w:rsidR="004B0E66" w:rsidRPr="003F2CEC" w:rsidRDefault="004B0E66">
            <w:pPr>
              <w:pStyle w:val="SBTabell"/>
              <w:jc w:val="right"/>
              <w:rPr>
                <w:sz w:val="17"/>
              </w:rPr>
            </w:pPr>
            <w:r w:rsidRPr="003F2CEC">
              <w:rPr>
                <w:sz w:val="17"/>
              </w:rPr>
              <w:t>23 083 000</w:t>
            </w:r>
          </w:p>
        </w:tc>
      </w:tr>
      <w:tr w:rsidR="00000000" w:rsidRPr="003F2CEC">
        <w:tblPrEx>
          <w:tblCellMar>
            <w:top w:w="0" w:type="dxa"/>
            <w:bottom w:w="0" w:type="dxa"/>
          </w:tblCellMar>
        </w:tblPrEx>
        <w:tc>
          <w:tcPr>
            <w:tcW w:w="283" w:type="dxa"/>
          </w:tcPr>
          <w:p w:rsidR="004B0E66" w:rsidRPr="003F2CEC" w:rsidRDefault="004B0E66">
            <w:pPr>
              <w:pStyle w:val="SBTabell"/>
              <w:rPr>
                <w:sz w:val="17"/>
              </w:rPr>
            </w:pPr>
          </w:p>
        </w:tc>
        <w:tc>
          <w:tcPr>
            <w:tcW w:w="4012" w:type="dxa"/>
          </w:tcPr>
          <w:p w:rsidR="004B0E66" w:rsidRPr="003F2CEC" w:rsidRDefault="004B0E66">
            <w:pPr>
              <w:pStyle w:val="SBTabell"/>
              <w:rPr>
                <w:sz w:val="17"/>
              </w:rPr>
            </w:pPr>
          </w:p>
        </w:tc>
        <w:tc>
          <w:tcPr>
            <w:tcW w:w="1701" w:type="dxa"/>
          </w:tcPr>
          <w:p w:rsidR="004B0E66" w:rsidRPr="003F2CEC" w:rsidRDefault="004B0E66">
            <w:pPr>
              <w:pStyle w:val="SBTabell"/>
              <w:rPr>
                <w:sz w:val="17"/>
              </w:rPr>
            </w:pPr>
          </w:p>
        </w:tc>
      </w:tr>
      <w:tr w:rsidR="00000000" w:rsidRPr="003F2CEC">
        <w:tblPrEx>
          <w:tblCellMar>
            <w:top w:w="0" w:type="dxa"/>
            <w:bottom w:w="0" w:type="dxa"/>
          </w:tblCellMar>
        </w:tblPrEx>
        <w:tc>
          <w:tcPr>
            <w:tcW w:w="283" w:type="dxa"/>
          </w:tcPr>
          <w:p w:rsidR="004B0E66" w:rsidRPr="003F2CEC" w:rsidRDefault="004B0E66">
            <w:pPr>
              <w:pStyle w:val="SBTabell"/>
              <w:rPr>
                <w:sz w:val="18"/>
              </w:rPr>
            </w:pPr>
          </w:p>
        </w:tc>
        <w:tc>
          <w:tcPr>
            <w:tcW w:w="4012" w:type="dxa"/>
          </w:tcPr>
          <w:p w:rsidR="004B0E66" w:rsidRPr="003F2CEC" w:rsidRDefault="004B0E66">
            <w:pPr>
              <w:pStyle w:val="SBTabell"/>
              <w:rPr>
                <w:sz w:val="18"/>
              </w:rPr>
            </w:pPr>
            <w:r w:rsidRPr="003F2CEC">
              <w:rPr>
                <w:b/>
                <w:sz w:val="18"/>
              </w:rPr>
              <w:t>Summa för utgiftsområdet</w:t>
            </w:r>
          </w:p>
        </w:tc>
        <w:tc>
          <w:tcPr>
            <w:tcW w:w="1701" w:type="dxa"/>
          </w:tcPr>
          <w:p w:rsidR="004B0E66" w:rsidRPr="003F2CEC" w:rsidRDefault="004B0E66">
            <w:pPr>
              <w:pStyle w:val="SBTabell"/>
              <w:jc w:val="right"/>
              <w:rPr>
                <w:sz w:val="18"/>
              </w:rPr>
            </w:pPr>
            <w:r w:rsidRPr="003F2CEC">
              <w:rPr>
                <w:b/>
                <w:sz w:val="18"/>
              </w:rPr>
              <w:t>23 083 000</w:t>
            </w:r>
          </w:p>
        </w:tc>
      </w:tr>
      <w:tr w:rsidR="00000000" w:rsidRPr="003F2CEC">
        <w:tblPrEx>
          <w:tblCellMar>
            <w:top w:w="0" w:type="dxa"/>
            <w:bottom w:w="0" w:type="dxa"/>
          </w:tblCellMar>
        </w:tblPrEx>
        <w:trPr>
          <w:trHeight w:hRule="exact" w:val="180"/>
        </w:trPr>
        <w:tc>
          <w:tcPr>
            <w:tcW w:w="283" w:type="dxa"/>
            <w:tcBorders>
              <w:bottom w:val="single" w:sz="4" w:space="0" w:color="auto"/>
            </w:tcBorders>
          </w:tcPr>
          <w:p w:rsidR="004B0E66" w:rsidRPr="003F2CEC" w:rsidRDefault="004B0E66">
            <w:pPr>
              <w:pStyle w:val="SBTabell"/>
              <w:rPr>
                <w:sz w:val="17"/>
              </w:rPr>
            </w:pPr>
          </w:p>
        </w:tc>
        <w:tc>
          <w:tcPr>
            <w:tcW w:w="4012" w:type="dxa"/>
            <w:tcBorders>
              <w:bottom w:val="single" w:sz="4" w:space="0" w:color="auto"/>
            </w:tcBorders>
          </w:tcPr>
          <w:p w:rsidR="004B0E66" w:rsidRPr="003F2CEC" w:rsidRDefault="004B0E66">
            <w:pPr>
              <w:pStyle w:val="SBTabell"/>
              <w:rPr>
                <w:sz w:val="17"/>
              </w:rPr>
            </w:pPr>
          </w:p>
        </w:tc>
        <w:tc>
          <w:tcPr>
            <w:tcW w:w="1701" w:type="dxa"/>
            <w:tcBorders>
              <w:bottom w:val="single" w:sz="4" w:space="0" w:color="auto"/>
            </w:tcBorders>
          </w:tcPr>
          <w:p w:rsidR="004B0E66" w:rsidRPr="003F2CEC" w:rsidRDefault="004B0E66">
            <w:pPr>
              <w:pStyle w:val="SBTabell"/>
              <w:rPr>
                <w:sz w:val="17"/>
              </w:rPr>
            </w:pPr>
          </w:p>
        </w:tc>
      </w:tr>
    </w:tbl>
    <w:p w:rsidR="004B0E66" w:rsidRPr="003F2CEC" w:rsidRDefault="004B0E66"/>
    <w:p w:rsidR="004B0E66" w:rsidRPr="003F2CEC" w:rsidRDefault="004B0E66"/>
    <w:p w:rsidR="004B0E66" w:rsidRPr="003F2CEC" w:rsidRDefault="004B0E66">
      <w:pPr>
        <w:pStyle w:val="Normaltindrag"/>
      </w:pPr>
      <w:bookmarkStart w:id="35" w:name="Deltagare"/>
      <w:bookmarkEnd w:id="35"/>
    </w:p>
    <w:p w:rsidR="004B0E66" w:rsidRPr="003F2CEC" w:rsidRDefault="004B0E66">
      <w:pPr>
        <w:pStyle w:val="Rubrik1"/>
        <w:sectPr w:rsidR="00000000" w:rsidRPr="003F2CEC">
          <w:headerReference w:type="default" r:id="rId11"/>
          <w:footerReference w:type="default" r:id="rId12"/>
          <w:pgSz w:w="11906" w:h="16838" w:code="9"/>
          <w:pgMar w:top="567" w:right="4876" w:bottom="4508" w:left="1134" w:header="227" w:footer="227" w:gutter="0"/>
          <w:cols w:space="720"/>
        </w:sectPr>
      </w:pPr>
    </w:p>
    <w:p w:rsidR="004B0E66" w:rsidRPr="003F2CEC" w:rsidRDefault="004B0E66">
      <w:pPr>
        <w:pStyle w:val="Rubrik1"/>
        <w:spacing w:before="0"/>
      </w:pPr>
      <w:bookmarkStart w:id="36" w:name="_Toc468861811"/>
      <w:r w:rsidRPr="003F2CEC">
        <w:t>Reservation</w:t>
      </w:r>
      <w:bookmarkEnd w:id="36"/>
    </w:p>
    <w:p w:rsidR="004B0E66" w:rsidRPr="003F2CEC" w:rsidRDefault="004B0E66">
      <w:pPr>
        <w:pStyle w:val="Rubrik2"/>
        <w:spacing w:before="123"/>
      </w:pPr>
      <w:bookmarkStart w:id="37" w:name="Nästa_Reservation"/>
      <w:bookmarkStart w:id="38" w:name="_Toc468861812"/>
      <w:bookmarkEnd w:id="37"/>
      <w:r w:rsidRPr="003F2CEC">
        <w:t>Finansieringen av EU:s budget (mom. 3) (kd)</w:t>
      </w:r>
      <w:bookmarkEnd w:id="38"/>
    </w:p>
    <w:p w:rsidR="004B0E66" w:rsidRPr="003F2CEC" w:rsidRDefault="004B0E66">
      <w:r w:rsidRPr="003F2CEC">
        <w:t xml:space="preserve">Mats Odell och Per Landgren (båda kd) anser </w:t>
      </w:r>
    </w:p>
    <w:p w:rsidR="004B0E66" w:rsidRPr="003F2CEC" w:rsidRDefault="004B0E66">
      <w:r w:rsidRPr="003F2CEC">
        <w:rPr>
          <w:i/>
        </w:rPr>
        <w:t>dels</w:t>
      </w:r>
      <w:r w:rsidRPr="003F2CEC">
        <w:t xml:space="preserve"> att utskottets ställningstagande under rubriken </w:t>
      </w:r>
      <w:r w:rsidRPr="003F2CEC">
        <w:rPr>
          <w:i/>
        </w:rPr>
        <w:t>Motion om finansieringen av EU:s budget</w:t>
      </w:r>
      <w:r w:rsidRPr="003F2CEC">
        <w:t xml:space="preserve"> bort ha följande lydelse: </w:t>
      </w:r>
    </w:p>
    <w:p w:rsidR="004B0E66" w:rsidRPr="003F2CEC" w:rsidRDefault="004B0E66">
      <w:pPr>
        <w:pStyle w:val="Normaltindrag"/>
        <w:rPr>
          <w:rFonts w:ascii="Tms Rmn" w:hAnsi="Tms Rmn"/>
          <w:snapToGrid w:val="0"/>
          <w:color w:val="000000"/>
          <w:lang w:eastAsia="sv-SE"/>
        </w:rPr>
      </w:pPr>
      <w:r w:rsidRPr="003F2CEC">
        <w:rPr>
          <w:rFonts w:ascii="Tms Rmn" w:hAnsi="Tms Rmn"/>
          <w:snapToGrid w:val="0"/>
          <w:color w:val="000000"/>
          <w:lang w:eastAsia="sv-SE"/>
        </w:rPr>
        <w:t>Som påpekas i motion U514 (kd) betalar Sverige en oproportionerligt stor medlemsavgift till unionen. Sverige ger nästa år 1,1 miljarder kronor i bidrag till Storbritanniens avgiftsrabatt. Utskottet anser att denna situation i längden är ohållbar. Sverige bör driva på hårdare för en rättvisare finansiering av EU:s budget. Vidare bör ett generellt tak införas för begränsning av skilln</w:t>
      </w:r>
      <w:r w:rsidRPr="003F2CEC">
        <w:rPr>
          <w:rFonts w:ascii="Tms Rmn" w:hAnsi="Tms Rmn"/>
          <w:snapToGrid w:val="0"/>
          <w:color w:val="000000"/>
          <w:lang w:eastAsia="sv-SE"/>
        </w:rPr>
        <w:t>a</w:t>
      </w:r>
      <w:r w:rsidRPr="003F2CEC">
        <w:rPr>
          <w:rFonts w:ascii="Tms Rmn" w:hAnsi="Tms Rmn"/>
          <w:snapToGrid w:val="0"/>
          <w:color w:val="000000"/>
          <w:lang w:eastAsia="sv-SE"/>
        </w:rPr>
        <w:t>den mellan inbetalningar och återflöde. Därutöver vill utskottet se en större sparsamhet med gemensamma medel, och utgiftstaket på 1,27 % av me</w:t>
      </w:r>
      <w:r w:rsidRPr="003F2CEC">
        <w:rPr>
          <w:rFonts w:ascii="Tms Rmn" w:hAnsi="Tms Rmn"/>
          <w:snapToGrid w:val="0"/>
          <w:color w:val="000000"/>
          <w:lang w:eastAsia="sv-SE"/>
        </w:rPr>
        <w:t>d</w:t>
      </w:r>
      <w:r w:rsidRPr="003F2CEC">
        <w:rPr>
          <w:rFonts w:ascii="Tms Rmn" w:hAnsi="Tms Rmn"/>
          <w:snapToGrid w:val="0"/>
          <w:color w:val="000000"/>
          <w:lang w:eastAsia="sv-SE"/>
        </w:rPr>
        <w:t xml:space="preserve">lemsländernas BNP bör ligga fast. </w:t>
      </w:r>
      <w:r w:rsidRPr="003F2CEC">
        <w:rPr>
          <w:snapToGrid w:val="0"/>
          <w:color w:val="000000"/>
          <w:lang w:eastAsia="sv-SE"/>
        </w:rPr>
        <w:t xml:space="preserve">EU skall inte heller i framtiden ha någon egen beskattningsrätt; medlemsavgifter är bättre ägnade att främja ländernas deltagande och känsla av samhörighet. </w:t>
      </w:r>
      <w:r w:rsidRPr="003F2CEC">
        <w:rPr>
          <w:rFonts w:ascii="Tms Rmn" w:hAnsi="Tms Rmn"/>
          <w:snapToGrid w:val="0"/>
          <w:color w:val="000000"/>
          <w:lang w:eastAsia="sv-SE"/>
        </w:rPr>
        <w:t>Vad utskottet anfört om en rättvisare finansiering av Europasamarbetet bör riksdagen med bifall till motionen som sin mening ge regeringen till känna.</w:t>
      </w:r>
    </w:p>
    <w:p w:rsidR="004B0E66" w:rsidRPr="003F2CEC" w:rsidRDefault="004B0E66">
      <w:r w:rsidRPr="003F2CEC">
        <w:rPr>
          <w:i/>
        </w:rPr>
        <w:t>dels</w:t>
      </w:r>
      <w:r w:rsidRPr="003F2CEC">
        <w:t xml:space="preserve"> att utskottets hemställan under 3 bort ha följande lydelse:</w:t>
      </w:r>
    </w:p>
    <w:p w:rsidR="004B0E66" w:rsidRPr="003F2CEC" w:rsidRDefault="004B0E66">
      <w:pPr>
        <w:pStyle w:val="Resklmb"/>
      </w:pPr>
      <w:r w:rsidRPr="003F2CEC">
        <w:t xml:space="preserve">3. beträffande </w:t>
      </w:r>
      <w:r w:rsidRPr="003F2CEC">
        <w:rPr>
          <w:i/>
        </w:rPr>
        <w:t>finansieringen av EU:s budget</w:t>
      </w:r>
    </w:p>
    <w:p w:rsidR="004B0E66" w:rsidRPr="003F2CEC" w:rsidRDefault="004B0E66">
      <w:pPr>
        <w:pStyle w:val="hemtext"/>
      </w:pPr>
      <w:r w:rsidRPr="003F2CEC">
        <w:t>att riksdagen med bifall till motion 1999/2000:U514 yrkande 16 som sin mening ger regeringen till känna vad utskottet anfört,</w:t>
      </w:r>
    </w:p>
    <w:p w:rsidR="004B0E66" w:rsidRPr="003F2CEC" w:rsidRDefault="004B0E66">
      <w:pPr>
        <w:pStyle w:val="Normaltindrag"/>
      </w:pPr>
    </w:p>
    <w:p w:rsidR="004B0E66" w:rsidRPr="003F2CEC" w:rsidRDefault="004B0E66">
      <w:pPr>
        <w:pStyle w:val="Normaltindrag"/>
        <w:sectPr w:rsidR="00000000" w:rsidRPr="003F2CEC">
          <w:headerReference w:type="default" r:id="rId13"/>
          <w:footerReference w:type="default" r:id="rId14"/>
          <w:pgSz w:w="11906" w:h="16838" w:code="9"/>
          <w:pgMar w:top="567" w:right="4876" w:bottom="4508" w:left="1134" w:header="227" w:footer="227" w:gutter="0"/>
          <w:cols w:space="720"/>
        </w:sectPr>
      </w:pPr>
    </w:p>
    <w:p w:rsidR="004B0E66" w:rsidRPr="003F2CEC" w:rsidRDefault="004B0E66">
      <w:pPr>
        <w:pStyle w:val="Innehll"/>
        <w:outlineLvl w:val="1"/>
      </w:pPr>
      <w:r w:rsidRPr="003F2CEC">
        <w:t>Innehållsförteckning</w:t>
      </w:r>
    </w:p>
    <w:p w:rsidR="004B0E66" w:rsidRPr="003F2CEC" w:rsidRDefault="004B0E66">
      <w:pPr>
        <w:pStyle w:val="Innehll1"/>
      </w:pPr>
      <w:r w:rsidRPr="003F2CEC">
        <w:t>Sammanfattning</w:t>
      </w:r>
      <w:r w:rsidRPr="003F2CEC">
        <w:tab/>
        <w:t>1</w:t>
      </w:r>
    </w:p>
    <w:p w:rsidR="004B0E66" w:rsidRPr="003F2CEC" w:rsidRDefault="004B0E66">
      <w:pPr>
        <w:pStyle w:val="Innehll1"/>
      </w:pPr>
      <w:r w:rsidRPr="003F2CEC">
        <w:t>Propositionen</w:t>
      </w:r>
      <w:r w:rsidRPr="003F2CEC">
        <w:tab/>
        <w:t>1</w:t>
      </w:r>
    </w:p>
    <w:p w:rsidR="004B0E66" w:rsidRPr="003F2CEC" w:rsidRDefault="004B0E66">
      <w:pPr>
        <w:pStyle w:val="Innehll1"/>
      </w:pPr>
      <w:r w:rsidRPr="003F2CEC">
        <w:t>Motionen</w:t>
      </w:r>
      <w:r w:rsidRPr="003F2CEC">
        <w:tab/>
        <w:t>1</w:t>
      </w:r>
    </w:p>
    <w:p w:rsidR="004B0E66" w:rsidRPr="003F2CEC" w:rsidRDefault="004B0E66">
      <w:pPr>
        <w:pStyle w:val="Innehll1"/>
      </w:pPr>
      <w:r w:rsidRPr="003F2CEC">
        <w:t>Utskottet</w:t>
      </w:r>
      <w:r w:rsidRPr="003F2CEC">
        <w:tab/>
        <w:t>2</w:t>
      </w:r>
    </w:p>
    <w:p w:rsidR="004B0E66" w:rsidRPr="003F2CEC" w:rsidRDefault="004B0E66">
      <w:pPr>
        <w:pStyle w:val="Innehll2"/>
      </w:pPr>
      <w:r w:rsidRPr="003F2CEC">
        <w:t>Inledning</w:t>
      </w:r>
      <w:r w:rsidRPr="003F2CEC">
        <w:tab/>
        <w:t>2</w:t>
      </w:r>
    </w:p>
    <w:p w:rsidR="004B0E66" w:rsidRPr="003F2CEC" w:rsidRDefault="004B0E66">
      <w:pPr>
        <w:pStyle w:val="Innehll2"/>
      </w:pPr>
      <w:r w:rsidRPr="003F2CEC">
        <w:t>Anslag och åtagandebemyndiganden</w:t>
      </w:r>
      <w:r w:rsidRPr="003F2CEC">
        <w:tab/>
        <w:t>2</w:t>
      </w:r>
    </w:p>
    <w:p w:rsidR="004B0E66" w:rsidRPr="003F2CEC" w:rsidRDefault="004B0E66">
      <w:pPr>
        <w:pStyle w:val="Innehll4"/>
      </w:pPr>
      <w:r w:rsidRPr="003F2CEC">
        <w:t>Propositionen</w:t>
      </w:r>
      <w:r w:rsidRPr="003F2CEC">
        <w:tab/>
        <w:t>2</w:t>
      </w:r>
    </w:p>
    <w:p w:rsidR="004B0E66" w:rsidRPr="003F2CEC" w:rsidRDefault="004B0E66">
      <w:pPr>
        <w:pStyle w:val="Innehll4"/>
      </w:pPr>
      <w:r w:rsidRPr="003F2CEC">
        <w:t>Utskottets ställningstagande</w:t>
      </w:r>
      <w:r w:rsidRPr="003F2CEC">
        <w:tab/>
        <w:t>2</w:t>
      </w:r>
    </w:p>
    <w:p w:rsidR="004B0E66" w:rsidRPr="003F2CEC" w:rsidRDefault="004B0E66">
      <w:pPr>
        <w:pStyle w:val="Innehll2"/>
      </w:pPr>
      <w:r w:rsidRPr="003F2CEC">
        <w:t>Motion om finansieringen av EU:s budget</w:t>
      </w:r>
      <w:r w:rsidRPr="003F2CEC">
        <w:tab/>
        <w:t>3</w:t>
      </w:r>
    </w:p>
    <w:p w:rsidR="004B0E66" w:rsidRPr="003F2CEC" w:rsidRDefault="004B0E66">
      <w:pPr>
        <w:pStyle w:val="Innehll4"/>
      </w:pPr>
      <w:r w:rsidRPr="003F2CEC">
        <w:t>Utskottets ställningstagande</w:t>
      </w:r>
      <w:r w:rsidRPr="003F2CEC">
        <w:tab/>
        <w:t>3</w:t>
      </w:r>
    </w:p>
    <w:p w:rsidR="004B0E66" w:rsidRPr="003F2CEC" w:rsidRDefault="004B0E66">
      <w:pPr>
        <w:pStyle w:val="Innehll2"/>
      </w:pPr>
      <w:r w:rsidRPr="003F2CEC">
        <w:t>Hemställan</w:t>
      </w:r>
      <w:r w:rsidRPr="003F2CEC">
        <w:tab/>
        <w:t>4</w:t>
      </w:r>
    </w:p>
    <w:p w:rsidR="004B0E66" w:rsidRPr="003F2CEC" w:rsidRDefault="004B0E66">
      <w:pPr>
        <w:pStyle w:val="Innehll3"/>
      </w:pPr>
      <w:r w:rsidRPr="003F2CEC">
        <w:t>Förslag till beslut om anslag inom utgiftsområde 27 Avgiften till Europeiska gemenskapen</w:t>
      </w:r>
      <w:r w:rsidRPr="003F2CEC">
        <w:tab/>
        <w:t>5</w:t>
      </w:r>
    </w:p>
    <w:p w:rsidR="004B0E66" w:rsidRPr="003F2CEC" w:rsidRDefault="004B0E66">
      <w:pPr>
        <w:pStyle w:val="Innehll1"/>
      </w:pPr>
      <w:r w:rsidRPr="003F2CEC">
        <w:t>Reservation</w:t>
      </w:r>
      <w:r w:rsidRPr="003F2CEC">
        <w:tab/>
        <w:t>6</w:t>
      </w:r>
    </w:p>
    <w:p w:rsidR="004B0E66" w:rsidRPr="003F2CEC" w:rsidRDefault="004B0E66">
      <w:pPr>
        <w:pStyle w:val="Innehll2"/>
      </w:pPr>
      <w:r w:rsidRPr="003F2CEC">
        <w:t>Finansieringen av EU:s budget (mom. 3) (kd)</w:t>
      </w:r>
      <w:r w:rsidRPr="003F2CEC">
        <w:tab/>
        <w:t>6</w:t>
      </w:r>
    </w:p>
    <w:p w:rsidR="004B0E66" w:rsidRPr="003F2CEC" w:rsidRDefault="004B0E66"/>
    <w:p w:rsidR="004B0E66" w:rsidRPr="003F2CEC" w:rsidRDefault="004B0E66">
      <w:pPr>
        <w:pStyle w:val="Tryckort"/>
        <w:framePr w:wrap="around"/>
      </w:pPr>
      <w:r w:rsidRPr="003F2CEC">
        <w:t>Elanders Gotab, Stockholm  1999</w:t>
      </w:r>
    </w:p>
    <w:p w:rsidR="004B0E66" w:rsidRPr="003F2CEC" w:rsidRDefault="004B0E66">
      <w:pPr>
        <w:pStyle w:val="Normaltindrag"/>
      </w:pPr>
    </w:p>
    <w:sectPr w:rsidR="004B0E66" w:rsidRPr="003F2CEC">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E66" w:rsidRPr="003F2CEC" w:rsidRDefault="004B0E66">
      <w:pPr>
        <w:spacing w:before="0" w:line="240" w:lineRule="auto"/>
      </w:pPr>
      <w:r w:rsidRPr="003F2CEC">
        <w:separator/>
      </w:r>
    </w:p>
  </w:endnote>
  <w:endnote w:type="continuationSeparator" w:id="0">
    <w:p w:rsidR="004B0E66" w:rsidRPr="003F2CEC" w:rsidRDefault="004B0E66">
      <w:pPr>
        <w:spacing w:before="0" w:line="240" w:lineRule="auto"/>
      </w:pPr>
      <w:r w:rsidRPr="003F2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66" w:rsidRPr="003F2CEC" w:rsidRDefault="004B0E66">
    <w:pPr>
      <w:pStyle w:val="SidfotH"/>
      <w:framePr w:wrap="around"/>
    </w:pPr>
    <w:r w:rsidRPr="003F2CEC">
      <w:fldChar w:fldCharType="begin" w:fldLock="1"/>
    </w:r>
    <w:r w:rsidRPr="003F2CEC">
      <w:instrText xml:space="preserve"> P</w:instrText>
    </w:r>
    <w:r w:rsidRPr="003F2CEC">
      <w:instrText>A</w:instrText>
    </w:r>
    <w:r w:rsidRPr="003F2CEC">
      <w:instrText xml:space="preserve">GE </w:instrText>
    </w:r>
    <w:r w:rsidRPr="003F2CEC">
      <w:fldChar w:fldCharType="separate"/>
    </w:r>
    <w:r w:rsidRPr="003F2CEC">
      <w:t>1</w:t>
    </w:r>
    <w:r w:rsidRPr="003F2CEC">
      <w:fldChar w:fldCharType="end"/>
    </w:r>
  </w:p>
  <w:p w:rsidR="004B0E66" w:rsidRPr="003F2CEC" w:rsidRDefault="004B0E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66" w:rsidRPr="003F2CEC" w:rsidRDefault="004B0E66">
    <w:pPr>
      <w:pStyle w:val="SidfotH"/>
      <w:framePr w:wrap="around"/>
    </w:pPr>
    <w:r w:rsidRPr="003F2CEC">
      <w:fldChar w:fldCharType="begin" w:fldLock="1"/>
    </w:r>
    <w:r w:rsidRPr="003F2CEC">
      <w:instrText xml:space="preserve"> P</w:instrText>
    </w:r>
    <w:r w:rsidRPr="003F2CEC">
      <w:instrText>A</w:instrText>
    </w:r>
    <w:r w:rsidRPr="003F2CEC">
      <w:instrText xml:space="preserve">GE </w:instrText>
    </w:r>
    <w:r w:rsidRPr="003F2CEC">
      <w:fldChar w:fldCharType="separate"/>
    </w:r>
    <w:r w:rsidRPr="003F2CEC">
      <w:t>2</w:t>
    </w:r>
    <w:r w:rsidRPr="003F2CEC">
      <w:fldChar w:fldCharType="end"/>
    </w:r>
  </w:p>
  <w:p w:rsidR="004B0E66" w:rsidRPr="003F2CEC" w:rsidRDefault="004B0E6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66" w:rsidRPr="003F2CEC" w:rsidRDefault="004B0E66">
    <w:pPr>
      <w:pStyle w:val="SidfotH"/>
      <w:framePr w:wrap="around"/>
    </w:pPr>
    <w:r w:rsidRPr="003F2CEC">
      <w:fldChar w:fldCharType="begin" w:fldLock="1"/>
    </w:r>
    <w:r w:rsidRPr="003F2CEC">
      <w:instrText xml:space="preserve"> P</w:instrText>
    </w:r>
    <w:r w:rsidRPr="003F2CEC">
      <w:instrText>A</w:instrText>
    </w:r>
    <w:r w:rsidRPr="003F2CEC">
      <w:instrText xml:space="preserve">GE </w:instrText>
    </w:r>
    <w:r w:rsidRPr="003F2CEC">
      <w:fldChar w:fldCharType="separate"/>
    </w:r>
    <w:r w:rsidRPr="003F2CEC">
      <w:t>6</w:t>
    </w:r>
    <w:r w:rsidRPr="003F2CEC">
      <w:fldChar w:fldCharType="end"/>
    </w:r>
  </w:p>
  <w:p w:rsidR="004B0E66" w:rsidRPr="003F2CEC" w:rsidRDefault="004B0E6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66" w:rsidRPr="003F2CEC" w:rsidRDefault="004B0E66">
    <w:pPr>
      <w:pStyle w:val="SidfotH"/>
      <w:framePr w:wrap="around"/>
    </w:pPr>
    <w:r w:rsidRPr="003F2CEC">
      <w:fldChar w:fldCharType="begin" w:fldLock="1"/>
    </w:r>
    <w:r w:rsidRPr="003F2CEC">
      <w:instrText xml:space="preserve"> PAGE </w:instrText>
    </w:r>
    <w:r w:rsidRPr="003F2CEC">
      <w:fldChar w:fldCharType="separate"/>
    </w:r>
    <w:r w:rsidRPr="003F2CEC">
      <w:t>7</w:t>
    </w:r>
    <w:r w:rsidRPr="003F2CEC">
      <w:fldChar w:fldCharType="end"/>
    </w:r>
  </w:p>
  <w:p w:rsidR="004B0E66" w:rsidRPr="003F2CEC" w:rsidRDefault="004B0E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E66" w:rsidRPr="003F2CEC" w:rsidRDefault="004B0E66">
      <w:pPr>
        <w:pStyle w:val="Sidfot"/>
      </w:pPr>
    </w:p>
  </w:footnote>
  <w:footnote w:type="continuationSeparator" w:id="0">
    <w:p w:rsidR="004B0E66" w:rsidRPr="003F2CEC" w:rsidRDefault="004B0E66">
      <w:pPr>
        <w:spacing w:before="0" w:line="240" w:lineRule="auto"/>
      </w:pPr>
      <w:r w:rsidRPr="003F2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66" w:rsidRPr="003F2CEC" w:rsidRDefault="004B0E66">
    <w:pPr>
      <w:pStyle w:val="SidhuvudKant"/>
      <w:framePr w:w="1758" w:h="2744" w:hRule="exact" w:wrap="around" w:vAnchor="page" w:hAnchor="page" w:x="7372" w:y="568" w:anchorLock="0"/>
    </w:pPr>
  </w:p>
  <w:p w:rsidR="004B0E66" w:rsidRPr="003F2CEC" w:rsidRDefault="004B0E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66" w:rsidRPr="003F2CEC" w:rsidRDefault="004B0E66">
    <w:pPr>
      <w:pStyle w:val="SidhuvudKant"/>
      <w:framePr w:w="1758" w:h="2744" w:hRule="exact" w:wrap="around" w:vAnchor="page" w:hAnchor="page" w:x="7372" w:y="568" w:anchorLock="0"/>
    </w:pPr>
    <w:r w:rsidRPr="003F2CEC">
      <w:t>1999/2000:FiU5</w:t>
    </w:r>
  </w:p>
  <w:p w:rsidR="004B0E66" w:rsidRPr="003F2CEC" w:rsidRDefault="004B0E66">
    <w:pPr>
      <w:pStyle w:val="SidhuvudKantBilaga"/>
      <w:framePr w:w="1758" w:h="2744" w:hRule="exact" w:wrap="around" w:vAnchor="page" w:hAnchor="page" w:x="7372" w:y="568" w:anchorLock="0"/>
    </w:pPr>
    <w:r w:rsidRPr="003F2CEC">
      <w:t>Utskottet</w:t>
    </w:r>
  </w:p>
  <w:p w:rsidR="004B0E66" w:rsidRPr="003F2CEC" w:rsidRDefault="004B0E66">
    <w:pPr>
      <w:pStyle w:val="SidhuvudKant"/>
      <w:framePr w:w="1758" w:h="2744" w:hRule="exact" w:wrap="around" w:vAnchor="page" w:hAnchor="page" w:x="7372" w:y="568" w:anchorLock="0"/>
    </w:pPr>
  </w:p>
  <w:p w:rsidR="004B0E66" w:rsidRPr="003F2CEC" w:rsidRDefault="004B0E6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66" w:rsidRPr="003F2CEC" w:rsidRDefault="004B0E66">
    <w:pPr>
      <w:pStyle w:val="SidhuvudKant"/>
      <w:framePr w:w="1758" w:h="2744" w:hRule="exact" w:wrap="around" w:vAnchor="page" w:hAnchor="page" w:x="7372" w:y="568" w:anchorLock="0"/>
    </w:pPr>
    <w:r w:rsidRPr="003F2CEC">
      <w:t>1999/2000:FiU5</w:t>
    </w:r>
  </w:p>
  <w:p w:rsidR="004B0E66" w:rsidRPr="003F2CEC" w:rsidRDefault="004B0E66">
    <w:pPr>
      <w:pStyle w:val="SidhuvudKantBilaga"/>
      <w:framePr w:w="1758" w:h="2744" w:hRule="exact" w:wrap="around" w:vAnchor="page" w:hAnchor="page" w:x="7372" w:y="568" w:anchorLock="0"/>
    </w:pPr>
    <w:r w:rsidRPr="003F2CEC">
      <w:t>Reservation</w:t>
    </w:r>
  </w:p>
  <w:p w:rsidR="004B0E66" w:rsidRPr="003F2CEC" w:rsidRDefault="004B0E66">
    <w:pPr>
      <w:pStyle w:val="SidhuvudKant"/>
      <w:framePr w:w="1758" w:h="2744" w:hRule="exact" w:wrap="around" w:vAnchor="page" w:hAnchor="page" w:x="7372" w:y="568" w:anchorLock="0"/>
    </w:pPr>
  </w:p>
  <w:p w:rsidR="004B0E66" w:rsidRPr="003F2CEC" w:rsidRDefault="004B0E6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66" w:rsidRPr="003F2CEC" w:rsidRDefault="004B0E66">
    <w:pPr>
      <w:pStyle w:val="SidhuvudKant"/>
      <w:framePr w:w="1758" w:h="2744" w:hRule="exact" w:wrap="around" w:vAnchor="page" w:hAnchor="page" w:x="7372" w:y="568" w:anchorLock="0"/>
    </w:pPr>
    <w:r w:rsidRPr="003F2CEC">
      <w:t>1999/2000:FiU5</w:t>
    </w:r>
  </w:p>
  <w:p w:rsidR="004B0E66" w:rsidRPr="003F2CEC" w:rsidRDefault="004B0E66">
    <w:pPr>
      <w:pStyle w:val="SidhuvudKantBilaga"/>
      <w:framePr w:w="1758" w:h="2744" w:hRule="exact" w:wrap="around" w:vAnchor="page" w:hAnchor="page" w:x="7372" w:y="568" w:anchorLock="0"/>
    </w:pPr>
  </w:p>
  <w:p w:rsidR="004B0E66" w:rsidRPr="003F2CEC" w:rsidRDefault="004B0E66">
    <w:pPr>
      <w:pStyle w:val="SidhuvudKant"/>
      <w:framePr w:w="1758" w:h="2744" w:hRule="exact" w:wrap="around" w:vAnchor="page" w:hAnchor="page" w:x="7372" w:y="568" w:anchorLock="0"/>
    </w:pPr>
  </w:p>
  <w:p w:rsidR="004B0E66" w:rsidRPr="003F2CEC" w:rsidRDefault="004B0E6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755923"/>
    <w:rsid w:val="003F2CEC"/>
    <w:rsid w:val="004B0E66"/>
    <w:rsid w:val="007559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9BF720-7B78-46CE-A0A8-0F99B76A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1616</Words>
  <Characters>10265</Characters>
  <Application>Microsoft Office Word</Application>
  <DocSecurity>4</DocSecurity>
  <Lines>277</Lines>
  <Paragraphs>121</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Finansutskottets betänkande</vt:lpstr>
      <vt:lpstr>Sammanfattning</vt:lpstr>
      <vt:lpstr>Propositionen</vt:lpstr>
      <vt:lpstr>Motionen</vt:lpstr>
      <vt:lpstr/>
      <vt:lpstr>Utskottet</vt:lpstr>
      <vt:lpstr>    Inledning</vt:lpstr>
      <vt:lpstr>    Anslag och åtagandebemyndiganden</vt:lpstr>
      <vt:lpstr>    Motion om finansieringen av EU:s budget</vt:lpstr>
      <vt:lpstr>    Hemställan</vt:lpstr>
      <vt:lpstr>        Förslag till beslut om anslag inom utgiftsområde 27 Avgiften till Europeiska gem</vt:lpstr>
      <vt:lpstr/>
      <vt:lpstr>Reservation</vt:lpstr>
      <vt:lpstr>    Finansieringen av EU:s budget (mom. 3) (kd)</vt:lpstr>
      <vt:lpstr>    Innehållsförteckning</vt:lpstr>
    </vt:vector>
  </TitlesOfParts>
  <Company>Riksdagen</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1999-12-07T09:52:00Z</cp:lastPrinted>
  <dcterms:created xsi:type="dcterms:W3CDTF">2025-12-15T21:11:00Z</dcterms:created>
  <dcterms:modified xsi:type="dcterms:W3CDTF">2025-12-15T21:11:00Z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