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424" w:rsidRPr="000D0773" w:rsidRDefault="00ED3424">
      <w:pPr>
        <w:pStyle w:val="Hemstlrubrik"/>
      </w:pPr>
      <w:r w:rsidRPr="000D0773">
        <w:t>Förslag till riksdagsbeslut</w:t>
      </w:r>
    </w:p>
    <w:p w:rsidR="00ED3424" w:rsidRPr="000D0773" w:rsidRDefault="00ED3424">
      <w:pPr>
        <w:pStyle w:val="Hemstlatt"/>
        <w:ind w:left="0"/>
      </w:pPr>
      <w:r w:rsidRPr="000D0773">
        <w:t xml:space="preserve">Riksdagen tillkännager för regeringen som sin mening vad som anförs i motionen om </w:t>
      </w:r>
      <w:r w:rsidRPr="000D0773">
        <w:rPr>
          <w:bCs/>
        </w:rPr>
        <w:t>skattebefrielse för elektricitet som tillförs fartyg från land för att minska sjöfartens koldioxidu</w:t>
      </w:r>
      <w:r w:rsidRPr="000D0773">
        <w:rPr>
          <w:bCs/>
        </w:rPr>
        <w:t>t</w:t>
      </w:r>
      <w:r w:rsidRPr="000D0773">
        <w:rPr>
          <w:bCs/>
        </w:rPr>
        <w:t>släpp.</w:t>
      </w:r>
    </w:p>
    <w:p w:rsidR="00ED3424" w:rsidRPr="000D0773" w:rsidRDefault="00ED3424">
      <w:pPr>
        <w:pStyle w:val="Rubrik1"/>
      </w:pPr>
      <w:r w:rsidRPr="000D0773">
        <w:t>Bakgrund</w:t>
      </w:r>
    </w:p>
    <w:p w:rsidR="00ED3424" w:rsidRPr="000D0773" w:rsidRDefault="00ED3424">
      <w:r w:rsidRPr="000D0773">
        <w:t>Sjöfarten har flera uppenbara miljöfördelar jämfört med transporter på land, exempelvis det begränsade behovet av infrastruktur, låg bullerstörning, b</w:t>
      </w:r>
      <w:r w:rsidRPr="000D0773">
        <w:t>e</w:t>
      </w:r>
      <w:r w:rsidRPr="000D0773">
        <w:t xml:space="preserve">gränsade barriäreffekter, låg olycksfrekvens och energieffektivitet. </w:t>
      </w:r>
    </w:p>
    <w:p w:rsidR="00ED3424" w:rsidRPr="000D0773" w:rsidRDefault="00ED3424">
      <w:pPr>
        <w:pStyle w:val="Normaltindrag"/>
      </w:pPr>
      <w:r w:rsidRPr="000D0773">
        <w:t>Bränsle som används ombord på fartyg för att generera elektricitet är b</w:t>
      </w:r>
      <w:r w:rsidRPr="000D0773">
        <w:t>e</w:t>
      </w:r>
      <w:r w:rsidRPr="000D0773">
        <w:t>friat från skatt, men elektricitet som tillförs fartyg från land är alltså inte b</w:t>
      </w:r>
      <w:r w:rsidRPr="000D0773">
        <w:t>e</w:t>
      </w:r>
      <w:r w:rsidRPr="000D0773">
        <w:t>friat från beskattning. Därför finns det ett motstånd för en fartygsoperatör att investera i anläggningar för att kunna ta emot landström.</w:t>
      </w:r>
    </w:p>
    <w:p w:rsidR="00ED3424" w:rsidRPr="000D0773" w:rsidRDefault="00ED3424">
      <w:pPr>
        <w:pStyle w:val="Normaltindrag"/>
      </w:pPr>
      <w:r w:rsidRPr="000D0773">
        <w:t>Antalet fartyg som landström är tillämpligt på är sannolikt relativt lågt, men beroende på det stora antalet anlöp dessa fartyg står för (i Sverige) i stadsnära miljöer skulle en påtagligt minskad miljöbelastning kunna uppnås. I de fall som rätt förutsättningar, enligt ovan, finns skulle e</w:t>
      </w:r>
      <w:r w:rsidRPr="000D0773">
        <w:t>n skattebefrielse för elektricitet som tillförs fartyg från land skapa ett starkt positivt incitament för fartygsoperatören att överväga nödvändig investering i kringutrustning.</w:t>
      </w:r>
    </w:p>
    <w:p w:rsidR="00ED3424" w:rsidRPr="000D0773" w:rsidRDefault="00ED3424">
      <w:pPr>
        <w:pStyle w:val="Rubrik1"/>
      </w:pPr>
      <w:r w:rsidRPr="000D0773">
        <w:t>Miljöeffekter</w:t>
      </w:r>
    </w:p>
    <w:p w:rsidR="00ED3424" w:rsidRPr="000D0773" w:rsidRDefault="00ED3424">
      <w:r w:rsidRPr="000D0773">
        <w:t xml:space="preserve">För att åskådliggöra sjöfartens effekter på miljön förväntas koldioxidutsläpp bara i Göteborg öka med 23 % till 2020 jämfört med 1990 som basår-1 om </w:t>
      </w:r>
      <w:r w:rsidRPr="000D0773">
        <w:lastRenderedPageBreak/>
        <w:t>inget görs. En mycket kraftfull åtgärd för att få ned emissionerna lokalt och utsläppsökningen av koldioxid är att bygga ut möjligheten till landström.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Luftföroreningarna (NO</w:t>
      </w:r>
      <w:r w:rsidRPr="000D0773">
        <w:rPr>
          <w:szCs w:val="19"/>
          <w:vertAlign w:val="subscript"/>
        </w:rPr>
        <w:t>x</w:t>
      </w:r>
      <w:r w:rsidRPr="000D0773">
        <w:t>, SO</w:t>
      </w:r>
      <w:r w:rsidRPr="000D0773">
        <w:rPr>
          <w:szCs w:val="19"/>
          <w:vertAlign w:val="subscript"/>
        </w:rPr>
        <w:t>2</w:t>
      </w:r>
      <w:r w:rsidRPr="000D0773">
        <w:t>, VOC, PM) minskar med 94–97 % i en EU-rapport.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Många rapporter bekräftar nyttan.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Erbjuder ett fossilfritt alternativ.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Ger ingen nytta mellan hamnarna men stor nytta i hamnstäder där problemen är som störst.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Minskar buller.</w:t>
      </w:r>
    </w:p>
    <w:p w:rsidR="00ED3424" w:rsidRPr="000D0773" w:rsidRDefault="00ED3424">
      <w:pPr>
        <w:pStyle w:val="Normaltindrag"/>
        <w:spacing w:before="125"/>
      </w:pPr>
      <w:r w:rsidRPr="000D0773">
        <w:t>Med ovanstående åtgärd skulle vi göra stora miljövinster:</w:t>
      </w:r>
    </w:p>
    <w:p w:rsidR="00ED3424" w:rsidRPr="000D0773" w:rsidRDefault="00ED3424">
      <w:pPr>
        <w:numPr>
          <w:ilvl w:val="0"/>
          <w:numId w:val="20"/>
        </w:numPr>
      </w:pPr>
      <w:r w:rsidRPr="000D0773">
        <w:t>Minskad miljöpåverkan/hälsopåverkan med kostnadseffektiv å</w:t>
      </w:r>
      <w:r w:rsidRPr="000D0773">
        <w:t>t</w:t>
      </w:r>
      <w:r w:rsidRPr="000D0773">
        <w:t>gärd.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Stärker hållbara transporter; konkurrens mot andra transportslag.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Stärkt konkurrensförmåga för svensk hamn- och sjöfartsnäring.</w:t>
      </w:r>
    </w:p>
    <w:p w:rsidR="00ED3424" w:rsidRPr="000D0773" w:rsidRDefault="00ED3424">
      <w:pPr>
        <w:numPr>
          <w:ilvl w:val="0"/>
          <w:numId w:val="20"/>
        </w:numPr>
        <w:spacing w:before="0"/>
      </w:pPr>
      <w:r w:rsidRPr="000D0773">
        <w:t>Minskar oljeberoendet.</w:t>
      </w:r>
    </w:p>
    <w:p w:rsidR="00ED3424" w:rsidRPr="000D0773" w:rsidRDefault="00ED3424">
      <w:r w:rsidRPr="000D0773">
        <w:t>Samhället är den stora vinnaren då elanslutning tillämpas. Reduktionen av samhällsrelaterade kostnader uppskattas vara 15–75 gånger större än kostn</w:t>
      </w:r>
      <w:r w:rsidRPr="000D0773">
        <w:t>a</w:t>
      </w:r>
      <w:r w:rsidRPr="000D0773">
        <w:t>den för själva systemet. Vi anser därför regeringen ska överväga möjligheten att införa skattebefrielse för landström till fartyg.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0773">
        <w:trPr>
          <w:cantSplit/>
        </w:trPr>
        <w:tc>
          <w:tcPr>
            <w:tcW w:w="3046" w:type="dxa"/>
          </w:tcPr>
          <w:p w:rsidR="00ED3424" w:rsidRPr="000D0773" w:rsidRDefault="00ED3424">
            <w:pPr>
              <w:pStyle w:val="UnderskriftDatum"/>
              <w:spacing w:before="240"/>
            </w:pPr>
            <w:r w:rsidRPr="000D0773">
              <w:t>Stockholm den 1 oktober 2007</w:t>
            </w:r>
          </w:p>
        </w:tc>
        <w:tc>
          <w:tcPr>
            <w:tcW w:w="3047" w:type="dxa"/>
          </w:tcPr>
          <w:p w:rsidR="00ED3424" w:rsidRPr="000D0773" w:rsidRDefault="00ED3424">
            <w:pPr>
              <w:pStyle w:val="Underskrifter"/>
              <w:spacing w:before="240"/>
            </w:pPr>
          </w:p>
        </w:tc>
      </w:tr>
      <w:tr w:rsidR="00000000" w:rsidRPr="000D0773">
        <w:trPr>
          <w:cantSplit/>
        </w:trPr>
        <w:tc>
          <w:tcPr>
            <w:tcW w:w="3046" w:type="dxa"/>
          </w:tcPr>
          <w:p w:rsidR="00ED3424" w:rsidRPr="000D0773" w:rsidRDefault="00ED3424">
            <w:pPr>
              <w:pStyle w:val="Underskrifter"/>
            </w:pPr>
            <w:r w:rsidRPr="000D0773">
              <w:t>Jan-Olof Larsson (s)</w:t>
            </w:r>
          </w:p>
        </w:tc>
        <w:tc>
          <w:tcPr>
            <w:tcW w:w="3046" w:type="dxa"/>
          </w:tcPr>
          <w:p w:rsidR="00ED3424" w:rsidRPr="000D0773" w:rsidRDefault="00ED3424">
            <w:pPr>
              <w:pStyle w:val="Underskrifter"/>
            </w:pPr>
            <w:r w:rsidRPr="000D0773">
              <w:t>Siw Wittgren-Ahl (s)</w:t>
            </w:r>
          </w:p>
        </w:tc>
      </w:tr>
    </w:tbl>
    <w:p w:rsidR="00ED3424" w:rsidRPr="000D0773" w:rsidRDefault="00ED3424">
      <w:pPr>
        <w:pStyle w:val="Normaltindrag"/>
      </w:pPr>
    </w:p>
    <w:sectPr w:rsidR="00ED3424" w:rsidRPr="000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424" w:rsidRPr="000D0773" w:rsidRDefault="00ED3424">
      <w:r w:rsidRPr="000D0773">
        <w:separator/>
      </w:r>
    </w:p>
  </w:endnote>
  <w:endnote w:type="continuationSeparator" w:id="0">
    <w:p w:rsidR="00ED3424" w:rsidRPr="000D0773" w:rsidRDefault="00ED3424">
      <w:r w:rsidRPr="000D07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424" w:rsidRPr="000D0773" w:rsidRDefault="000D0773">
    <w:pPr>
      <w:pStyle w:val="Sidfot"/>
    </w:pPr>
    <w:r w:rsidRPr="000D07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84796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24" w:rsidRDefault="00ED34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3424" w:rsidRDefault="00ED34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424" w:rsidRPr="000D0773" w:rsidRDefault="000D0773">
    <w:pPr>
      <w:pStyle w:val="Sidfot"/>
    </w:pPr>
    <w:r w:rsidRPr="000D07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7775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24" w:rsidRDefault="00ED34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3424" w:rsidRDefault="00ED34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424" w:rsidRPr="000D0773" w:rsidRDefault="000D0773">
    <w:pPr>
      <w:pStyle w:val="Sidfot"/>
    </w:pPr>
    <w:r w:rsidRPr="000D07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222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24" w:rsidRDefault="00ED34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3424" w:rsidRDefault="00ED34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424" w:rsidRPr="000D0773" w:rsidRDefault="00ED3424">
      <w:r w:rsidRPr="000D0773">
        <w:separator/>
      </w:r>
    </w:p>
  </w:footnote>
  <w:footnote w:type="continuationSeparator" w:id="0">
    <w:p w:rsidR="00ED3424" w:rsidRPr="000D0773" w:rsidRDefault="00ED3424">
      <w:r w:rsidRPr="000D07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424" w:rsidRPr="000D0773" w:rsidRDefault="000D0773">
    <w:pPr>
      <w:pStyle w:val="Sidhuvud"/>
    </w:pPr>
    <w:r w:rsidRPr="000D07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81708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24" w:rsidRDefault="00ED34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3424" w:rsidRDefault="00ED34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424" w:rsidRPr="000D0773" w:rsidRDefault="000D0773">
    <w:pPr>
      <w:pStyle w:val="Sidhuvud"/>
    </w:pPr>
    <w:r w:rsidRPr="000D07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14255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24" w:rsidRDefault="00ED34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3424" w:rsidRDefault="00ED34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424" w:rsidRPr="000D0773" w:rsidRDefault="00ED3424">
    <w:pPr>
      <w:pStyle w:val="FSHNormal"/>
      <w:tabs>
        <w:tab w:val="right" w:pos="5840"/>
      </w:tabs>
    </w:pPr>
    <w:r w:rsidRPr="000D0773">
      <w:br/>
    </w:r>
    <w:r w:rsidRPr="000D0773">
      <w:fldChar w:fldCharType="begin" w:fldLock="1"/>
    </w:r>
    <w:r w:rsidRPr="000D0773">
      <w:instrText xml:space="preserve"> DOCPROPERTY</w:instrText>
    </w:r>
    <w:r w:rsidRPr="000D0773">
      <w:rPr>
        <w:sz w:val="18"/>
      </w:rPr>
      <w:instrText xml:space="preserve"> "YearUser" *\charformat </w:instrText>
    </w:r>
    <w:r w:rsidRPr="000D0773">
      <w:fldChar w:fldCharType="separate"/>
    </w:r>
    <w:r w:rsidRPr="000D0773">
      <w:t>2007/08</w:t>
    </w:r>
    <w:r w:rsidRPr="000D0773">
      <w:fldChar w:fldCharType="end"/>
    </w:r>
    <w:r w:rsidRPr="000D0773">
      <w:t xml:space="preserve"> </w:t>
    </w:r>
    <w:r w:rsidRPr="000D0773">
      <w:tab/>
      <w:t xml:space="preserve">mnr: </w:t>
    </w:r>
    <w:r w:rsidRPr="000D0773">
      <w:fldChar w:fldCharType="begin" w:fldLock="1"/>
    </w:r>
    <w:r w:rsidRPr="000D0773">
      <w:instrText xml:space="preserve"> DOCPROPERTY</w:instrText>
    </w:r>
    <w:r w:rsidRPr="000D0773">
      <w:rPr>
        <w:sz w:val="18"/>
      </w:rPr>
      <w:instrText xml:space="preserve"> "Motionsnummer" *\charformat </w:instrText>
    </w:r>
    <w:r w:rsidRPr="000D0773">
      <w:fldChar w:fldCharType="separate"/>
    </w:r>
    <w:r w:rsidRPr="000D0773">
      <w:t>Sk313</w:t>
    </w:r>
    <w:r w:rsidRPr="000D0773">
      <w:fldChar w:fldCharType="end"/>
    </w:r>
    <w:r w:rsidRPr="000D0773">
      <w:br/>
    </w:r>
    <w:r w:rsidRPr="000D0773">
      <w:fldChar w:fldCharType="begin" w:fldLock="1"/>
    </w:r>
    <w:r w:rsidRPr="000D0773">
      <w:instrText xml:space="preserve"> DOCPROPERTY</w:instrText>
    </w:r>
    <w:r w:rsidRPr="000D0773">
      <w:rPr>
        <w:sz w:val="18"/>
      </w:rPr>
      <w:instrText xml:space="preserve"> "Samling" *\charformat </w:instrText>
    </w:r>
    <w:r w:rsidRPr="000D0773">
      <w:fldChar w:fldCharType="end"/>
    </w:r>
    <w:r w:rsidRPr="000D0773">
      <w:tab/>
      <w:t xml:space="preserve">pnr: </w:t>
    </w:r>
    <w:r w:rsidRPr="000D0773">
      <w:fldChar w:fldCharType="begin" w:fldLock="1"/>
    </w:r>
    <w:r w:rsidRPr="000D0773">
      <w:instrText xml:space="preserve"> DOCPROPERTY</w:instrText>
    </w:r>
    <w:r w:rsidRPr="000D0773">
      <w:rPr>
        <w:sz w:val="18"/>
      </w:rPr>
      <w:instrText xml:space="preserve"> "Partinummer" *\charformat </w:instrText>
    </w:r>
    <w:r w:rsidRPr="000D0773">
      <w:fldChar w:fldCharType="separate"/>
    </w:r>
    <w:r w:rsidRPr="000D0773">
      <w:t>s30036</w:t>
    </w:r>
    <w:r w:rsidRPr="000D0773">
      <w:fldChar w:fldCharType="end"/>
    </w:r>
  </w:p>
  <w:p w:rsidR="00ED3424" w:rsidRPr="000D0773" w:rsidRDefault="00ED3424">
    <w:pPr>
      <w:pStyle w:val="FSHRub1"/>
    </w:pPr>
    <w:r w:rsidRPr="000D0773">
      <w:t>Motion till riksdagen</w:t>
    </w:r>
    <w:r w:rsidRPr="000D0773">
      <w:br/>
    </w:r>
    <w:r w:rsidRPr="000D0773">
      <w:fldChar w:fldCharType="begin" w:fldLock="1"/>
    </w:r>
    <w:r w:rsidRPr="000D0773">
      <w:instrText xml:space="preserve"> DOCPROPERTY "YearUser" *\charformat </w:instrText>
    </w:r>
    <w:r w:rsidRPr="000D0773">
      <w:fldChar w:fldCharType="separate"/>
    </w:r>
    <w:r w:rsidRPr="000D0773">
      <w:t>2007/08</w:t>
    </w:r>
    <w:r w:rsidRPr="000D0773">
      <w:fldChar w:fldCharType="end"/>
    </w:r>
    <w:r w:rsidRPr="000D0773">
      <w:t>:</w:t>
    </w:r>
    <w:r w:rsidRPr="000D0773">
      <w:fldChar w:fldCharType="begin" w:fldLock="1"/>
    </w:r>
    <w:r w:rsidRPr="000D0773">
      <w:instrText xml:space="preserve"> DOCPROPERTY "Motionsnummer" *\charformat </w:instrText>
    </w:r>
    <w:r w:rsidRPr="000D0773">
      <w:fldChar w:fldCharType="separate"/>
    </w:r>
    <w:r w:rsidRPr="000D0773">
      <w:t>Sk313</w:t>
    </w:r>
    <w:r w:rsidRPr="000D0773">
      <w:fldChar w:fldCharType="end"/>
    </w:r>
  </w:p>
  <w:p w:rsidR="00ED3424" w:rsidRPr="000D0773" w:rsidRDefault="00ED3424">
    <w:pPr>
      <w:pStyle w:val="FSHNormalS5"/>
    </w:pPr>
    <w:r w:rsidRPr="000D0773">
      <w:fldChar w:fldCharType="begin" w:fldLock="1"/>
    </w:r>
    <w:r w:rsidRPr="000D0773">
      <w:instrText xml:space="preserve"> DOCPROPERTY "MotionarText" *\charformat </w:instrText>
    </w:r>
    <w:r w:rsidRPr="000D0773">
      <w:fldChar w:fldCharType="separate"/>
    </w:r>
    <w:r w:rsidRPr="000D0773">
      <w:t>av Jan-Olof Larsson och Siw Wittgren-Ahl (s)</w:t>
    </w:r>
    <w:r w:rsidRPr="000D0773">
      <w:fldChar w:fldCharType="end"/>
    </w:r>
    <w:r w:rsidRPr="000D0773">
      <w:br/>
    </w:r>
    <w:r w:rsidRPr="000D0773">
      <w:fldChar w:fldCharType="begin" w:fldLock="1"/>
    </w:r>
    <w:r w:rsidRPr="000D0773">
      <w:instrText xml:space="preserve"> DOCPROPERTY "SvarFrasKort" *\charformat </w:instrText>
    </w:r>
    <w:r w:rsidRPr="000D0773">
      <w:fldChar w:fldCharType="end"/>
    </w:r>
  </w:p>
  <w:p w:rsidR="00ED3424" w:rsidRPr="000D0773" w:rsidRDefault="00ED3424">
    <w:pPr>
      <w:pStyle w:val="FSHTitel"/>
    </w:pPr>
    <w:r w:rsidRPr="000D0773">
      <w:fldChar w:fldCharType="begin" w:fldLock="1"/>
    </w:r>
    <w:r w:rsidRPr="000D0773">
      <w:instrText xml:space="preserve"> DOCPROPERTY</w:instrText>
    </w:r>
    <w:r w:rsidRPr="000D0773">
      <w:rPr>
        <w:sz w:val="18"/>
      </w:rPr>
      <w:instrText xml:space="preserve"> "RubrikSvar" *\charformat </w:instrText>
    </w:r>
    <w:r w:rsidRPr="000D0773">
      <w:fldChar w:fldCharType="separate"/>
    </w:r>
    <w:r w:rsidRPr="000D0773">
      <w:t>Skattebefrielse för landström till fartyg</w:t>
    </w:r>
    <w:r w:rsidRPr="000D0773">
      <w:fldChar w:fldCharType="end"/>
    </w:r>
  </w:p>
  <w:p w:rsidR="00ED3424" w:rsidRPr="000D0773" w:rsidRDefault="00ED3424">
    <w:pPr>
      <w:pStyle w:val="Normal00"/>
    </w:pPr>
  </w:p>
  <w:p w:rsidR="00ED3424" w:rsidRPr="000D0773" w:rsidRDefault="00ED34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BE2FE1"/>
    <w:multiLevelType w:val="hybridMultilevel"/>
    <w:tmpl w:val="3E105DB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ED418E4"/>
    <w:multiLevelType w:val="hybridMultilevel"/>
    <w:tmpl w:val="07BE84A6"/>
    <w:lvl w:ilvl="0" w:tplc="041D0001">
      <w:start w:val="1"/>
      <w:numFmt w:val="bullet"/>
      <w:lvlText w:val="?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D232E"/>
    <w:multiLevelType w:val="multilevel"/>
    <w:tmpl w:val="F144725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959216293">
    <w:abstractNumId w:val="8"/>
  </w:num>
  <w:num w:numId="2" w16cid:durableId="902300612">
    <w:abstractNumId w:val="9"/>
  </w:num>
  <w:num w:numId="3" w16cid:durableId="439645557">
    <w:abstractNumId w:val="8"/>
  </w:num>
  <w:num w:numId="4" w16cid:durableId="1758478421">
    <w:abstractNumId w:val="9"/>
  </w:num>
  <w:num w:numId="5" w16cid:durableId="938217173">
    <w:abstractNumId w:val="15"/>
  </w:num>
  <w:num w:numId="6" w16cid:durableId="553808585">
    <w:abstractNumId w:val="10"/>
  </w:num>
  <w:num w:numId="7" w16cid:durableId="1564678495">
    <w:abstractNumId w:val="12"/>
  </w:num>
  <w:num w:numId="8" w16cid:durableId="356941">
    <w:abstractNumId w:val="14"/>
  </w:num>
  <w:num w:numId="9" w16cid:durableId="896093569">
    <w:abstractNumId w:val="8"/>
  </w:num>
  <w:num w:numId="10" w16cid:durableId="441462730">
    <w:abstractNumId w:val="3"/>
  </w:num>
  <w:num w:numId="11" w16cid:durableId="340013745">
    <w:abstractNumId w:val="2"/>
  </w:num>
  <w:num w:numId="12" w16cid:durableId="1698769922">
    <w:abstractNumId w:val="1"/>
  </w:num>
  <w:num w:numId="13" w16cid:durableId="1910577762">
    <w:abstractNumId w:val="0"/>
  </w:num>
  <w:num w:numId="14" w16cid:durableId="1183939782">
    <w:abstractNumId w:val="9"/>
  </w:num>
  <w:num w:numId="15" w16cid:durableId="29884887">
    <w:abstractNumId w:val="7"/>
  </w:num>
  <w:num w:numId="16" w16cid:durableId="931743407">
    <w:abstractNumId w:val="6"/>
  </w:num>
  <w:num w:numId="17" w16cid:durableId="1815368658">
    <w:abstractNumId w:val="5"/>
  </w:num>
  <w:num w:numId="18" w16cid:durableId="1702436959">
    <w:abstractNumId w:val="4"/>
  </w:num>
  <w:num w:numId="19" w16cid:durableId="441919128">
    <w:abstractNumId w:val="11"/>
  </w:num>
  <w:num w:numId="20" w16cid:durableId="1523782281">
    <w:abstractNumId w:val="13"/>
  </w:num>
  <w:num w:numId="21" w16cid:durableId="991833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2A510361-2DB0-49A0-A348-7593CE268EB9},{31CDDFCD-D7E7-4188-B530-D7BEB05DD282}"/>
  </w:docVars>
  <w:rsids>
    <w:rsidRoot w:val="008708AF"/>
    <w:rsid w:val="000D0773"/>
    <w:rsid w:val="008708AF"/>
    <w:rsid w:val="00E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B32CE9-49A4-49DA-B675-F921B85C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2068</Characters>
  <Application>Microsoft Office Word</Application>
  <DocSecurity>4</DocSecurity>
  <Lines>44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s30036</vt:lpstr>
    </vt:vector>
  </TitlesOfParts>
  <Company>Riksdagen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s30036</dc:title>
  <dc:subject>s30036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2007-12-04T11:32:00Z</cp:lastPrinted>
  <dcterms:created xsi:type="dcterms:W3CDTF">2025-12-17T08:18:00Z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Skattebefrielse för landström till fartyg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Skattebefrielse för landström till fartyg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Jan-Olof Larsson och Siw Wittgren-Ahl (s)</vt:lpwstr>
  </property>
  <property fmtid="{D5CDD505-2E9C-101B-9397-08002B2CF9AE}" pid="26" name="MotionarLista">
    <vt:lpwstr>Larsson, Jan-Olof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20072008000000000115000300360069</vt:lpwstr>
  </property>
  <property fmtid="{D5CDD505-2E9C-101B-9397-08002B2CF9AE}" pid="47" name="datum">
    <vt:lpwstr>071001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20072008000000000115000300360069</vt:lpwstr>
  </property>
  <property fmtid="{D5CDD505-2E9C-101B-9397-08002B2CF9AE}" pid="50" name="nummer">
    <vt:lpwstr>313</vt:lpwstr>
  </property>
  <property fmtid="{D5CDD505-2E9C-101B-9397-08002B2CF9AE}" pid="51" name="utskottsbeteckning">
    <vt:lpwstr>Sk</vt:lpwstr>
  </property>
  <property fmtid="{D5CDD505-2E9C-101B-9397-08002B2CF9AE}" pid="52" name="GlobalUID">
    <vt:lpwstr>{FF9E46E0-C981-45A0-B6FB-3CD38CA481B1}</vt:lpwstr>
  </property>
  <property fmtid="{D5CDD505-2E9C-101B-9397-08002B2CF9AE}" pid="53" name="Överföringar">
    <vt:i4>0</vt:i4>
  </property>
  <property fmtid="{D5CDD505-2E9C-101B-9397-08002B2CF9AE}" pid="54" name="Checksum">
    <vt:lpwstr>*1019811946239*</vt:lpwstr>
  </property>
  <property fmtid="{D5CDD505-2E9C-101B-9397-08002B2CF9AE}" pid="55" name="skuggnummer">
    <vt:lpwstr>1778</vt:lpwstr>
  </property>
  <property fmtid="{D5CDD505-2E9C-101B-9397-08002B2CF9AE}" pid="56" name="urixVersion">
    <vt:lpwstr>3.2.0.8</vt:lpwstr>
  </property>
  <property fmtid="{D5CDD505-2E9C-101B-9397-08002B2CF9AE}" pid="57" name="urixOrigin">
    <vt:lpwstr>071204 12:32:29.488</vt:lpwstr>
  </property>
  <property fmtid="{D5CDD505-2E9C-101B-9397-08002B2CF9AE}" pid="58" name="urixGuid">
    <vt:lpwstr>{E91C5190-A3B4-46A9-9AF8-7F065C886053}</vt:lpwstr>
  </property>
</Properties>
</file>