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E8E37" w14:textId="77777777" w:rsidR="00FB32B9" w:rsidRDefault="008157CF" w:rsidP="00FB32B9">
      <w:pPr>
        <w:pStyle w:val="UDrubrik"/>
        <w:tabs>
          <w:tab w:val="left" w:pos="1701"/>
          <w:tab w:val="left" w:pos="1985"/>
        </w:tabs>
        <w:rPr>
          <w:rFonts w:cs="Arial"/>
          <w:sz w:val="28"/>
        </w:rPr>
      </w:pPr>
    </w:p>
    <w:p w14:paraId="247E8E38" w14:textId="77777777" w:rsidR="00FB32B9" w:rsidRDefault="008157CF" w:rsidP="00FB32B9">
      <w:pPr>
        <w:pStyle w:val="UDrubrik"/>
        <w:tabs>
          <w:tab w:val="left" w:pos="1701"/>
          <w:tab w:val="left" w:pos="1985"/>
        </w:tabs>
        <w:rPr>
          <w:rFonts w:cs="Arial"/>
          <w:sz w:val="28"/>
        </w:rPr>
      </w:pPr>
    </w:p>
    <w:p w14:paraId="247E8E39" w14:textId="77777777" w:rsidR="00FB32B9" w:rsidRDefault="008157CF" w:rsidP="00FB32B9">
      <w:pPr>
        <w:pStyle w:val="UDrubrik"/>
        <w:tabs>
          <w:tab w:val="left" w:pos="1701"/>
          <w:tab w:val="left" w:pos="1985"/>
        </w:tabs>
        <w:rPr>
          <w:rFonts w:cs="Arial"/>
          <w:sz w:val="28"/>
        </w:rPr>
      </w:pPr>
    </w:p>
    <w:p w14:paraId="247E8E3A" w14:textId="77777777" w:rsidR="00FB32B9" w:rsidRDefault="008157CF" w:rsidP="00FB32B9">
      <w:pPr>
        <w:pStyle w:val="UDrubrik"/>
        <w:tabs>
          <w:tab w:val="left" w:pos="1701"/>
          <w:tab w:val="left" w:pos="1985"/>
        </w:tabs>
        <w:rPr>
          <w:rFonts w:cs="Arial"/>
          <w:sz w:val="28"/>
        </w:rPr>
      </w:pPr>
    </w:p>
    <w:p w14:paraId="247E8E3B" w14:textId="5545B3FD" w:rsidR="00FB32B9" w:rsidRDefault="005A76BF"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8D6EFF">
        <w:rPr>
          <w:rFonts w:cs="Arial"/>
          <w:sz w:val="28"/>
        </w:rPr>
        <w:t>vecka 9.</w:t>
      </w:r>
    </w:p>
    <w:p w14:paraId="6E16D563" w14:textId="77777777" w:rsidR="005A76BF" w:rsidRPr="00A276BC" w:rsidRDefault="005A76BF" w:rsidP="005A76BF">
      <w:pPr>
        <w:pStyle w:val="UDrubrik"/>
        <w:tabs>
          <w:tab w:val="left" w:pos="1701"/>
          <w:tab w:val="left" w:pos="1985"/>
        </w:tabs>
        <w:rPr>
          <w:rFonts w:cs="Arial"/>
          <w:sz w:val="28"/>
        </w:rPr>
      </w:pPr>
      <w:r w:rsidRPr="00A276BC">
        <w:rPr>
          <w:rFonts w:cs="Arial"/>
          <w:sz w:val="28"/>
        </w:rPr>
        <w:t>Färdigförhandlad II-punkt från möte i Coreper I den 20 februari 2015 som kan tas som a-punkt vid kommande rådsmöten.</w:t>
      </w:r>
    </w:p>
    <w:p w14:paraId="7D05270E" w14:textId="77777777" w:rsidR="005A76BF" w:rsidRDefault="005A76BF" w:rsidP="005A76BF"/>
    <w:p w14:paraId="5440CEAD" w14:textId="77777777" w:rsidR="005A76BF" w:rsidRPr="005A76BF" w:rsidRDefault="005A76BF" w:rsidP="005A76BF">
      <w:pPr>
        <w:pStyle w:val="Brdtext"/>
      </w:pPr>
    </w:p>
    <w:p w14:paraId="247E8E3C" w14:textId="77777777" w:rsidR="00FB32B9" w:rsidRDefault="008157CF" w:rsidP="00FB32B9">
      <w:pPr>
        <w:pStyle w:val="Brdtext"/>
      </w:pPr>
    </w:p>
    <w:p w14:paraId="247E8E3D" w14:textId="51CA9850" w:rsidR="00FB32B9" w:rsidRDefault="005A76BF" w:rsidP="00FB32B9">
      <w:pPr>
        <w:pStyle w:val="Brdtext"/>
      </w:pPr>
      <w:r>
        <w:t xml:space="preserve">Överlämnas för skriftligt samråd till </w:t>
      </w:r>
      <w:r w:rsidR="008D6EFF">
        <w:t>fredagen den 27 februari 2015, kl. 14.00.</w:t>
      </w:r>
    </w:p>
    <w:p w14:paraId="247E8E3E" w14:textId="77777777" w:rsidR="00FB32B9" w:rsidRDefault="005A76B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47E8E3F" w14:textId="77777777" w:rsidR="00D957FB" w:rsidRPr="00FB32B9" w:rsidRDefault="005A76BF">
          <w:pPr>
            <w:pStyle w:val="Innehllsfrteckningsrubrik"/>
            <w:rPr>
              <w:color w:val="auto"/>
            </w:rPr>
          </w:pPr>
          <w:r w:rsidRPr="00FB32B9">
            <w:rPr>
              <w:color w:val="auto"/>
            </w:rPr>
            <w:t>Innehållsförteckning</w:t>
          </w:r>
        </w:p>
        <w:p w14:paraId="247E8E40" w14:textId="77777777" w:rsidR="00DA7250" w:rsidRPr="00DA7250" w:rsidRDefault="008157CF" w:rsidP="00DA7250">
          <w:pPr>
            <w:rPr>
              <w:lang w:val="en-US" w:eastAsia="ja-JP"/>
            </w:rPr>
          </w:pPr>
        </w:p>
        <w:p w14:paraId="247E8E41" w14:textId="77777777" w:rsidR="004C151E" w:rsidRDefault="005A76BF">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Replies to written questions put to the Council by Members of the European Parliament (+)</w:t>
          </w:r>
          <w:r>
            <w:rPr>
              <w:rStyle w:val="Hyperlnk"/>
            </w:rPr>
            <w:tab/>
          </w:r>
          <w:r>
            <w:fldChar w:fldCharType="begin"/>
          </w:r>
          <w:r>
            <w:rPr>
              <w:rStyle w:val="Hyperlnk"/>
            </w:rPr>
            <w:instrText xml:space="preserve"> PAGEREF _Toc256000003 \h </w:instrText>
          </w:r>
          <w:r>
            <w:fldChar w:fldCharType="separate"/>
          </w:r>
          <w:r>
            <w:rPr>
              <w:rStyle w:val="Hyperlnk"/>
            </w:rPr>
            <w:t>4</w:t>
          </w:r>
          <w:r>
            <w:fldChar w:fldCharType="end"/>
          </w:r>
        </w:p>
        <w:p w14:paraId="247E8E42" w14:textId="77777777" w:rsidR="004C151E" w:rsidRDefault="005A76BF">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"_Toc256000005" </w:instrText>
          </w:r>
          <w:r>
            <w:rPr>
              <w:b/>
              <w:bCs/>
              <w:noProof/>
            </w:rPr>
            <w:fldChar w:fldCharType="separate"/>
          </w:r>
          <w:r>
            <w:rPr>
              <w:rStyle w:val="Hyperlnk"/>
            </w:rPr>
            <w:t>3.</w:t>
          </w:r>
          <w:r>
            <w:rPr>
              <w:rStyle w:val="Hyperlnk"/>
              <w:rFonts w:ascii="Calibri" w:hAnsi="Calibri"/>
              <w:noProof/>
            </w:rPr>
            <w:tab/>
          </w:r>
          <w:r>
            <w:rPr>
              <w:rStyle w:val="Hyperlnk"/>
              <w:noProof/>
            </w:rPr>
            <w:t>Draft minutes of Council meetings (°) 3352nd meeting of the Council of the European Union (Transport, Telecommunications and Energy), held in Brussels on 3 December 2014</w:t>
          </w:r>
          <w:r>
            <w:rPr>
              <w:rStyle w:val="Hyperlnk"/>
            </w:rPr>
            <w:tab/>
          </w:r>
          <w:r>
            <w:fldChar w:fldCharType="begin"/>
          </w:r>
          <w:r>
            <w:rPr>
              <w:rStyle w:val="Hyperlnk"/>
            </w:rPr>
            <w:instrText xml:space="preserve"> PAGEREF _Toc256000005 \h </w:instrText>
          </w:r>
          <w:r>
            <w:fldChar w:fldCharType="separate"/>
          </w:r>
          <w:r>
            <w:rPr>
              <w:rStyle w:val="Hyperlnk"/>
            </w:rPr>
            <w:t>4</w:t>
          </w:r>
          <w:r>
            <w:fldChar w:fldCharType="end"/>
          </w:r>
        </w:p>
        <w:p w14:paraId="247E8E43" w14:textId="77777777" w:rsidR="004C151E" w:rsidRDefault="005A76BF">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"_Toc256000006" </w:instrText>
          </w:r>
          <w:r>
            <w:rPr>
              <w:b/>
              <w:bCs/>
              <w:noProof/>
            </w:rPr>
            <w:fldChar w:fldCharType="separate"/>
          </w:r>
          <w:r>
            <w:rPr>
              <w:rStyle w:val="Hyperlnk"/>
            </w:rPr>
            <w:t>4.</w:t>
          </w:r>
          <w:r>
            <w:rPr>
              <w:rStyle w:val="Hyperlnk"/>
              <w:rFonts w:ascii="Calibri" w:hAnsi="Calibri"/>
              <w:noProof/>
            </w:rPr>
            <w:tab/>
          </w:r>
          <w:r>
            <w:rPr>
              <w:rStyle w:val="Hyperlnk"/>
              <w:noProof/>
            </w:rPr>
            <w:t>Draft minutes of Council meetings  3355th meeting of the Council of the European Union (Transport, Telecommunications and Energy), held in Brussels on 9 December 2014</w:t>
          </w:r>
          <w:r>
            <w:rPr>
              <w:rStyle w:val="Hyperlnk"/>
            </w:rPr>
            <w:tab/>
          </w:r>
          <w:r>
            <w:fldChar w:fldCharType="begin"/>
          </w:r>
          <w:r>
            <w:rPr>
              <w:rStyle w:val="Hyperlnk"/>
            </w:rPr>
            <w:instrText xml:space="preserve"> PAGEREF _Toc256000006 \h </w:instrText>
          </w:r>
          <w:r>
            <w:fldChar w:fldCharType="separate"/>
          </w:r>
          <w:r>
            <w:rPr>
              <w:rStyle w:val="Hyperlnk"/>
            </w:rPr>
            <w:t>5</w:t>
          </w:r>
          <w:r>
            <w:fldChar w:fldCharType="end"/>
          </w:r>
        </w:p>
        <w:p w14:paraId="247E8E44" w14:textId="77777777" w:rsidR="004C151E" w:rsidRDefault="005A76BF">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"_Toc256000008" </w:instrText>
          </w:r>
          <w:r>
            <w:rPr>
              <w:b/>
              <w:bCs/>
              <w:noProof/>
            </w:rPr>
            <w:fldChar w:fldCharType="separate"/>
          </w:r>
          <w:r>
            <w:rPr>
              <w:rStyle w:val="Hyperlnk"/>
            </w:rPr>
            <w:t>6.</w:t>
          </w:r>
          <w:r>
            <w:rPr>
              <w:rStyle w:val="Hyperlnk"/>
              <w:rFonts w:ascii="Calibri" w:hAnsi="Calibri"/>
              <w:noProof/>
            </w:rPr>
            <w:tab/>
          </w:r>
          <w:r>
            <w:rPr>
              <w:rStyle w:val="Hyperlnk"/>
              <w:noProof/>
            </w:rPr>
            <w:t>Advisory Committee on Freedom of Movement for Workers Appointment of Mr Francisco Xavier SOARES DE ALBERGARIA D'AGUIAR, member for Portugal, in place of Ms Patrícia BORGES, who has resigned</w:t>
          </w:r>
          <w:r>
            <w:rPr>
              <w:rStyle w:val="Hyperlnk"/>
            </w:rPr>
            <w:tab/>
          </w:r>
          <w:r>
            <w:fldChar w:fldCharType="begin"/>
          </w:r>
          <w:r>
            <w:rPr>
              <w:rStyle w:val="Hyperlnk"/>
            </w:rPr>
            <w:instrText xml:space="preserve"> PAGEREF _Toc256000008 \h </w:instrText>
          </w:r>
          <w:r>
            <w:fldChar w:fldCharType="separate"/>
          </w:r>
          <w:r>
            <w:rPr>
              <w:rStyle w:val="Hyperlnk"/>
            </w:rPr>
            <w:t>5</w:t>
          </w:r>
          <w:r>
            <w:fldChar w:fldCharType="end"/>
          </w:r>
        </w:p>
        <w:p w14:paraId="247E8E45" w14:textId="77777777" w:rsidR="004C151E" w:rsidRDefault="005A76BF">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"_Toc256000009" </w:instrText>
          </w:r>
          <w:r>
            <w:rPr>
              <w:b/>
              <w:bCs/>
              <w:noProof/>
            </w:rPr>
            <w:fldChar w:fldCharType="separate"/>
          </w:r>
          <w:r>
            <w:rPr>
              <w:rStyle w:val="Hyperlnk"/>
            </w:rPr>
            <w:t>7.</w:t>
          </w:r>
          <w:r>
            <w:rPr>
              <w:rStyle w:val="Hyperlnk"/>
              <w:rFonts w:ascii="Calibri" w:hAnsi="Calibri"/>
              <w:noProof/>
            </w:rPr>
            <w:tab/>
          </w:r>
          <w:r>
            <w:rPr>
              <w:rStyle w:val="Hyperlnk"/>
              <w:noProof/>
            </w:rPr>
            <w:t>Advisory Committee on Safety and Health at Work Appointment of Ms Gintar? BUŽINSKAIT? alternate member for Lithuania, in place of Ms Nerita ŠOT, who has resigned</w:t>
          </w:r>
          <w:r>
            <w:rPr>
              <w:rStyle w:val="Hyperlnk"/>
            </w:rPr>
            <w:tab/>
          </w:r>
          <w:r>
            <w:fldChar w:fldCharType="begin"/>
          </w:r>
          <w:r>
            <w:rPr>
              <w:rStyle w:val="Hyperlnk"/>
            </w:rPr>
            <w:instrText xml:space="preserve"> PAGEREF _Toc256000009 \h </w:instrText>
          </w:r>
          <w:r>
            <w:fldChar w:fldCharType="separate"/>
          </w:r>
          <w:r>
            <w:rPr>
              <w:rStyle w:val="Hyperlnk"/>
            </w:rPr>
            <w:t>6</w:t>
          </w:r>
          <w:r>
            <w:fldChar w:fldCharType="end"/>
          </w:r>
        </w:p>
        <w:p w14:paraId="247E8E46" w14:textId="77777777" w:rsidR="004C151E" w:rsidRDefault="005A76BF">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"_Toc256000010" </w:instrText>
          </w:r>
          <w:r>
            <w:rPr>
              <w:b/>
              <w:bCs/>
              <w:noProof/>
            </w:rPr>
            <w:fldChar w:fldCharType="separate"/>
          </w:r>
          <w:r>
            <w:rPr>
              <w:rStyle w:val="Hyperlnk"/>
            </w:rPr>
            <w:t>8.</w:t>
          </w:r>
          <w:r>
            <w:rPr>
              <w:rStyle w:val="Hyperlnk"/>
              <w:rFonts w:ascii="Calibri" w:hAnsi="Calibri"/>
              <w:noProof/>
            </w:rPr>
            <w:tab/>
          </w:r>
          <w:r>
            <w:rPr>
              <w:rStyle w:val="Hyperlnk"/>
              <w:noProof/>
            </w:rPr>
            <w:t>Governing Board of the European Foundation for the Improvement of Living and Working Conditions Appointment of Mr Sérgio Alexandrino MONTEIRO DO MONTE, alternate member for Portugal, in place of Mr Vitor Manuel Vicente COELHO, who has resigned</w:t>
          </w:r>
          <w:r>
            <w:rPr>
              <w:rStyle w:val="Hyperlnk"/>
            </w:rPr>
            <w:tab/>
          </w:r>
          <w:r>
            <w:fldChar w:fldCharType="begin"/>
          </w:r>
          <w:r>
            <w:rPr>
              <w:rStyle w:val="Hyperlnk"/>
            </w:rPr>
            <w:instrText xml:space="preserve"> PAGEREF _Toc256000010 \h </w:instrText>
          </w:r>
          <w:r>
            <w:fldChar w:fldCharType="separate"/>
          </w:r>
          <w:r>
            <w:rPr>
              <w:rStyle w:val="Hyperlnk"/>
            </w:rPr>
            <w:t>6</w:t>
          </w:r>
          <w:r>
            <w:fldChar w:fldCharType="end"/>
          </w:r>
        </w:p>
        <w:p w14:paraId="247E8E47" w14:textId="77777777" w:rsidR="004C151E" w:rsidRDefault="005A76BF">
          <w:pPr>
            <w:pStyle w:val="Innehll1"/>
            <w:tabs>
              <w:tab w:val="left" w:pos="44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"_Toc256000011" </w:instrText>
          </w:r>
          <w:r>
            <w:rPr>
              <w:b/>
              <w:bCs/>
              <w:noProof/>
            </w:rPr>
            <w:fldChar w:fldCharType="separate"/>
          </w:r>
          <w:r>
            <w:rPr>
              <w:rStyle w:val="Hyperlnk"/>
            </w:rPr>
            <w:t>9.</w:t>
          </w:r>
          <w:r>
            <w:rPr>
              <w:rStyle w:val="Hyperlnk"/>
              <w:rFonts w:ascii="Calibri" w:hAnsi="Calibri"/>
              <w:noProof/>
            </w:rPr>
            <w:tab/>
          </w:r>
          <w:r>
            <w:rPr>
              <w:rStyle w:val="Hyperlnk"/>
              <w:noProof/>
            </w:rPr>
            <w:t>Commission Regulation (EU) No …/.. of XXX amending Annex III to Regulation (EC) No 1333/2008 of the European Parliament and of the Council as regards the use of silicon dioxide (E 551) in polyvinyl alcohol-polyethylene glycol-graft-co-polymer (E 1209)</w:t>
          </w:r>
          <w:r>
            <w:rPr>
              <w:rStyle w:val="Hyperlnk"/>
            </w:rPr>
            <w:tab/>
          </w:r>
          <w:r>
            <w:fldChar w:fldCharType="begin"/>
          </w:r>
          <w:r>
            <w:rPr>
              <w:rStyle w:val="Hyperlnk"/>
            </w:rPr>
            <w:instrText xml:space="preserve"> PAGEREF _Toc256000011 \h </w:instrText>
          </w:r>
          <w:r>
            <w:fldChar w:fldCharType="separate"/>
          </w:r>
          <w:r>
            <w:rPr>
              <w:rStyle w:val="Hyperlnk"/>
            </w:rPr>
            <w:t>6</w:t>
          </w:r>
          <w:r>
            <w:fldChar w:fldCharType="end"/>
          </w:r>
        </w:p>
        <w:p w14:paraId="247E8E48"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"_Toc256000012" </w:instrText>
          </w:r>
          <w:r>
            <w:rPr>
              <w:b/>
              <w:bCs/>
              <w:noProof/>
            </w:rPr>
            <w:fldChar w:fldCharType="separate"/>
          </w:r>
          <w:r>
            <w:rPr>
              <w:rStyle w:val="Hyperlnk"/>
            </w:rPr>
            <w:t>10.</w:t>
          </w:r>
          <w:r>
            <w:rPr>
              <w:rStyle w:val="Hyperlnk"/>
              <w:rFonts w:ascii="Calibri" w:hAnsi="Calibri"/>
              <w:noProof/>
            </w:rPr>
            <w:tab/>
          </w:r>
          <w:r>
            <w:rPr>
              <w:rStyle w:val="Hyperlnk"/>
              <w:noProof/>
            </w:rPr>
            <w:t>Commission Regulation (EU) No …/.. of XXX laying down methods of sampling and performance criteria for the methods of analysis for the official control of the levels of erucic acid in foodstuffs and repealing Commission Directive 80/891/EEC</w:t>
          </w:r>
          <w:r>
            <w:rPr>
              <w:rStyle w:val="Hyperlnk"/>
            </w:rPr>
            <w:tab/>
          </w:r>
          <w:r>
            <w:fldChar w:fldCharType="begin"/>
          </w:r>
          <w:r>
            <w:rPr>
              <w:rStyle w:val="Hyperlnk"/>
            </w:rPr>
            <w:instrText xml:space="preserve"> PAGEREF _Toc256000012 \h </w:instrText>
          </w:r>
          <w:r>
            <w:fldChar w:fldCharType="separate"/>
          </w:r>
          <w:r>
            <w:rPr>
              <w:rStyle w:val="Hyperlnk"/>
            </w:rPr>
            <w:t>7</w:t>
          </w:r>
          <w:r>
            <w:fldChar w:fldCharType="end"/>
          </w:r>
        </w:p>
        <w:p w14:paraId="247E8E49"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"_Toc256000013" </w:instrText>
          </w:r>
          <w:r>
            <w:rPr>
              <w:b/>
              <w:bCs/>
              <w:noProof/>
            </w:rPr>
            <w:fldChar w:fldCharType="separate"/>
          </w:r>
          <w:r>
            <w:rPr>
              <w:rStyle w:val="Hyperlnk"/>
            </w:rPr>
            <w:t>11.</w:t>
          </w:r>
          <w:r>
            <w:rPr>
              <w:rStyle w:val="Hyperlnk"/>
              <w:rFonts w:ascii="Calibri" w:hAnsi="Calibri"/>
              <w:noProof/>
            </w:rPr>
            <w:tab/>
          </w:r>
          <w:r>
            <w:rPr>
              <w:rStyle w:val="Hyperlnk"/>
              <w:noProof/>
            </w:rPr>
            <w:t>Commission Regulation (EU) No … /.. of XXX amending the definition of specified risk material set out in Annex V to Regulation (EC) No 999/2001 of the European Parliament and of the Council laying down rules for the prevention, control and eradication of certain transmissible spongiform encephalopathies</w:t>
          </w:r>
          <w:r>
            <w:rPr>
              <w:rStyle w:val="Hyperlnk"/>
            </w:rPr>
            <w:tab/>
          </w:r>
          <w:r>
            <w:fldChar w:fldCharType="begin"/>
          </w:r>
          <w:r>
            <w:rPr>
              <w:rStyle w:val="Hyperlnk"/>
            </w:rPr>
            <w:instrText xml:space="preserve"> PAGEREF _Toc256000013 \h </w:instrText>
          </w:r>
          <w:r>
            <w:fldChar w:fldCharType="separate"/>
          </w:r>
          <w:r>
            <w:rPr>
              <w:rStyle w:val="Hyperlnk"/>
            </w:rPr>
            <w:t>8</w:t>
          </w:r>
          <w:r>
            <w:fldChar w:fldCharType="end"/>
          </w:r>
        </w:p>
        <w:p w14:paraId="247E8E4A"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"_Toc256000014" </w:instrText>
          </w:r>
          <w:r>
            <w:rPr>
              <w:b/>
              <w:bCs/>
              <w:noProof/>
            </w:rPr>
            <w:fldChar w:fldCharType="separate"/>
          </w:r>
          <w:r>
            <w:rPr>
              <w:rStyle w:val="Hyperlnk"/>
            </w:rPr>
            <w:t>12.</w:t>
          </w:r>
          <w:r>
            <w:rPr>
              <w:rStyle w:val="Hyperlnk"/>
              <w:rFonts w:ascii="Calibri" w:hAnsi="Calibri"/>
              <w:noProof/>
            </w:rPr>
            <w:tab/>
          </w:r>
          <w:r>
            <w:rPr>
              <w:rStyle w:val="Hyperlnk"/>
              <w:noProof/>
            </w:rPr>
            <w:t>Commission Decision of XXX authorising the United Kingdom to derogate pursuant to Article 14(6) of Regulation (EC) No 216/2008 of the European Parliament and of the Council from certain common aviation safety rules concerning restraint systems on flight crew seats of helicopters used in commercial air transport operations</w:t>
          </w:r>
          <w:r>
            <w:rPr>
              <w:rStyle w:val="Hyperlnk"/>
            </w:rPr>
            <w:tab/>
          </w:r>
          <w:r>
            <w:fldChar w:fldCharType="begin"/>
          </w:r>
          <w:r>
            <w:rPr>
              <w:rStyle w:val="Hyperlnk"/>
            </w:rPr>
            <w:instrText xml:space="preserve"> PAGEREF _Toc256000014 \h </w:instrText>
          </w:r>
          <w:r>
            <w:fldChar w:fldCharType="separate"/>
          </w:r>
          <w:r>
            <w:rPr>
              <w:rStyle w:val="Hyperlnk"/>
            </w:rPr>
            <w:t>8</w:t>
          </w:r>
          <w:r>
            <w:fldChar w:fldCharType="end"/>
          </w:r>
        </w:p>
        <w:p w14:paraId="247E8E4B"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"_Toc256000015" </w:instrText>
          </w:r>
          <w:r>
            <w:rPr>
              <w:b/>
              <w:bCs/>
              <w:noProof/>
            </w:rPr>
            <w:fldChar w:fldCharType="separate"/>
          </w:r>
          <w:r>
            <w:rPr>
              <w:rStyle w:val="Hyperlnk"/>
            </w:rPr>
            <w:t>13.</w:t>
          </w:r>
          <w:r>
            <w:rPr>
              <w:rStyle w:val="Hyperlnk"/>
              <w:rFonts w:ascii="Calibri" w:hAnsi="Calibri"/>
              <w:noProof/>
            </w:rPr>
            <w:tab/>
          </w:r>
          <w:r>
            <w:rPr>
              <w:rStyle w:val="Hyperlnk"/>
              <w:noProof/>
            </w:rPr>
            <w:t>Commission Regulation (EU) No …/.. of XXX establishing a Network Code on Interoperability and Data Exchange Rules</w:t>
          </w:r>
          <w:r>
            <w:rPr>
              <w:rStyle w:val="Hyperlnk"/>
            </w:rPr>
            <w:tab/>
          </w:r>
          <w:r>
            <w:fldChar w:fldCharType="begin"/>
          </w:r>
          <w:r>
            <w:rPr>
              <w:rStyle w:val="Hyperlnk"/>
            </w:rPr>
            <w:instrText xml:space="preserve"> PAGEREF _Toc256000015 \h </w:instrText>
          </w:r>
          <w:r>
            <w:fldChar w:fldCharType="separate"/>
          </w:r>
          <w:r>
            <w:rPr>
              <w:rStyle w:val="Hyperlnk"/>
            </w:rPr>
            <w:t>9</w:t>
          </w:r>
          <w:r>
            <w:fldChar w:fldCharType="end"/>
          </w:r>
        </w:p>
        <w:p w14:paraId="247E8E4C"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"_Toc256000016" </w:instrText>
          </w:r>
          <w:r>
            <w:rPr>
              <w:b/>
              <w:bCs/>
              <w:noProof/>
            </w:rPr>
            <w:fldChar w:fldCharType="separate"/>
          </w:r>
          <w:r>
            <w:rPr>
              <w:rStyle w:val="Hyperlnk"/>
            </w:rPr>
            <w:t>14.</w:t>
          </w:r>
          <w:r>
            <w:rPr>
              <w:rStyle w:val="Hyperlnk"/>
              <w:rFonts w:ascii="Calibri" w:hAnsi="Calibri"/>
              <w:noProof/>
            </w:rPr>
            <w:tab/>
          </w:r>
          <w:r>
            <w:rPr>
              <w:rStyle w:val="Hyperlnk"/>
              <w:noProof/>
            </w:rPr>
            <w:t>Proposal for a Council Decision establishing the position to be adopted on the Union's behalf in the relevant Committees of the United Nations Economic Commission for Europe as regards the proposals for amendments to UN Regulations Nos. 7, 13, 23, 37, 38, 41, 43, 45, 51, 55, 59, 75, 78, 98, 99, 106, 107, 110, 112, 113, 117, 119, 123, 128, 129, on Amendment 2 to UN GTR No. 3 with regard to motorcycle braking, on Amendment 3 to UN GTR No. 4 with regard to the Worldwide Heavy-Duty Certification procedure</w:t>
          </w:r>
          <w:r>
            <w:rPr>
              <w:rStyle w:val="Hyperlnk"/>
            </w:rPr>
            <w:tab/>
          </w:r>
          <w:r>
            <w:fldChar w:fldCharType="begin"/>
          </w:r>
          <w:r>
            <w:rPr>
              <w:rStyle w:val="Hyperlnk"/>
            </w:rPr>
            <w:instrText xml:space="preserve"> PAGEREF _Toc256000016 \h </w:instrText>
          </w:r>
          <w:r>
            <w:fldChar w:fldCharType="separate"/>
          </w:r>
          <w:r>
            <w:rPr>
              <w:rStyle w:val="Hyperlnk"/>
            </w:rPr>
            <w:t>10</w:t>
          </w:r>
          <w:r>
            <w:fldChar w:fldCharType="end"/>
          </w:r>
        </w:p>
        <w:p w14:paraId="247E8E4D"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"_Toc256000017" </w:instrText>
          </w:r>
          <w:r>
            <w:rPr>
              <w:b/>
              <w:bCs/>
              <w:noProof/>
            </w:rPr>
            <w:fldChar w:fldCharType="separate"/>
          </w:r>
          <w:r>
            <w:rPr>
              <w:rStyle w:val="Hyperlnk"/>
            </w:rPr>
            <w:t>15.</w:t>
          </w:r>
          <w:r>
            <w:rPr>
              <w:rStyle w:val="Hyperlnk"/>
              <w:rFonts w:ascii="Calibri" w:hAnsi="Calibri"/>
              <w:noProof/>
            </w:rPr>
            <w:tab/>
          </w:r>
          <w:r>
            <w:rPr>
              <w:rStyle w:val="Hyperlnk"/>
              <w:noProof/>
            </w:rPr>
            <w:t>Proposal for a Council Decision establishing the position to be adopted on behalf of the European Union within the seventh meeting of the Conference of the Parties to the Rotterdam Convention as regards the amendments of Annex III to the Rotterdam Convention on the Prior Informed Consent Procedure for certain hazardous chemicals and pesticides in international trade</w:t>
          </w:r>
          <w:r>
            <w:rPr>
              <w:rStyle w:val="Hyperlnk"/>
            </w:rPr>
            <w:tab/>
          </w:r>
          <w:r>
            <w:fldChar w:fldCharType="begin"/>
          </w:r>
          <w:r>
            <w:rPr>
              <w:rStyle w:val="Hyperlnk"/>
            </w:rPr>
            <w:instrText xml:space="preserve"> PAGEREF _Toc256000017 \h </w:instrText>
          </w:r>
          <w:r>
            <w:fldChar w:fldCharType="separate"/>
          </w:r>
          <w:r>
            <w:rPr>
              <w:rStyle w:val="Hyperlnk"/>
            </w:rPr>
            <w:t>11</w:t>
          </w:r>
          <w:r>
            <w:fldChar w:fldCharType="end"/>
          </w:r>
        </w:p>
        <w:p w14:paraId="247E8E4E" w14:textId="77777777" w:rsidR="004C151E" w:rsidRDefault="005A76BF">
          <w:pPr>
            <w:pStyle w:val="Innehll1"/>
            <w:tabs>
              <w:tab w:val="left" w:pos="660"/>
              <w:tab w:val="right" w:leader="dot" w:pos="9062"/>
            </w:tabs>
            <w:rPr>
              <w:rFonts w:ascii="Calibri" w:hAnsi="Calibri"/>
              <w:noProof/>
            </w:rPr>
          </w:pPr>
          <w:r>
            <w:rPr>
              <w:b/>
              <w:bCs/>
              <w:noProof/>
            </w:rPr>
            <w:lastRenderedPageBreak/>
            <w:fldChar w:fldCharType="end"/>
          </w:r>
          <w:r>
            <w:rPr>
              <w:b/>
              <w:bCs/>
              <w:noProof/>
            </w:rPr>
            <w:fldChar w:fldCharType="begin"/>
          </w:r>
          <w:r>
            <w:rPr>
              <w:rStyle w:val="Hyperlnk"/>
              <w:b/>
              <w:bCs/>
              <w:noProof/>
            </w:rPr>
            <w:instrText xml:space="preserve"> HYPERLINK \l "_Toc256000018" </w:instrText>
          </w:r>
          <w:r>
            <w:rPr>
              <w:b/>
              <w:bCs/>
              <w:noProof/>
            </w:rPr>
            <w:fldChar w:fldCharType="separate"/>
          </w:r>
          <w:r>
            <w:rPr>
              <w:rStyle w:val="Hyperlnk"/>
            </w:rPr>
            <w:t>16.</w:t>
          </w:r>
          <w:r>
            <w:rPr>
              <w:rStyle w:val="Hyperlnk"/>
              <w:rFonts w:ascii="Calibri" w:hAnsi="Calibri"/>
              <w:noProof/>
            </w:rPr>
            <w:tab/>
          </w:r>
          <w:r>
            <w:rPr>
              <w:rStyle w:val="Hyperlnk"/>
              <w:noProof/>
            </w:rPr>
            <w:t>Proposal for a Council Decision concerning the accession of the European Union to the Convention on International Trade in Endangered Species of Wild Fauna and Flora (CITES)</w:t>
          </w:r>
          <w:r>
            <w:rPr>
              <w:rStyle w:val="Hyperlnk"/>
            </w:rPr>
            <w:tab/>
          </w:r>
          <w:r>
            <w:fldChar w:fldCharType="begin"/>
          </w:r>
          <w:r>
            <w:rPr>
              <w:rStyle w:val="Hyperlnk"/>
            </w:rPr>
            <w:instrText xml:space="preserve"> PAGEREF _Toc256000018 \h </w:instrText>
          </w:r>
          <w:r>
            <w:fldChar w:fldCharType="separate"/>
          </w:r>
          <w:r>
            <w:rPr>
              <w:rStyle w:val="Hyperlnk"/>
            </w:rPr>
            <w:t>12</w:t>
          </w:r>
          <w:r>
            <w:fldChar w:fldCharType="end"/>
          </w:r>
        </w:p>
        <w:p w14:paraId="247E8E4F" w14:textId="77777777" w:rsidR="004C151E" w:rsidRDefault="005A76BF">
          <w:pPr>
            <w:pStyle w:val="Innehll1"/>
            <w:tabs>
              <w:tab w:val="left" w:pos="660"/>
              <w:tab w:val="right" w:leader="dot" w:pos="9062"/>
            </w:tabs>
            <w:rPr>
              <w:rFonts w:ascii="Calibri" w:hAnsi="Calibri"/>
              <w:noProof/>
            </w:rPr>
          </w:pPr>
          <w:r>
            <w:rPr>
              <w:b/>
              <w:bCs/>
              <w:noProof/>
            </w:rPr>
            <w:fldChar w:fldCharType="end"/>
          </w:r>
          <w:r>
            <w:rPr>
              <w:b/>
              <w:bCs/>
              <w:noProof/>
            </w:rPr>
            <w:fldChar w:fldCharType="begin"/>
          </w:r>
          <w:r>
            <w:rPr>
              <w:rStyle w:val="Hyperlnk"/>
              <w:b/>
              <w:bCs/>
              <w:noProof/>
            </w:rPr>
            <w:instrText xml:space="preserve"> HYPERLINK \l "_Toc256000019" </w:instrText>
          </w:r>
          <w:r>
            <w:rPr>
              <w:b/>
              <w:bCs/>
              <w:noProof/>
            </w:rPr>
            <w:fldChar w:fldCharType="separate"/>
          </w:r>
          <w:r>
            <w:rPr>
              <w:rStyle w:val="Hyperlnk"/>
            </w:rPr>
            <w:t>17.</w:t>
          </w:r>
          <w:r>
            <w:rPr>
              <w:rStyle w:val="Hyperlnk"/>
              <w:rFonts w:ascii="Calibri" w:hAnsi="Calibri"/>
              <w:noProof/>
            </w:rPr>
            <w:tab/>
          </w:r>
          <w:r>
            <w:rPr>
              <w:rStyle w:val="Hyperlnk"/>
              <w:noProof/>
            </w:rPr>
            <w:t>Proposal for a Directive of the European Parliament and of the Council amending Directive 2001/18/EC as regards the possibility for the Member States to restrict or prohibit the cultivation of genetically modified organisms (GMOs) in their territory (Second reading) (Legislative deliberation)</w:t>
          </w:r>
          <w:r>
            <w:rPr>
              <w:rStyle w:val="Hyperlnk"/>
            </w:rPr>
            <w:tab/>
          </w:r>
          <w:r>
            <w:fldChar w:fldCharType="begin"/>
          </w:r>
          <w:r>
            <w:rPr>
              <w:rStyle w:val="Hyperlnk"/>
            </w:rPr>
            <w:instrText xml:space="preserve"> PAGEREF _Toc256000019 \h </w:instrText>
          </w:r>
          <w:r>
            <w:fldChar w:fldCharType="separate"/>
          </w:r>
          <w:r>
            <w:rPr>
              <w:rStyle w:val="Hyperlnk"/>
            </w:rPr>
            <w:t>13</w:t>
          </w:r>
          <w:r>
            <w:fldChar w:fldCharType="end"/>
          </w:r>
        </w:p>
        <w:p w14:paraId="247E8E50" w14:textId="77777777" w:rsidR="00D957FB" w:rsidRDefault="005A76BF">
          <w:r>
            <w:rPr>
              <w:b/>
              <w:bCs/>
              <w:noProof/>
            </w:rPr>
            <w:fldChar w:fldCharType="end"/>
          </w:r>
          <w:r>
            <w:rPr>
              <w:b/>
              <w:bCs/>
              <w:noProof/>
            </w:rPr>
            <w:fldChar w:fldCharType="end"/>
          </w:r>
        </w:p>
      </w:sdtContent>
    </w:sdt>
    <w:p w14:paraId="247E8E51" w14:textId="77777777" w:rsidR="00D957FB" w:rsidRDefault="005A76BF">
      <w:pPr>
        <w:ind w:left="0"/>
      </w:pPr>
      <w:r>
        <w:br w:type="page"/>
      </w:r>
    </w:p>
    <w:p w14:paraId="247E8E52" w14:textId="77777777" w:rsidR="00643D86" w:rsidRDefault="008157CF" w:rsidP="00643D86">
      <w:pPr>
        <w:pStyle w:val="Rubrik1"/>
        <w:numPr>
          <w:ilvl w:val="0"/>
          <w:numId w:val="0"/>
        </w:numPr>
      </w:pPr>
      <w:bookmarkStart w:id="0" w:name="_Toc364854645"/>
    </w:p>
    <w:p w14:paraId="247E8E53" w14:textId="77777777" w:rsidR="00643D86" w:rsidRDefault="005A76BF" w:rsidP="00643D86">
      <w:pPr>
        <w:pStyle w:val="Rubrik1"/>
      </w:pPr>
      <w:bookmarkStart w:id="1" w:name="_Toc256000003"/>
      <w:r>
        <w:rPr>
          <w:noProof/>
        </w:rPr>
        <w:t>Replies to written questions put to the Council by Members of the European Parliament (+)</w:t>
      </w:r>
      <w:bookmarkEnd w:id="1"/>
    </w:p>
    <w:p w14:paraId="247E8E55" w14:textId="34B3C7BE" w:rsidR="00643D86" w:rsidRDefault="005A76BF" w:rsidP="00643D86">
      <w:pPr>
        <w:rPr>
          <w:lang w:val="en-US"/>
        </w:rPr>
      </w:pPr>
      <w:r>
        <w:rPr>
          <w:noProof/>
          <w:lang w:val="en-US"/>
        </w:rPr>
        <w:t>E-009403</w:t>
      </w:r>
      <w:r>
        <w:rPr>
          <w:lang w:val="en-US"/>
        </w:rPr>
        <w:t>/2014 - Victor Negrescu (S&amp;amp;D) Transnistria in the context of the Republic of Moldova's accession to the EU</w:t>
      </w:r>
      <w:r w:rsidR="008D6EFF">
        <w:rPr>
          <w:lang w:val="en-US"/>
        </w:rPr>
        <w:t xml:space="preserve"> </w:t>
      </w:r>
      <w:r>
        <w:rPr>
          <w:lang w:val="en-US"/>
        </w:rPr>
        <w:t xml:space="preserve"> - Jonathan Arnott (EFDD) Review of golden handshakes E-010512/2014 - Louis Michel (ALDE) Plenary sessions of the ACP-EU Joint Parliamentary Assembly E-010516/2014 and E-010518/2014 - Angel Dzhambazki (ECR) Mechanism for monitoring the implementation of readmission agreements Implementation of readmission agreements E-010524/2014 - Charles Tannock (ECR) Ratification of the EU-Ukraine Association Agreement E-010576/2014 - Sophia in 't Veld (ALDE) Classification of documents E-010877/2014 - Raymond Finch (EFDD) Dismissals in the Council E-010967/2014 - Siôn Simon (S&amp;amp;D) Mission costs for Council staff travelling between the three places of work - 2009-2014 E-010970/2014 - Siôn Simon (S&amp;amp;D) Poor representation of workers of black, Asian or minority ethnic (BAME) heritage in the Council</w:t>
      </w:r>
      <w:r w:rsidR="008D6EFF">
        <w:rPr>
          <w:lang w:val="en-US"/>
        </w:rPr>
        <w:t xml:space="preserve"> </w:t>
      </w:r>
      <w:r>
        <w:rPr>
          <w:lang w:val="en-US"/>
        </w:rPr>
        <w:t>E 46 E-011229/2014 - Victor Negrescu (S&amp;amp;D) The European budget allocated to the European policy on assistance for development E-011261/2014 - Victor Negrescu (S&amp;amp;D) Montenegro's EU integration E-000105/2015 - José Blanco López (S&amp;amp;D) Recognition by Norway of pension rights of EU workers under the Norwegian flag prior to 1994</w:t>
      </w:r>
      <w:r>
        <w:rPr>
          <w:lang w:val="en-US"/>
        </w:rPr>
        <w:br/>
      </w:r>
      <w:r>
        <w:rPr>
          <w:noProof/>
          <w:lang w:val="en-US"/>
        </w:rPr>
        <w:t>6137</w:t>
      </w:r>
      <w:r>
        <w:rPr>
          <w:lang w:val="en-US"/>
        </w:rPr>
        <w:t>/15 PE-QE 60 5835/15 PE-QE 42 5815/15 PE-QE 40 5753/15 PE-QE 38 5739/15 PE-QE 36 5850/15 PE-QE 44 5838/15 PE-QE 43 5857/15 PE-QE 45 5858/15 PE-QE 46 5816/15 PE-QE 41 5743/15 PE-QE 37 5806/15 PE-QE 39</w:t>
      </w:r>
    </w:p>
    <w:p w14:paraId="247E8E56" w14:textId="77777777" w:rsidR="00643D86" w:rsidRDefault="005A76BF" w:rsidP="00643D86">
      <w:r>
        <w:rPr>
          <w:b/>
        </w:rPr>
        <w:t>Ansvarigt statsråd</w:t>
      </w:r>
      <w:r>
        <w:rPr>
          <w:b/>
        </w:rPr>
        <w:br/>
      </w:r>
      <w:r>
        <w:rPr>
          <w:noProof/>
        </w:rPr>
        <w:t>Stefan Löfven</w:t>
      </w:r>
    </w:p>
    <w:p w14:paraId="247E8E59" w14:textId="77777777" w:rsidR="00643D86" w:rsidRDefault="005A76BF" w:rsidP="00643D86">
      <w:r w:rsidRPr="00B44CE2">
        <w:rPr>
          <w:b/>
        </w:rPr>
        <w:t>Annotering</w:t>
      </w:r>
      <w:r>
        <w:rPr>
          <w:b/>
        </w:rPr>
        <w:br/>
      </w:r>
      <w:r>
        <w:t>Föranleder ingen annotering.</w:t>
      </w:r>
    </w:p>
    <w:p w14:paraId="247E8E67" w14:textId="77777777" w:rsidR="00643D86" w:rsidRDefault="005A76BF" w:rsidP="00643D86">
      <w:pPr>
        <w:pStyle w:val="Rubrik1"/>
      </w:pPr>
      <w:bookmarkStart w:id="2" w:name="_Toc256000008"/>
      <w:r>
        <w:rPr>
          <w:noProof/>
        </w:rPr>
        <w:t>Advisory Committee on Freedom of Movement for Workers</w:t>
      </w:r>
      <w:r>
        <w:rPr>
          <w:noProof/>
        </w:rPr>
        <w:br/>
        <w:t>Appointment of Mr Francisco Xavier SOARES DE ALBERGARIA D'AGUIAR, member for Portugal, in place of Ms Patrícia BORGES, who has resigned</w:t>
      </w:r>
      <w:bookmarkEnd w:id="2"/>
    </w:p>
    <w:p w14:paraId="33458124" w14:textId="77777777" w:rsidR="008D6EFF" w:rsidRDefault="005A76BF" w:rsidP="00643D86">
      <w:pPr>
        <w:rPr>
          <w:noProof/>
          <w:lang w:val="en-US"/>
        </w:rPr>
      </w:pPr>
      <w:r>
        <w:rPr>
          <w:noProof/>
          <w:lang w:val="en-US"/>
        </w:rPr>
        <w:t>Adoption</w:t>
      </w:r>
    </w:p>
    <w:p w14:paraId="247E8E68" w14:textId="4F6B0541" w:rsidR="00643D86" w:rsidRDefault="005A76BF" w:rsidP="00643D86">
      <w:pPr>
        <w:rPr>
          <w:lang w:val="en-US"/>
        </w:rPr>
      </w:pPr>
      <w:r>
        <w:rPr>
          <w:noProof/>
          <w:lang w:val="en-US"/>
        </w:rPr>
        <w:t>6102</w:t>
      </w:r>
      <w:r>
        <w:rPr>
          <w:lang w:val="en-US"/>
        </w:rPr>
        <w:t>/15 SOC 62</w:t>
      </w:r>
    </w:p>
    <w:p w14:paraId="247E8E69" w14:textId="27408398" w:rsidR="00643D86" w:rsidRDefault="005A76BF" w:rsidP="00643D86">
      <w:r>
        <w:rPr>
          <w:b/>
        </w:rPr>
        <w:t>Ansvarigt statsråd</w:t>
      </w:r>
      <w:r>
        <w:rPr>
          <w:b/>
        </w:rPr>
        <w:br/>
      </w:r>
      <w:r w:rsidR="00332C21">
        <w:t>Ylva Johansson</w:t>
      </w:r>
    </w:p>
    <w:p w14:paraId="247E8E6C" w14:textId="77777777" w:rsidR="00643D86" w:rsidRDefault="005A76BF" w:rsidP="00643D86">
      <w:r w:rsidRPr="00B44CE2">
        <w:rPr>
          <w:b/>
        </w:rPr>
        <w:t>Annotering</w:t>
      </w:r>
      <w:r>
        <w:rPr>
          <w:b/>
        </w:rPr>
        <w:br/>
      </w:r>
      <w:r>
        <w:t>Föranleder ingen annotering.</w:t>
      </w:r>
    </w:p>
    <w:p w14:paraId="247E8E6D" w14:textId="77777777" w:rsidR="00643D86" w:rsidRDefault="005A76BF" w:rsidP="00643D86">
      <w:pPr>
        <w:pStyle w:val="Rubrik1"/>
      </w:pPr>
      <w:bookmarkStart w:id="3" w:name="_Toc256000009"/>
      <w:r>
        <w:rPr>
          <w:noProof/>
        </w:rPr>
        <w:t>Advisory Committee on Safety and Health at Work</w:t>
      </w:r>
      <w:r>
        <w:rPr>
          <w:noProof/>
        </w:rPr>
        <w:br/>
        <w:t>Appointment of Ms Gintar? BUŽINSKAIT? alternate member for Lithuania, in place of Ms Nerita ŠOT, who has resigned</w:t>
      </w:r>
      <w:bookmarkEnd w:id="3"/>
    </w:p>
    <w:p w14:paraId="61BE6A6D" w14:textId="77777777" w:rsidR="00A276BC" w:rsidRDefault="005A76BF" w:rsidP="00643D86">
      <w:pPr>
        <w:rPr>
          <w:noProof/>
          <w:lang w:val="en-US"/>
        </w:rPr>
      </w:pPr>
      <w:r>
        <w:rPr>
          <w:noProof/>
          <w:lang w:val="en-US"/>
        </w:rPr>
        <w:t>Adoption</w:t>
      </w:r>
    </w:p>
    <w:p w14:paraId="247E8E6E" w14:textId="1A0F897B" w:rsidR="00643D86" w:rsidRDefault="005A76BF" w:rsidP="00643D86">
      <w:pPr>
        <w:rPr>
          <w:lang w:val="en-US"/>
        </w:rPr>
      </w:pPr>
      <w:r>
        <w:rPr>
          <w:noProof/>
          <w:lang w:val="en-US"/>
        </w:rPr>
        <w:t>6096</w:t>
      </w:r>
      <w:r>
        <w:rPr>
          <w:lang w:val="en-US"/>
        </w:rPr>
        <w:t>/15 SOC 61</w:t>
      </w:r>
    </w:p>
    <w:p w14:paraId="247E8E6F" w14:textId="77777777" w:rsidR="00643D86" w:rsidRDefault="005A76BF" w:rsidP="00643D86">
      <w:r>
        <w:rPr>
          <w:b/>
        </w:rPr>
        <w:lastRenderedPageBreak/>
        <w:t>Ansvarigt statsråd</w:t>
      </w:r>
      <w:r>
        <w:rPr>
          <w:b/>
        </w:rPr>
        <w:br/>
      </w:r>
      <w:r>
        <w:rPr>
          <w:noProof/>
        </w:rPr>
        <w:t>Ylva Johansson</w:t>
      </w:r>
    </w:p>
    <w:p w14:paraId="247E8E72" w14:textId="77777777" w:rsidR="00643D86" w:rsidRDefault="005A76BF" w:rsidP="00643D86">
      <w:r w:rsidRPr="00B44CE2">
        <w:rPr>
          <w:b/>
        </w:rPr>
        <w:t>Annotering</w:t>
      </w:r>
      <w:r>
        <w:rPr>
          <w:b/>
        </w:rPr>
        <w:br/>
      </w:r>
      <w:r>
        <w:t>Föranleder ingen annotering.</w:t>
      </w:r>
    </w:p>
    <w:p w14:paraId="247E8E73" w14:textId="77777777" w:rsidR="00643D86" w:rsidRDefault="005A76BF" w:rsidP="00643D86">
      <w:pPr>
        <w:pStyle w:val="Rubrik1"/>
      </w:pPr>
      <w:bookmarkStart w:id="4" w:name="_Toc256000010"/>
      <w:r>
        <w:rPr>
          <w:noProof/>
        </w:rPr>
        <w:t>Governing Board of the European Foundation for the Improvement of Living and Working Conditions</w:t>
      </w:r>
      <w:r>
        <w:rPr>
          <w:noProof/>
        </w:rPr>
        <w:br/>
        <w:t>Appointment of Mr Sérgio Alexandrino MONTEIRO DO MONTE, alternate member for Portugal, in place of Mr Vitor Manuel Vicente COELHO, who has resigned</w:t>
      </w:r>
      <w:bookmarkEnd w:id="4"/>
    </w:p>
    <w:p w14:paraId="1D0D9F20" w14:textId="77777777" w:rsidR="008D6EFF" w:rsidRDefault="005A76BF" w:rsidP="00643D86">
      <w:pPr>
        <w:rPr>
          <w:noProof/>
          <w:lang w:val="en-US"/>
        </w:rPr>
      </w:pPr>
      <w:r>
        <w:rPr>
          <w:noProof/>
          <w:lang w:val="en-US"/>
        </w:rPr>
        <w:t>Adoption</w:t>
      </w:r>
    </w:p>
    <w:p w14:paraId="247E8E74" w14:textId="63E779D4" w:rsidR="00643D86" w:rsidRDefault="005A76BF" w:rsidP="00643D86">
      <w:pPr>
        <w:rPr>
          <w:lang w:val="en-US"/>
        </w:rPr>
      </w:pPr>
      <w:r>
        <w:rPr>
          <w:noProof/>
          <w:lang w:val="en-US"/>
        </w:rPr>
        <w:t>6347</w:t>
      </w:r>
      <w:r>
        <w:rPr>
          <w:lang w:val="en-US"/>
        </w:rPr>
        <w:t>/15 SOC 84</w:t>
      </w:r>
    </w:p>
    <w:p w14:paraId="247E8E75" w14:textId="77777777" w:rsidR="00643D86" w:rsidRDefault="005A76BF" w:rsidP="00643D86">
      <w:r>
        <w:rPr>
          <w:b/>
        </w:rPr>
        <w:t>Ansvarigt statsråd</w:t>
      </w:r>
      <w:r>
        <w:rPr>
          <w:b/>
        </w:rPr>
        <w:br/>
      </w:r>
      <w:r>
        <w:rPr>
          <w:noProof/>
        </w:rPr>
        <w:t>Ylva Johansson</w:t>
      </w:r>
    </w:p>
    <w:p w14:paraId="247E8E78" w14:textId="09A2DC56" w:rsidR="00643D86" w:rsidRDefault="005A76BF" w:rsidP="00643D86">
      <w:r w:rsidRPr="00B44CE2">
        <w:rPr>
          <w:b/>
        </w:rPr>
        <w:t>Annotering</w:t>
      </w:r>
      <w:r>
        <w:rPr>
          <w:b/>
        </w:rPr>
        <w:br/>
      </w:r>
      <w:r w:rsidR="00332C21">
        <w:t>F</w:t>
      </w:r>
      <w:r>
        <w:t>öranleder ingen annotering.</w:t>
      </w:r>
    </w:p>
    <w:p w14:paraId="247E8E79" w14:textId="77777777" w:rsidR="00643D86" w:rsidRDefault="005A76BF" w:rsidP="00643D86">
      <w:pPr>
        <w:pStyle w:val="Rubrik1"/>
      </w:pPr>
      <w:bookmarkStart w:id="5" w:name="_Toc256000011"/>
      <w:r>
        <w:rPr>
          <w:noProof/>
        </w:rPr>
        <w:t>Commission Regulation (EU) No …/.. of XXX amending Annex III to Regulation (EC) No 1333/2008 of the European Parliament and of the Council as regards the use of silicon dioxide (E 551) in polyvinyl alcohol-polyethylene glycol-graft-co-polymer (E 1209)</w:t>
      </w:r>
      <w:bookmarkEnd w:id="5"/>
    </w:p>
    <w:p w14:paraId="12484714" w14:textId="77777777" w:rsidR="008D6EFF" w:rsidRDefault="005A76BF" w:rsidP="00643D86">
      <w:pPr>
        <w:rPr>
          <w:lang w:val="en-US"/>
        </w:rPr>
      </w:pPr>
      <w:r>
        <w:rPr>
          <w:noProof/>
          <w:lang w:val="en-US"/>
        </w:rPr>
        <w:t>Decision</w:t>
      </w:r>
      <w:r>
        <w:rPr>
          <w:lang w:val="en-US"/>
        </w:rPr>
        <w:t xml:space="preserve"> not to oppose adoption</w:t>
      </w:r>
      <w:r w:rsidR="008D6EFF">
        <w:rPr>
          <w:lang w:val="en-US"/>
        </w:rPr>
        <w:t xml:space="preserve"> </w:t>
      </w:r>
    </w:p>
    <w:p w14:paraId="247E8E7A" w14:textId="4684F5B8" w:rsidR="00643D86" w:rsidRDefault="005A76BF" w:rsidP="00643D86">
      <w:pPr>
        <w:rPr>
          <w:lang w:val="en-US"/>
        </w:rPr>
      </w:pPr>
      <w:r>
        <w:rPr>
          <w:noProof/>
          <w:lang w:val="en-US"/>
        </w:rPr>
        <w:t>5746</w:t>
      </w:r>
      <w:r>
        <w:rPr>
          <w:lang w:val="en-US"/>
        </w:rPr>
        <w:t>/15 DENLEG 24 AGRI 42 SAN 31 + ADD 1</w:t>
      </w:r>
      <w:r w:rsidR="008D6EFF">
        <w:rPr>
          <w:lang w:val="en-US"/>
        </w:rPr>
        <w:t xml:space="preserve"> </w:t>
      </w:r>
      <w:r>
        <w:rPr>
          <w:lang w:val="en-US"/>
        </w:rPr>
        <w:t>6159/15 DENLEG 29 AGRI 58 SAN 45</w:t>
      </w:r>
    </w:p>
    <w:p w14:paraId="247E8E7B" w14:textId="77777777" w:rsidR="00643D86" w:rsidRDefault="005A76BF" w:rsidP="00643D86">
      <w:r>
        <w:rPr>
          <w:b/>
        </w:rPr>
        <w:t>Ansvarigt statsråd</w:t>
      </w:r>
      <w:r>
        <w:rPr>
          <w:b/>
        </w:rPr>
        <w:br/>
      </w:r>
      <w:r>
        <w:rPr>
          <w:noProof/>
        </w:rPr>
        <w:t>Sven Erik Bucht</w:t>
      </w:r>
    </w:p>
    <w:p w14:paraId="3E09D03A" w14:textId="77777777" w:rsidR="008D6EFF" w:rsidRDefault="005A76BF" w:rsidP="00643D86">
      <w:r w:rsidRPr="00B44CE2">
        <w:rPr>
          <w:b/>
        </w:rPr>
        <w:t>Annotering</w:t>
      </w:r>
      <w:r>
        <w:rPr>
          <w:b/>
        </w:rPr>
        <w:br/>
      </w:r>
      <w:r w:rsidRPr="008D6EFF">
        <w:rPr>
          <w:b/>
        </w:rPr>
        <w:t>Avsikt med behandlingen i rådet:</w:t>
      </w:r>
      <w:r>
        <w:t xml:space="preserve"> Rådet föreslås att stödja beslutet att inte motsätta sig ett antagande av rättsakten. </w:t>
      </w:r>
    </w:p>
    <w:p w14:paraId="20D16D0F" w14:textId="77777777" w:rsidR="008D6EFF" w:rsidRDefault="005A76BF" w:rsidP="00643D86">
      <w:r w:rsidRPr="008D6EFF">
        <w:rPr>
          <w:b/>
        </w:rPr>
        <w:t>Hur regeringen ställer sig till den blivande A-punkten:</w:t>
      </w:r>
      <w:r>
        <w:t xml:space="preserve"> Regeringen stödjer beslutet att inte motsätta sig ett antagande av rättsakten. </w:t>
      </w:r>
    </w:p>
    <w:p w14:paraId="247E8E7E" w14:textId="1D51997D" w:rsidR="00643D86" w:rsidRDefault="005A76BF" w:rsidP="00643D86">
      <w:r w:rsidRPr="008D6EFF">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247E8E7F" w14:textId="77777777" w:rsidR="00643D86" w:rsidRDefault="005A76BF" w:rsidP="00643D86">
      <w:pPr>
        <w:pStyle w:val="Rubrik1"/>
      </w:pPr>
      <w:bookmarkStart w:id="6" w:name="_Toc256000012"/>
      <w:r>
        <w:rPr>
          <w:noProof/>
        </w:rPr>
        <w:lastRenderedPageBreak/>
        <w:t>Commission Regulation (EU) No …/.. of XXX laying down methods of sampling and performance criteria for the methods of analysis for the official control of the levels of erucic acid in foodstuffs and repealing Commission Directive 80/891/EEC</w:t>
      </w:r>
      <w:bookmarkEnd w:id="6"/>
    </w:p>
    <w:p w14:paraId="5E7A1D5C" w14:textId="77777777" w:rsidR="008D6EFF" w:rsidRDefault="005A76BF" w:rsidP="00643D86">
      <w:pPr>
        <w:rPr>
          <w:lang w:val="en-US"/>
        </w:rPr>
      </w:pPr>
      <w:r>
        <w:rPr>
          <w:noProof/>
          <w:lang w:val="en-US"/>
        </w:rPr>
        <w:t>Decision</w:t>
      </w:r>
      <w:r>
        <w:rPr>
          <w:lang w:val="en-US"/>
        </w:rPr>
        <w:t xml:space="preserve"> not to oppose adoption</w:t>
      </w:r>
    </w:p>
    <w:p w14:paraId="247E8E80" w14:textId="5E471E58" w:rsidR="00643D86" w:rsidRDefault="005A76BF" w:rsidP="00643D86">
      <w:pPr>
        <w:rPr>
          <w:lang w:val="en-US"/>
        </w:rPr>
      </w:pPr>
      <w:r>
        <w:rPr>
          <w:noProof/>
          <w:lang w:val="en-US"/>
        </w:rPr>
        <w:t>5747</w:t>
      </w:r>
      <w:r>
        <w:rPr>
          <w:lang w:val="en-US"/>
        </w:rPr>
        <w:t>/15 DENLEG 25 AGRI 43 SAN 32 + ADD 1</w:t>
      </w:r>
      <w:r w:rsidR="008D6EFF">
        <w:rPr>
          <w:lang w:val="en-US"/>
        </w:rPr>
        <w:t xml:space="preserve"> </w:t>
      </w:r>
      <w:r>
        <w:rPr>
          <w:lang w:val="en-US"/>
        </w:rPr>
        <w:t>6159/15 DENLEG 29 AGRI 58 SAN 45</w:t>
      </w:r>
    </w:p>
    <w:p w14:paraId="247E8E81" w14:textId="77777777" w:rsidR="00643D86" w:rsidRDefault="005A76BF" w:rsidP="00643D86">
      <w:r>
        <w:rPr>
          <w:b/>
        </w:rPr>
        <w:t>Ansvarigt statsråd</w:t>
      </w:r>
      <w:r>
        <w:rPr>
          <w:b/>
        </w:rPr>
        <w:br/>
      </w:r>
      <w:r>
        <w:rPr>
          <w:noProof/>
        </w:rPr>
        <w:t>Sven Erik Bucht</w:t>
      </w:r>
    </w:p>
    <w:p w14:paraId="46B3BDC5" w14:textId="77777777" w:rsidR="008D6EFF" w:rsidRDefault="005A76BF" w:rsidP="00643D86">
      <w:r w:rsidRPr="00B44CE2">
        <w:rPr>
          <w:b/>
        </w:rPr>
        <w:t>Annotering</w:t>
      </w:r>
      <w:r>
        <w:rPr>
          <w:b/>
        </w:rPr>
        <w:br/>
      </w:r>
      <w:r w:rsidRPr="008D6EFF">
        <w:rPr>
          <w:b/>
        </w:rPr>
        <w:t>Avsikt med behandlingen i rådet:</w:t>
      </w:r>
      <w:r>
        <w:t xml:space="preserve"> Rådet föreslås att stödja beslutet att inte motsätta sig ett antagande av rättsakten. </w:t>
      </w:r>
    </w:p>
    <w:p w14:paraId="3EF49861" w14:textId="77777777" w:rsidR="008D6EFF" w:rsidRDefault="005A76BF" w:rsidP="00643D86">
      <w:r w:rsidRPr="008D6EFF">
        <w:rPr>
          <w:b/>
        </w:rPr>
        <w:t>Hur regeringen ställer sig till den blivande A-punkten:</w:t>
      </w:r>
      <w:r>
        <w:t xml:space="preserve"> Regeringen stödjer beslutet att inte motsätta sig ett antagande av rättsakten. </w:t>
      </w:r>
    </w:p>
    <w:p w14:paraId="247E8E84" w14:textId="4886A75E" w:rsidR="00643D86" w:rsidRDefault="005A76BF" w:rsidP="00643D86">
      <w:r w:rsidRPr="008D6EFF">
        <w:rPr>
          <w:b/>
        </w:rPr>
        <w:t xml:space="preserve">Bakgrund: </w:t>
      </w:r>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247E8E85" w14:textId="77777777" w:rsidR="00643D86" w:rsidRDefault="005A76BF" w:rsidP="00643D86">
      <w:pPr>
        <w:pStyle w:val="Rubrik1"/>
      </w:pPr>
      <w:bookmarkStart w:id="7" w:name="_Toc256000013"/>
      <w:r>
        <w:rPr>
          <w:noProof/>
        </w:rPr>
        <w:t>Commission Regulation (EU) No … /.. of XXX amending the definition of specified risk material set out in Annex V to Regulation (EC) No 999/2001 of the European Parliament and of the Council laying down rules for the prevention, control and eradication of certain transmissible spongiform encephalopathies</w:t>
      </w:r>
      <w:bookmarkEnd w:id="7"/>
    </w:p>
    <w:p w14:paraId="70CF8ABA" w14:textId="77777777" w:rsidR="008D6EFF" w:rsidRDefault="005A76BF" w:rsidP="00643D86">
      <w:pPr>
        <w:rPr>
          <w:lang w:val="en-US"/>
        </w:rPr>
      </w:pPr>
      <w:r>
        <w:rPr>
          <w:noProof/>
          <w:lang w:val="en-US"/>
        </w:rPr>
        <w:t>Decision</w:t>
      </w:r>
      <w:r>
        <w:rPr>
          <w:lang w:val="en-US"/>
        </w:rPr>
        <w:t xml:space="preserve"> not to oppose adoption </w:t>
      </w:r>
    </w:p>
    <w:p w14:paraId="247E8E86" w14:textId="7CF3D6BB" w:rsidR="00643D86" w:rsidRDefault="005A76BF" w:rsidP="00643D86">
      <w:pPr>
        <w:rPr>
          <w:lang w:val="en-US"/>
        </w:rPr>
      </w:pPr>
      <w:r>
        <w:rPr>
          <w:noProof/>
          <w:lang w:val="en-US"/>
        </w:rPr>
        <w:t>5625</w:t>
      </w:r>
      <w:r>
        <w:rPr>
          <w:lang w:val="en-US"/>
        </w:rPr>
        <w:t>/15 AGRILEG 12 VETER 5</w:t>
      </w:r>
      <w:r w:rsidR="008D6EFF">
        <w:rPr>
          <w:lang w:val="en-US"/>
        </w:rPr>
        <w:t xml:space="preserve"> </w:t>
      </w:r>
      <w:r>
        <w:rPr>
          <w:lang w:val="en-US"/>
        </w:rPr>
        <w:t>6212/15 AGRILEG 28 VETER 10</w:t>
      </w:r>
    </w:p>
    <w:p w14:paraId="247E8E87" w14:textId="77777777" w:rsidR="00643D86" w:rsidRDefault="005A76BF" w:rsidP="00643D86">
      <w:r>
        <w:rPr>
          <w:b/>
        </w:rPr>
        <w:t>Ansvarigt statsråd</w:t>
      </w:r>
      <w:r>
        <w:rPr>
          <w:b/>
        </w:rPr>
        <w:br/>
      </w:r>
      <w:r>
        <w:rPr>
          <w:noProof/>
        </w:rPr>
        <w:t>Sven Erik Bucht</w:t>
      </w:r>
    </w:p>
    <w:p w14:paraId="76E76B23" w14:textId="77777777" w:rsidR="008D6EFF" w:rsidRDefault="005A76BF" w:rsidP="00643D86">
      <w:r w:rsidRPr="00B44CE2">
        <w:rPr>
          <w:b/>
        </w:rPr>
        <w:t>Annotering</w:t>
      </w:r>
      <w:r>
        <w:rPr>
          <w:b/>
        </w:rPr>
        <w:br/>
      </w:r>
      <w:r w:rsidRPr="008D6EFF">
        <w:rPr>
          <w:b/>
        </w:rPr>
        <w:t>Avsikt med behandlingen i rådet:</w:t>
      </w:r>
      <w:r>
        <w:t xml:space="preserve"> Rådet föreslås att stödja beslutet att inte motsätta sig ett antagande av rättsakten. </w:t>
      </w:r>
    </w:p>
    <w:p w14:paraId="7A91C652" w14:textId="77777777" w:rsidR="008D6EFF" w:rsidRDefault="005A76BF" w:rsidP="00643D86">
      <w:r w:rsidRPr="008D6EFF">
        <w:rPr>
          <w:b/>
        </w:rPr>
        <w:t>Hur regeringen ställer sig till den blivande A-punkten</w:t>
      </w:r>
      <w:r>
        <w:t xml:space="preserve">: Regeringen stödjer beslutet att inte motsätta sig ett antagande av rättsakten. </w:t>
      </w:r>
    </w:p>
    <w:p w14:paraId="247E8E8A" w14:textId="4572275B" w:rsidR="00643D86" w:rsidRDefault="005A76BF" w:rsidP="00643D86">
      <w:r w:rsidRPr="008D6EFF">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w:t>
      </w:r>
      <w:r>
        <w:lastRenderedPageBreak/>
        <w:t>avse att utkastet är förenligt med syftet med eller innehållet i den grundläggande rättsakten samt att det respekterar principerna om subsidiaritet och proportionalitet.</w:t>
      </w:r>
    </w:p>
    <w:p w14:paraId="247E8E8B" w14:textId="77777777" w:rsidR="00643D86" w:rsidRDefault="005A76BF" w:rsidP="00643D86">
      <w:pPr>
        <w:pStyle w:val="Rubrik1"/>
      </w:pPr>
      <w:bookmarkStart w:id="8" w:name="_Toc256000014"/>
      <w:r>
        <w:rPr>
          <w:noProof/>
        </w:rPr>
        <w:t>Commission Decision of XXX authorising the United Kingdom to derogate pursuant to Article 14(6) of Regulation (EC) No 216/2008 of the European Parliament and of the Council from certain common aviation safety rules concerning restraint systems on flight crew seats of helicopters used in commercial air transport operations</w:t>
      </w:r>
      <w:bookmarkEnd w:id="8"/>
    </w:p>
    <w:p w14:paraId="475CB9BB" w14:textId="77777777" w:rsidR="008D6EFF" w:rsidRDefault="005A76BF" w:rsidP="00643D86">
      <w:pPr>
        <w:rPr>
          <w:lang w:val="en-US"/>
        </w:rPr>
      </w:pPr>
      <w:r>
        <w:rPr>
          <w:noProof/>
          <w:lang w:val="en-US"/>
        </w:rPr>
        <w:t>Decision</w:t>
      </w:r>
      <w:r>
        <w:rPr>
          <w:lang w:val="en-US"/>
        </w:rPr>
        <w:t xml:space="preserve"> not to oppose adoption</w:t>
      </w:r>
    </w:p>
    <w:p w14:paraId="247E8E8C" w14:textId="53CF254B" w:rsidR="00643D86" w:rsidRDefault="005A76BF" w:rsidP="00643D86">
      <w:pPr>
        <w:rPr>
          <w:lang w:val="en-US"/>
        </w:rPr>
      </w:pPr>
      <w:r>
        <w:rPr>
          <w:noProof/>
          <w:lang w:val="en-US"/>
        </w:rPr>
        <w:t>5108</w:t>
      </w:r>
      <w:r>
        <w:rPr>
          <w:lang w:val="en-US"/>
        </w:rPr>
        <w:t>/15 AVIATION 2 5107/15 AVIATION 1</w:t>
      </w:r>
    </w:p>
    <w:p w14:paraId="247E8E8D" w14:textId="77777777" w:rsidR="00643D86" w:rsidRDefault="005A76BF" w:rsidP="00643D86">
      <w:r>
        <w:rPr>
          <w:b/>
        </w:rPr>
        <w:t>Ansvarigt statsråd</w:t>
      </w:r>
      <w:r>
        <w:rPr>
          <w:b/>
        </w:rPr>
        <w:br/>
      </w:r>
      <w:r>
        <w:rPr>
          <w:noProof/>
        </w:rPr>
        <w:t>Anna Johansson</w:t>
      </w:r>
    </w:p>
    <w:p w14:paraId="247E8E90" w14:textId="77777777" w:rsidR="00643D86" w:rsidRDefault="005A76BF" w:rsidP="00643D86">
      <w:r w:rsidRPr="00B44CE2">
        <w:rPr>
          <w:b/>
        </w:rPr>
        <w:t>Annotering</w:t>
      </w:r>
      <w:r>
        <w:rPr>
          <w:b/>
        </w:rPr>
        <w:br/>
      </w:r>
      <w:r>
        <w:rPr>
          <w:b/>
          <w:bCs/>
        </w:rPr>
        <w:t>Avsikt med behandlingen i rådet:</w:t>
      </w:r>
      <w:r>
        <w:t xml:space="preserve"> Beslut att inte motsätta sig ett antagande av kommissionens beslut. </w:t>
      </w:r>
    </w:p>
    <w:p w14:paraId="247E8E91" w14:textId="77777777" w:rsidR="004C151E" w:rsidRDefault="005A76BF">
      <w:pPr>
        <w:spacing w:after="280" w:afterAutospacing="1"/>
      </w:pPr>
      <w:r>
        <w:rPr>
          <w:b/>
          <w:bCs/>
        </w:rPr>
        <w:t>Hur regeringen ställer sig till den blivande A-punkten:</w:t>
      </w:r>
      <w:r>
        <w:t xml:space="preserve"> Regeringen kan stödja förslaget. </w:t>
      </w:r>
    </w:p>
    <w:p w14:paraId="247E8E93" w14:textId="1DBFE31B" w:rsidR="00FB32B9" w:rsidRDefault="005A76BF">
      <w:pPr>
        <w:spacing w:after="280" w:afterAutospacing="1"/>
        <w:rPr>
          <w:noProof/>
        </w:rPr>
      </w:pPr>
      <w:r>
        <w:rPr>
          <w:b/>
          <w:bCs/>
        </w:rPr>
        <w:t xml:space="preserve">Bakgrund: </w:t>
      </w:r>
      <w:r>
        <w:t>Kommissionens beslut gäller ett bemyndigande för UK att avvika från vissa gemensamma säkerhetsbestämmelser för luftfarten. Krav från oktober 2014 anger att det ska vara fyrpunktsbälten som fasthållningssystem på flygbesättningens säten i vissa helikoptrar, men av konstruktionsskäl kan inte detta installeras i två helikoptertyper, de har dock trepunktsbälten. UK avser därför att bevilja ett godkännande så att landets kommersiella flygoperatörer kan fortsätta att bedriva verksamhet med dessa två helikoptertyper.</w:t>
      </w:r>
    </w:p>
    <w:p w14:paraId="247E8E94" w14:textId="77777777" w:rsidR="00643D86" w:rsidRDefault="005A76BF" w:rsidP="00643D86">
      <w:pPr>
        <w:pStyle w:val="Rubrik1"/>
      </w:pPr>
      <w:bookmarkStart w:id="9" w:name="_Toc256000015"/>
      <w:r>
        <w:rPr>
          <w:noProof/>
        </w:rPr>
        <w:t>Commission Regulation (EU) No …/.. of XXX establishing a Network Code on Interoperability and Data Exchange Rules</w:t>
      </w:r>
      <w:bookmarkEnd w:id="9"/>
    </w:p>
    <w:p w14:paraId="051DC45B" w14:textId="77777777" w:rsidR="008D6EFF" w:rsidRDefault="005A76BF" w:rsidP="00643D86">
      <w:pPr>
        <w:rPr>
          <w:lang w:val="en-US"/>
        </w:rPr>
      </w:pPr>
      <w:r>
        <w:rPr>
          <w:noProof/>
          <w:lang w:val="en-US"/>
        </w:rPr>
        <w:t>Decision</w:t>
      </w:r>
      <w:r>
        <w:rPr>
          <w:lang w:val="en-US"/>
        </w:rPr>
        <w:t xml:space="preserve"> not to oppose adoption</w:t>
      </w:r>
    </w:p>
    <w:p w14:paraId="247E8E95" w14:textId="427B2E8D" w:rsidR="00643D86" w:rsidRDefault="005A76BF" w:rsidP="00643D86">
      <w:pPr>
        <w:rPr>
          <w:lang w:val="en-US"/>
        </w:rPr>
      </w:pPr>
      <w:r>
        <w:rPr>
          <w:noProof/>
          <w:lang w:val="en-US"/>
        </w:rPr>
        <w:t>16844</w:t>
      </w:r>
      <w:r>
        <w:rPr>
          <w:lang w:val="en-US"/>
        </w:rPr>
        <w:t>/14 ENER 510+ REV 1 (cs)+ ADD 1</w:t>
      </w:r>
      <w:r w:rsidR="008D6EFF">
        <w:rPr>
          <w:lang w:val="en-US"/>
        </w:rPr>
        <w:t xml:space="preserve"> </w:t>
      </w:r>
      <w:r>
        <w:rPr>
          <w:lang w:val="en-US"/>
        </w:rPr>
        <w:t>5347/1/15 REV 1 ENER 11</w:t>
      </w:r>
    </w:p>
    <w:p w14:paraId="247E8E96" w14:textId="77777777" w:rsidR="00643D86" w:rsidRDefault="005A76BF" w:rsidP="00643D86">
      <w:r>
        <w:rPr>
          <w:b/>
        </w:rPr>
        <w:t>Ansvarigt statsråd</w:t>
      </w:r>
      <w:r>
        <w:rPr>
          <w:b/>
        </w:rPr>
        <w:br/>
      </w:r>
      <w:r>
        <w:rPr>
          <w:noProof/>
        </w:rPr>
        <w:t>Ibrahim Baylan</w:t>
      </w:r>
    </w:p>
    <w:p w14:paraId="247E8E9A" w14:textId="7B2C3C08" w:rsidR="004C151E" w:rsidRDefault="005A76BF" w:rsidP="008D6EFF">
      <w:r w:rsidRPr="00B44CE2">
        <w:rPr>
          <w:b/>
        </w:rPr>
        <w:t>Annotering</w:t>
      </w:r>
      <w:r>
        <w:rPr>
          <w:b/>
        </w:rPr>
        <w:br/>
      </w:r>
      <w:r>
        <w:rPr>
          <w:b/>
          <w:bCs/>
        </w:rPr>
        <w:t>Avsikt med behandlingen i rådet:</w:t>
      </w:r>
      <w:r>
        <w:t xml:space="preserve"> Rådet föreslås inte motsätta sig ett antagande av nätkoden. </w:t>
      </w:r>
    </w:p>
    <w:p w14:paraId="247E8E9C" w14:textId="78162FF3" w:rsidR="004C151E" w:rsidRDefault="005A76BF">
      <w:pPr>
        <w:spacing w:after="280" w:afterAutospacing="1"/>
      </w:pPr>
      <w:r>
        <w:rPr>
          <w:b/>
          <w:bCs/>
        </w:rPr>
        <w:t>Hur regeringen ställer sig till den blivande A-punkten:</w:t>
      </w:r>
      <w:r>
        <w:t xml:space="preserve"> Regeringen avser rösta ja. </w:t>
      </w:r>
    </w:p>
    <w:p w14:paraId="247E8E9E" w14:textId="158B7986" w:rsidR="004C151E" w:rsidRDefault="005A76BF">
      <w:pPr>
        <w:spacing w:after="280" w:afterAutospacing="1"/>
      </w:pPr>
      <w:r>
        <w:rPr>
          <w:b/>
          <w:bCs/>
        </w:rPr>
        <w:t>Bakgrund:</w:t>
      </w:r>
      <w:r>
        <w:t xml:space="preserve"> Bakgrund: Arbetet med att fullborda det tredje inre marknadspaketet för energi bedrivs nu med full kraft med sikte på ett genomförande till 2015. Gällande direktiv och förordningar förutsätter att regelverket kompletteras med en detaljreglering för harmoniserad marknadsdesign. Den består av ramriktlinjer som ACER tar fram enligt art 6.4 förordning (EG) nr 713/2009 av den 13 juli 2009 (byråförordningen) kompletterade av nätkoder (nätföreskrifter)som ENTSOG tar fram enligt 8.6 förordning (EG) nr 715/2009 av den 13 juli 2009 (gasförordningen). Processen avslutas med beslut i kommittologi enligt art 28.2 gasförordningen i Gaskommittén. </w:t>
      </w:r>
    </w:p>
    <w:p w14:paraId="247E8E9F" w14:textId="77777777" w:rsidR="004C151E" w:rsidRDefault="005A76BF">
      <w:pPr>
        <w:spacing w:after="280" w:afterAutospacing="1"/>
      </w:pPr>
      <w:r>
        <w:lastRenderedPageBreak/>
        <w:t xml:space="preserve">Nätkoden Interoperabilitet innehåller regler för sammanlänkningsavtal, enheter, gaskvalitet, odörisering och informationsutbyte. Den syftar till att underlätta den gränsöverskridande handeln med gas. SE har inga problem med förslaget till nätkod och anser att den snarast bör genomföras. </w:t>
      </w:r>
    </w:p>
    <w:p w14:paraId="7FF4FB76" w14:textId="791C99B3" w:rsidR="008D6EFF" w:rsidRDefault="005A76BF">
      <w:pPr>
        <w:spacing w:after="280" w:afterAutospacing="1"/>
      </w:pPr>
      <w:r>
        <w:t xml:space="preserve">Förslaget till nätkod </w:t>
      </w:r>
      <w:r w:rsidR="00A276BC">
        <w:t>togs</w:t>
      </w:r>
      <w:r>
        <w:t xml:space="preserve"> upp för behandling vid Coreper 28 jan för beslut att inte motsätta sig ett antagande. Därvid motsatte sig FR beslutet med hänvisning till att art 19.4 i förslaget inte var förenligt med bl.a. proportionalitets- och subsidiaritetsprinciperna. ES ansåg å sin sida att den ifrågasatta default regeln i den aktuella artikeln inte var tillräckligt stringent och att den saknade tillräckliga incitament för parterna att komma överens. Ordf. beslutade härefter att frågan skulle återlämnas till rådsarbetsgruppen för energi för förnyad behandling och för ett utlåtande från Rådets Rättstjänst (RRT) beträffande det föreskrivande förfarandet med kontroll. </w:t>
      </w:r>
    </w:p>
    <w:p w14:paraId="247E8EA0" w14:textId="745FD29A" w:rsidR="004C151E" w:rsidRDefault="005A76BF">
      <w:pPr>
        <w:spacing w:after="280" w:afterAutospacing="1"/>
      </w:pPr>
      <w:r>
        <w:t xml:space="preserve">RRT redovisade sin rättliga analys vid rådsarbetsgruppen för energi 17 februari. Man fann att kommissionens förslag hade tagits fram enligt de processer som fastslagits för det föreskrivande förfarandet med kontroll, att det uppfyller syftet och att det var förenligt med proportionalitets- och subsidiaritetsprincipen. Därmed saknades juridiska hinder för beslut. </w:t>
      </w:r>
    </w:p>
    <w:p w14:paraId="247E8EA2" w14:textId="69C792CC" w:rsidR="00FB32B9" w:rsidRDefault="005A76BF">
      <w:pPr>
        <w:spacing w:after="280" w:afterAutospacing="1"/>
        <w:rPr>
          <w:noProof/>
        </w:rPr>
      </w:pPr>
      <w:r>
        <w:t>Ordf. kunde konstatera att det saknades en kvalificerad majoritet för FR förslag att ej anta beslutet. Därmed kan förslaget på nytt tas upp för antagande på Coreper den 27 februari som en I/A-punkt. Till beslutet ska det dock fogas en not som redogör för FR och ES invändningar.</w:t>
      </w:r>
    </w:p>
    <w:p w14:paraId="247E8EA3" w14:textId="77777777" w:rsidR="00643D86" w:rsidRDefault="005A76BF" w:rsidP="00643D86">
      <w:pPr>
        <w:pStyle w:val="Rubrik1"/>
      </w:pPr>
      <w:bookmarkStart w:id="10" w:name="_Toc256000016"/>
      <w:r>
        <w:rPr>
          <w:noProof/>
        </w:rPr>
        <w:t>Proposal for a Council Decision establishing the position to be adopted on the Union's behalf in the relevant Committees of the United Nations Economic Commission for Europe as regards the proposals for amendments to UN Regulations Nos. 7, 13, 23, 37, 38, 41, 43, 45, 51, 55, 59, 75, 78, 98, 99, 106, 107, 110, 112, 113, 117, 119, 123, 128, 129, on Amendment 2 to UN GTR No. 3 with regard to motorcycle braking, on Amendment 3 to UN GTR No. 4 with regard to the Worldwide Heavy-Duty Certification procedure</w:t>
      </w:r>
      <w:bookmarkEnd w:id="10"/>
    </w:p>
    <w:p w14:paraId="40E41128" w14:textId="77777777" w:rsidR="00A276BC" w:rsidRDefault="005A76BF" w:rsidP="00643D86">
      <w:pPr>
        <w:rPr>
          <w:noProof/>
          <w:lang w:val="en-US"/>
        </w:rPr>
      </w:pPr>
      <w:r>
        <w:rPr>
          <w:noProof/>
          <w:lang w:val="en-US"/>
        </w:rPr>
        <w:t>Adoption</w:t>
      </w:r>
      <w:r w:rsidR="00A276BC">
        <w:rPr>
          <w:noProof/>
          <w:lang w:val="en-US"/>
        </w:rPr>
        <w:t xml:space="preserve"> </w:t>
      </w:r>
    </w:p>
    <w:p w14:paraId="247E8EA4" w14:textId="3F6861C5" w:rsidR="00643D86" w:rsidRDefault="005A76BF" w:rsidP="00643D86">
      <w:pPr>
        <w:rPr>
          <w:lang w:val="en-US"/>
        </w:rPr>
      </w:pPr>
      <w:r>
        <w:rPr>
          <w:noProof/>
          <w:lang w:val="en-US"/>
        </w:rPr>
        <w:t>6218</w:t>
      </w:r>
      <w:r>
        <w:rPr>
          <w:lang w:val="en-US"/>
        </w:rPr>
        <w:t>/15 ECO 18 ENT 23 MI 84 UNECE 1+ ADD 16244/15 ECO 19 ENT 24 MI 86 UNECE 2</w:t>
      </w:r>
    </w:p>
    <w:p w14:paraId="247E8EA5" w14:textId="77777777" w:rsidR="00643D86" w:rsidRDefault="005A76BF" w:rsidP="00643D86">
      <w:r>
        <w:rPr>
          <w:b/>
        </w:rPr>
        <w:t>Ansvarigt statsråd</w:t>
      </w:r>
      <w:r>
        <w:rPr>
          <w:b/>
        </w:rPr>
        <w:br/>
      </w:r>
      <w:r>
        <w:rPr>
          <w:noProof/>
        </w:rPr>
        <w:t>Anna Johansson</w:t>
      </w:r>
    </w:p>
    <w:p w14:paraId="247E8EAA" w14:textId="140C376A" w:rsidR="004C151E" w:rsidRDefault="005A76BF" w:rsidP="00A276BC">
      <w:r w:rsidRPr="00B44CE2">
        <w:rPr>
          <w:b/>
        </w:rPr>
        <w:t>Annotering</w:t>
      </w:r>
      <w:r>
        <w:rPr>
          <w:b/>
        </w:rPr>
        <w:br/>
      </w:r>
      <w:r>
        <w:rPr>
          <w:b/>
          <w:bCs/>
        </w:rPr>
        <w:t>Avsikt med behandlingen i rådet:</w:t>
      </w:r>
      <w:r>
        <w:t xml:space="preserve"> Rådet väntas anta förslag till rådets beslut om en gemensam ståndpunkt. </w:t>
      </w:r>
    </w:p>
    <w:p w14:paraId="247E8EAC" w14:textId="465FDD2D" w:rsidR="004C151E" w:rsidRDefault="005A76BF">
      <w:pPr>
        <w:spacing w:after="280" w:afterAutospacing="1"/>
      </w:pPr>
      <w:r>
        <w:rPr>
          <w:b/>
          <w:bCs/>
        </w:rPr>
        <w:t>Hur regeringen ställer sig till den blivande A-punkten:</w:t>
      </w:r>
      <w:r>
        <w:t xml:space="preserve"> Regeringen avser att godkänna förslaget till rådsbeslut om fastställande av en gemensam ståndpunkt.</w:t>
      </w:r>
    </w:p>
    <w:p w14:paraId="247E8EAE" w14:textId="143F75B8" w:rsidR="004C151E" w:rsidRDefault="005A76BF">
      <w:pPr>
        <w:spacing w:after="280" w:afterAutospacing="1"/>
      </w:pPr>
      <w:r>
        <w:rPr>
          <w:b/>
          <w:bCs/>
        </w:rPr>
        <w:t>Bakgrund:</w:t>
      </w:r>
      <w:r w:rsidR="00A276BC">
        <w:rPr>
          <w:b/>
          <w:bCs/>
        </w:rPr>
        <w:t xml:space="preserve"> </w:t>
      </w:r>
      <w:r>
        <w:t xml:space="preserve">Förenta nationernas ekonomiska kommission för Europa (UNECE) arbetar på internationell nivå med att framarbeta harmoniserade krav i syfte att avlägsna tekniska hinder för handeln med motorfordon enligt 1958-års överenskommelse. Överenskommelsen syftar till </w:t>
      </w:r>
      <w:r>
        <w:lastRenderedPageBreak/>
        <w:t xml:space="preserve">att säkerställa att fordonen håller fullgod säkerhet och miljövänlighet genom s.k. typgodkännanden. </w:t>
      </w:r>
    </w:p>
    <w:p w14:paraId="247E8EAF" w14:textId="77777777" w:rsidR="004C151E" w:rsidRDefault="005A76BF">
      <w:pPr>
        <w:spacing w:after="280" w:afterAutospacing="1"/>
      </w:pPr>
      <w:r>
        <w:t xml:space="preserve">I det nu föreslagna rådsbeslutet fastställs vilken ståndpunkt EU ska inta rörande de ändringar, supplement och rättelser som läggs fram för omröstning vid 2015 års möte i WP29 den 10–13 mars 2015. Ett rådsbeslut, ett så kallat megabeslut, som innehåller en förteckning över ändringar, supplement och rättelser, utarbetas varje gång och gör det möjligt för EU-kommissionen att rösta på EU:s vägnar. De nu aktuella ändringarna innebär tekniska uppdateringar ett antal reglementen. </w:t>
      </w:r>
    </w:p>
    <w:p w14:paraId="247E8EB1" w14:textId="3DE9897D" w:rsidR="00FB32B9" w:rsidRDefault="005A76BF">
      <w:pPr>
        <w:spacing w:after="280" w:afterAutospacing="1"/>
        <w:rPr>
          <w:noProof/>
        </w:rPr>
      </w:pPr>
      <w:r>
        <w:t>Inom EU finns ett ramdirektiv, 2007/46/EG, för godkännande av motorfordon inom EU. På teknisk nivå hänvisar dock EU-direktivet vanligen till Uneceföreskrifter vid EU-typgodkännande av fordon.</w:t>
      </w:r>
    </w:p>
    <w:p w14:paraId="247E8EB2" w14:textId="77777777" w:rsidR="00643D86" w:rsidRDefault="005A76BF" w:rsidP="00643D86">
      <w:pPr>
        <w:pStyle w:val="Rubrik1"/>
      </w:pPr>
      <w:bookmarkStart w:id="11" w:name="_Toc256000017"/>
      <w:r>
        <w:rPr>
          <w:noProof/>
        </w:rPr>
        <w:t>Proposal for a Council Decision establishing the position to be adopted on behalf of the European Union within the seventh meeting of the Conference of the Parties to the Rotterdam Convention as regards the amendments of Annex III to the Rotterdam Convention on the Prior Informed Consent Procedure for certain hazardous chemicals and pesticides in international trade</w:t>
      </w:r>
      <w:bookmarkEnd w:id="11"/>
    </w:p>
    <w:p w14:paraId="31C1B189" w14:textId="77777777" w:rsidR="00A276BC" w:rsidRDefault="005A76BF" w:rsidP="00643D86">
      <w:pPr>
        <w:rPr>
          <w:noProof/>
          <w:lang w:val="en-US"/>
        </w:rPr>
      </w:pPr>
      <w:r>
        <w:rPr>
          <w:noProof/>
          <w:lang w:val="en-US"/>
        </w:rPr>
        <w:t>Adoption</w:t>
      </w:r>
      <w:r w:rsidR="00A276BC">
        <w:rPr>
          <w:noProof/>
          <w:lang w:val="en-US"/>
        </w:rPr>
        <w:t xml:space="preserve"> </w:t>
      </w:r>
    </w:p>
    <w:p w14:paraId="247E8EB3" w14:textId="36C33917" w:rsidR="00643D86" w:rsidRDefault="005A76BF" w:rsidP="00643D86">
      <w:pPr>
        <w:rPr>
          <w:lang w:val="en-US"/>
        </w:rPr>
      </w:pPr>
      <w:r>
        <w:rPr>
          <w:noProof/>
          <w:lang w:val="en-US"/>
        </w:rPr>
        <w:t>5878</w:t>
      </w:r>
      <w:r>
        <w:rPr>
          <w:lang w:val="en-US"/>
        </w:rPr>
        <w:t>/15 ENV 37 MI 61 WTO 36 CHIMIE 5</w:t>
      </w:r>
      <w:r w:rsidR="00A276BC">
        <w:rPr>
          <w:lang w:val="en-US"/>
        </w:rPr>
        <w:t xml:space="preserve"> </w:t>
      </w:r>
      <w:r>
        <w:rPr>
          <w:lang w:val="en-US"/>
        </w:rPr>
        <w:t>6269/15 ENV 56 MI 87 WTO 48 CHIMIE 6</w:t>
      </w:r>
    </w:p>
    <w:p w14:paraId="247E8EB4" w14:textId="77777777" w:rsidR="00643D86" w:rsidRDefault="005A76BF" w:rsidP="00643D86">
      <w:r>
        <w:rPr>
          <w:b/>
        </w:rPr>
        <w:t>Ansvarigt statsråd</w:t>
      </w:r>
      <w:r>
        <w:rPr>
          <w:b/>
        </w:rPr>
        <w:br/>
      </w:r>
      <w:r>
        <w:rPr>
          <w:noProof/>
        </w:rPr>
        <w:t>Åsa Romson</w:t>
      </w:r>
    </w:p>
    <w:p w14:paraId="247E8EB7" w14:textId="28DA821D" w:rsidR="00643D86" w:rsidRDefault="005A76BF" w:rsidP="00643D86">
      <w:r w:rsidRPr="00B44CE2">
        <w:rPr>
          <w:b/>
        </w:rPr>
        <w:t>Annotering</w:t>
      </w:r>
      <w:r>
        <w:rPr>
          <w:b/>
        </w:rPr>
        <w:br/>
      </w:r>
      <w:r>
        <w:rPr>
          <w:b/>
          <w:bCs/>
        </w:rPr>
        <w:t xml:space="preserve">Avsikt med behandlingen i rådet: </w:t>
      </w:r>
      <w:r>
        <w:t xml:space="preserve">Rådet föreslås godkänna </w:t>
      </w:r>
      <w:r w:rsidR="00A276BC">
        <w:t>rådsbeslutet</w:t>
      </w:r>
      <w:r>
        <w:t xml:space="preserve"> om ett förhandlingsmandat för Kommissionen att förhandla ytterligare listning av ämne i Rotterdamkonventionen om förfarandet med förhandsgodkännande för vissa kemikalier och bekämpningsmedel i internationell handel, den s.k. PIC-proceduren (Prior Informed Consent). </w:t>
      </w:r>
    </w:p>
    <w:p w14:paraId="247E8EB8" w14:textId="3704AE30" w:rsidR="004C151E" w:rsidRDefault="005A76BF">
      <w:pPr>
        <w:spacing w:after="280" w:afterAutospacing="1"/>
      </w:pPr>
      <w:r>
        <w:rPr>
          <w:b/>
          <w:bCs/>
        </w:rPr>
        <w:t>Hur regeringen ställer sig till den blivande A-punkten:</w:t>
      </w:r>
      <w:r>
        <w:t xml:space="preserve"> Regeringen avser rösta ja till att Rådet godkänner beslutet. </w:t>
      </w:r>
    </w:p>
    <w:p w14:paraId="247E8EB9" w14:textId="3FD44DA4" w:rsidR="004C151E" w:rsidRDefault="005A76BF">
      <w:pPr>
        <w:spacing w:after="280" w:afterAutospacing="1"/>
      </w:pPr>
      <w:r>
        <w:rPr>
          <w:b/>
          <w:bCs/>
        </w:rPr>
        <w:t xml:space="preserve">Bakgrund: </w:t>
      </w:r>
      <w:r>
        <w:t xml:space="preserve">Rådsbeslutet handlar om ett förhandlingsmandat för Kommissionen inför Partsmötet (COP) för Rotterdamkonventionen vilken äger rum i Genève, i maj 2015. </w:t>
      </w:r>
      <w:r>
        <w:br/>
        <w:t>Rotterdamkonventionen inrättar ett förfarande med förhandsgodkännande för vissa kemikalier och bekämpningsmedel i internationell handel, den s.k. PIC-proceduren (Prior Informed Consent). Konventionens sjunde partsmöte (COP7) kommer att hållas i Genève 4-15 maj 2015 tillsammans med COP7 för Stockholmskonventionen, COP12 för Baselkonventionen och en gemensam session för all tre konventionerna.</w:t>
      </w:r>
    </w:p>
    <w:p w14:paraId="247E8EBB" w14:textId="42D37275" w:rsidR="00FB32B9" w:rsidRDefault="005A76BF">
      <w:pPr>
        <w:spacing w:after="280" w:afterAutospacing="1"/>
        <w:rPr>
          <w:noProof/>
        </w:rPr>
      </w:pPr>
      <w:r>
        <w:t xml:space="preserve">Beslutet följer rekommendationen från konventionens undersökningskommitté för kemikalier, CRC, att i bilaga III till Rotterdamkonventionen lägga till krysotilasbest, metamidofos, triklorfon, fention (beredningar med ultralåg volym (ULV) med minst 640 gram verksamt ämne per liter) samt beredningar i vätskeform (emulsionskoncentrat och vattenlösligt koncentrat) innehållande minst 276 g/l parakvatdiklorid, vilket motsvarar en </w:t>
      </w:r>
      <w:r>
        <w:lastRenderedPageBreak/>
        <w:t>parakvatjonkoncentration på minst 200 g/l. Dessa ämnen är redan förbjudna eller deras användning är kraftigt begränsad i unionen och de är därför försedda med exportförbud, vilket går utöver vad som krävs i Rotterdamkonvention.</w:t>
      </w:r>
    </w:p>
    <w:p w14:paraId="247E8EBC" w14:textId="77777777" w:rsidR="00643D86" w:rsidRDefault="005A76BF" w:rsidP="00643D86">
      <w:pPr>
        <w:pStyle w:val="Rubrik1"/>
      </w:pPr>
      <w:bookmarkStart w:id="12" w:name="_Toc256000018"/>
      <w:r>
        <w:rPr>
          <w:noProof/>
        </w:rPr>
        <w:t>Proposal for a Council Decision concerning the accession of the European Union to the Convention on International Trade in Endangered Species of Wild Fauna and Flora (CITES)</w:t>
      </w:r>
      <w:bookmarkEnd w:id="12"/>
    </w:p>
    <w:p w14:paraId="6F4D7289" w14:textId="77777777" w:rsidR="00A276BC" w:rsidRDefault="005A76BF" w:rsidP="00643D86">
      <w:pPr>
        <w:rPr>
          <w:noProof/>
          <w:lang w:val="en-US"/>
        </w:rPr>
      </w:pPr>
      <w:r>
        <w:rPr>
          <w:noProof/>
          <w:lang w:val="en-US"/>
        </w:rPr>
        <w:t>Adoption</w:t>
      </w:r>
    </w:p>
    <w:p w14:paraId="247E8EBD" w14:textId="0E848133" w:rsidR="00643D86" w:rsidRDefault="005A76BF" w:rsidP="00643D86">
      <w:pPr>
        <w:rPr>
          <w:lang w:val="en-US"/>
        </w:rPr>
      </w:pPr>
      <w:r>
        <w:rPr>
          <w:noProof/>
          <w:lang w:val="en-US"/>
        </w:rPr>
        <w:t>9412</w:t>
      </w:r>
      <w:r>
        <w:rPr>
          <w:lang w:val="en-US"/>
        </w:rPr>
        <w:t>/14 ENV 429 WTO 162 ADD 1 + ADD 1 COR 1 (de) 9412/2/14 ENV 429 WTO 162 REV 2 6139/15 ENV 49 WTO 46 + ADD 1</w:t>
      </w:r>
    </w:p>
    <w:p w14:paraId="247E8EBE" w14:textId="77777777" w:rsidR="00643D86" w:rsidRDefault="005A76BF" w:rsidP="00643D86">
      <w:r>
        <w:rPr>
          <w:b/>
        </w:rPr>
        <w:t>Ansvarigt statsråd</w:t>
      </w:r>
      <w:r>
        <w:rPr>
          <w:b/>
        </w:rPr>
        <w:br/>
      </w:r>
      <w:r>
        <w:rPr>
          <w:noProof/>
        </w:rPr>
        <w:t>Åsa Romson</w:t>
      </w:r>
    </w:p>
    <w:p w14:paraId="247E8EC2" w14:textId="38943D48" w:rsidR="004C151E" w:rsidRDefault="005A76BF" w:rsidP="00A276BC">
      <w:r w:rsidRPr="00B44CE2">
        <w:rPr>
          <w:b/>
        </w:rPr>
        <w:t>Annotering</w:t>
      </w:r>
      <w:r>
        <w:rPr>
          <w:b/>
        </w:rPr>
        <w:br/>
      </w:r>
      <w:r>
        <w:rPr>
          <w:b/>
          <w:bCs/>
        </w:rPr>
        <w:t>Avsikt med behandlingen i rådet:</w:t>
      </w:r>
      <w:r w:rsidR="00A276BC">
        <w:rPr>
          <w:b/>
          <w:bCs/>
        </w:rPr>
        <w:t xml:space="preserve"> </w:t>
      </w:r>
      <w:r>
        <w:t xml:space="preserve">Bekräfta att det inte finns anledning att motsätta sig antagande. </w:t>
      </w:r>
    </w:p>
    <w:p w14:paraId="247E8EC4" w14:textId="7A2CAA77" w:rsidR="004C151E" w:rsidRDefault="005A76BF">
      <w:pPr>
        <w:spacing w:after="280" w:afterAutospacing="1"/>
      </w:pPr>
      <w:r>
        <w:rPr>
          <w:b/>
          <w:bCs/>
        </w:rPr>
        <w:t>Hur regeringen ställer sig till den blivande A-punkten:</w:t>
      </w:r>
      <w:r>
        <w:t xml:space="preserve"> Regeringen avser att inte motsätta sig att anta kommissionens förordning (338/97) om skyddet av arter av vilda djur och växter genom kontroll av handeln med dem. </w:t>
      </w:r>
    </w:p>
    <w:p w14:paraId="247E8EC7" w14:textId="468F9095" w:rsidR="00FB32B9" w:rsidRDefault="005A76BF">
      <w:pPr>
        <w:spacing w:after="280" w:afterAutospacing="1"/>
        <w:rPr>
          <w:noProof/>
        </w:rPr>
      </w:pPr>
      <w:r>
        <w:rPr>
          <w:b/>
          <w:bCs/>
        </w:rPr>
        <w:t>Bakgrund:</w:t>
      </w:r>
      <w:r w:rsidR="00A276BC">
        <w:rPr>
          <w:b/>
          <w:bCs/>
        </w:rPr>
        <w:t xml:space="preserve"> </w:t>
      </w:r>
      <w:r>
        <w:t>I förordning nr 337/97 förtecknas djur- och växtarter för vilka handels är begränsad eller kontrollerad. Förteckningen innehåller de förteckningar som finns i bilagorna till konventionen om internationell handel med utrotningshotade djur och växter (Cites-konventionen). Då nya arter lagts till bilagorna till konventionen och uppfyller de kriterier för att föras upp på konventionen föreslår kommissionen genom förslaget till kommissionens förordning att motsvarande förändningar sker i rådets förordning 338/97. Frågan har behandlats i den berörda kommittén samt i rådsarbetsgruppen för miljö. </w:t>
      </w:r>
    </w:p>
    <w:p w14:paraId="247E8EC8" w14:textId="77777777" w:rsidR="00643D86" w:rsidRDefault="005A76BF" w:rsidP="00643D86">
      <w:pPr>
        <w:pStyle w:val="Rubrik1"/>
      </w:pPr>
      <w:bookmarkStart w:id="13" w:name="_Toc256000019"/>
      <w:r>
        <w:rPr>
          <w:noProof/>
        </w:rPr>
        <w:t>Proposal for a Directive of the European Parliament and of the Council amending Directive 2001/18/EC as regards the possibility for the Member States to restrict or prohibit the cultivation of genetically modified organisms (GMOs) in their territory (Second reading) (Legislative deliberation)</w:t>
      </w:r>
      <w:bookmarkEnd w:id="13"/>
    </w:p>
    <w:p w14:paraId="247E8EC9" w14:textId="5A080211" w:rsidR="00643D86" w:rsidRDefault="005A76BF" w:rsidP="00643D86">
      <w:pPr>
        <w:rPr>
          <w:lang w:val="en-US"/>
        </w:rPr>
      </w:pPr>
      <w:r>
        <w:rPr>
          <w:lang w:val="en-US"/>
        </w:rPr>
        <w:t>Approval of the European Parliament's amendments</w:t>
      </w:r>
      <w:r>
        <w:rPr>
          <w:lang w:val="en-US"/>
        </w:rPr>
        <w:br/>
      </w:r>
      <w:r>
        <w:rPr>
          <w:noProof/>
          <w:lang w:val="en-US"/>
        </w:rPr>
        <w:t>PE-CONS</w:t>
      </w:r>
      <w:r>
        <w:rPr>
          <w:lang w:val="en-US"/>
        </w:rPr>
        <w:t xml:space="preserve"> 1/15 AGRI 16 ENV 13 AGRILEG 7 DENLEG 12 MI 20 CODEC 46</w:t>
      </w:r>
    </w:p>
    <w:p w14:paraId="247E8ECA" w14:textId="77777777" w:rsidR="00643D86" w:rsidRDefault="005A76BF" w:rsidP="00643D86">
      <w:pPr>
        <w:rPr>
          <w:lang w:val="en-US"/>
        </w:rPr>
      </w:pPr>
      <w:r>
        <w:rPr>
          <w:lang w:val="en-US"/>
        </w:rPr>
        <w:t>6449/15 CODEC 232 AGRI 73 ENV 72 AGRILEG 34 DENLEG 32 MI 104</w:t>
      </w:r>
    </w:p>
    <w:p w14:paraId="247E8ECB" w14:textId="77777777" w:rsidR="00643D86" w:rsidRDefault="005A76BF" w:rsidP="00643D86">
      <w:r>
        <w:rPr>
          <w:b/>
        </w:rPr>
        <w:t>Ansvarigt statsråd</w:t>
      </w:r>
      <w:r>
        <w:rPr>
          <w:b/>
        </w:rPr>
        <w:br/>
      </w:r>
      <w:r>
        <w:rPr>
          <w:noProof/>
        </w:rPr>
        <w:t>Åsa Romson</w:t>
      </w:r>
    </w:p>
    <w:p w14:paraId="247E8ECC" w14:textId="77777777" w:rsidR="00643D86" w:rsidRPr="00643D86" w:rsidRDefault="005A76BF" w:rsidP="00643D86">
      <w:r w:rsidRPr="00643D86">
        <w:rPr>
          <w:b/>
        </w:rPr>
        <w:t>Tidigare behandling i riksdagen</w:t>
      </w:r>
      <w:r>
        <w:rPr>
          <w:b/>
        </w:rPr>
        <w:br/>
      </w:r>
      <w:r>
        <w:rPr>
          <w:noProof/>
        </w:rPr>
        <w:t>2014-01-23</w:t>
      </w:r>
    </w:p>
    <w:p w14:paraId="247E8ECD" w14:textId="77777777" w:rsidR="00643D86" w:rsidRPr="00643D86" w:rsidRDefault="005A76BF" w:rsidP="00643D86">
      <w:r w:rsidRPr="00643D86">
        <w:rPr>
          <w:b/>
        </w:rPr>
        <w:t>Tidigare behandling vid rådsmöte</w:t>
      </w:r>
      <w:r>
        <w:rPr>
          <w:b/>
        </w:rPr>
        <w:br/>
      </w:r>
      <w:r>
        <w:rPr>
          <w:noProof/>
        </w:rPr>
        <w:t>2014-06-12</w:t>
      </w:r>
    </w:p>
    <w:p w14:paraId="247E8ECE" w14:textId="77777777" w:rsidR="00643D86" w:rsidRDefault="005A76BF" w:rsidP="00643D86">
      <w:r w:rsidRPr="00B44CE2">
        <w:rPr>
          <w:b/>
        </w:rPr>
        <w:lastRenderedPageBreak/>
        <w:t>Annotering</w:t>
      </w:r>
      <w:r>
        <w:rPr>
          <w:b/>
        </w:rPr>
        <w:br/>
      </w:r>
      <w:r>
        <w:rPr>
          <w:b/>
          <w:bCs/>
        </w:rPr>
        <w:t xml:space="preserve">Avsikt med behandlingen i rådet: </w:t>
      </w:r>
      <w:r>
        <w:t xml:space="preserve">Besluta om nya regler för odling av GMO.  </w:t>
      </w:r>
    </w:p>
    <w:p w14:paraId="247E8ECF" w14:textId="77777777" w:rsidR="004C151E" w:rsidRDefault="005A76BF">
      <w:pPr>
        <w:spacing w:after="280" w:afterAutospacing="1"/>
      </w:pPr>
      <w:r>
        <w:rPr>
          <w:b/>
          <w:bCs/>
        </w:rPr>
        <w:t>Hur regeringen ställer sig till den blivande A-punkten:</w:t>
      </w:r>
      <w:r>
        <w:t xml:space="preserve"> Regeringen kan stödja förslaget. </w:t>
      </w:r>
    </w:p>
    <w:p w14:paraId="247E8ED1" w14:textId="44B30C2B" w:rsidR="00FB32B9" w:rsidRDefault="005A76BF">
      <w:pPr>
        <w:spacing w:after="280" w:afterAutospacing="1"/>
      </w:pPr>
      <w:r>
        <w:rPr>
          <w:b/>
          <w:bCs/>
        </w:rPr>
        <w:t xml:space="preserve">Bakgrund: </w:t>
      </w:r>
      <w:r>
        <w:t>I juli 2010 presenterade kommissionen ett förslag till en EU-förordning som tillfogar en artikel, 26b, till direktiv 2001/18/EG om avsiktlig utsättning av genetiskt modifierade organismer (GMO) i miljön. Förslaget ger medlemsstaterna möjlighet att begränsa eller förbjuda odling av GMO inom sina territorier även om den aktuella grödan har fått ett EU-godkännande för odling. Syftet med förslaget är förbättra direktiv 2001/18/EG och därmed få till en bättre fungerande GMO-lagstiftning för odling. Vid miljörådet den 12 juni antog miljöministrarna en politisk överenskommelse om ändring av GMO-direktivet. Den politiska överenskommelsen innebär att medlemsstaterna ges möjlighet att förbjuda eller begränsa odling av GMO inom sina territorier även om den aktuella grödan har fått ett godkännande för odling på EU-nivå. Sverige har i förhandlingen betonat handelsaspekten och vikten av att vetenskapliga bedömningar från fall till fall baserade på försiktighetsprincipen även fortsatt är kärnan i GMO-lagstiftningen. Överläggningar med miljö- och jordbruksutskottet och samråd med EU-nämnden har ägt rum vid flera tillfällen och senast i juni 2014.</w:t>
      </w:r>
    </w:p>
    <w:p w14:paraId="572F17DB" w14:textId="5E0B8939" w:rsidR="00A276BC" w:rsidRPr="00A276BC" w:rsidRDefault="00A276BC" w:rsidP="00A276BC">
      <w:pPr>
        <w:pStyle w:val="UDrubrik"/>
        <w:tabs>
          <w:tab w:val="left" w:pos="1701"/>
          <w:tab w:val="left" w:pos="1985"/>
        </w:tabs>
        <w:rPr>
          <w:rFonts w:cs="Arial"/>
          <w:sz w:val="28"/>
        </w:rPr>
      </w:pPr>
      <w:r w:rsidRPr="00A276BC">
        <w:rPr>
          <w:rFonts w:cs="Arial"/>
          <w:sz w:val="28"/>
        </w:rPr>
        <w:t>Färdigförhandlad II-punkt från möte i Coreper I den 20 februari 2015 som kan tas som a-punkt vid kommande rådsmöten.</w:t>
      </w:r>
    </w:p>
    <w:p w14:paraId="303050ED" w14:textId="77777777" w:rsidR="00A276BC" w:rsidRDefault="00A276BC" w:rsidP="00A276BC"/>
    <w:p w14:paraId="3F316182" w14:textId="59225248" w:rsidR="00A276BC" w:rsidRPr="005A76BF" w:rsidRDefault="00A276BC" w:rsidP="00A276BC">
      <w:pPr>
        <w:rPr>
          <w:b/>
          <w:bCs/>
          <w:noProof/>
          <w:szCs w:val="28"/>
        </w:rPr>
      </w:pPr>
      <w:r w:rsidRPr="005A76BF">
        <w:rPr>
          <w:b/>
          <w:bCs/>
          <w:noProof/>
          <w:szCs w:val="28"/>
        </w:rPr>
        <w:t>Proposal for a COUNCIL DECISION authorising Member States to ratify, in the interest of the European Union, the Protocol of 2014 to the Forced Labour Convention, 1930, of the International Labour Organisation with regard to matters related to judicial cooperation in criminal matters</w:t>
      </w:r>
    </w:p>
    <w:p w14:paraId="5BC179A6" w14:textId="77930341" w:rsidR="00A276BC" w:rsidRDefault="00A276BC" w:rsidP="00A276BC">
      <w:r w:rsidRPr="005A76BF">
        <w:rPr>
          <w:b/>
          <w:bCs/>
          <w:noProof/>
          <w:szCs w:val="28"/>
        </w:rPr>
        <w:t>Proposal for a COUNCIL DECISION authorising Member States to ratify, in the interest of the European Union, the Protocol of 2014 to the Forced Labour Convention, 1930, of the International Labour Organisation with regard to matters related to social policy</w:t>
      </w:r>
    </w:p>
    <w:p w14:paraId="0F0078DD" w14:textId="77777777" w:rsidR="00A276BC" w:rsidRDefault="00A276BC" w:rsidP="00A276BC">
      <w:r>
        <w:t>6171/15 SOC 73 EMPL 34 MIGR 7 JAI 89 6074/15 SOC 55 EMPL 21 MIGR 5 JAI 78 6075/15 SOC 56 EMPL 22 MIGR 6 JAI 79</w:t>
      </w:r>
    </w:p>
    <w:p w14:paraId="5B2B2C4E" w14:textId="2029681D" w:rsidR="00A276BC" w:rsidRDefault="00A276BC" w:rsidP="00A276BC">
      <w:r w:rsidRPr="00A276BC">
        <w:rPr>
          <w:b/>
        </w:rPr>
        <w:t>Ansvarigt statsråd:</w:t>
      </w:r>
      <w:r>
        <w:t xml:space="preserve"> Ylva Johansson </w:t>
      </w:r>
    </w:p>
    <w:p w14:paraId="3A695188" w14:textId="66DD7462" w:rsidR="00A276BC" w:rsidRDefault="00A276BC" w:rsidP="00A276BC">
      <w:r w:rsidRPr="00A276BC">
        <w:rPr>
          <w:b/>
        </w:rPr>
        <w:t>Annotering:</w:t>
      </w:r>
      <w:r>
        <w:rPr>
          <w:b/>
        </w:rPr>
        <w:br/>
      </w:r>
      <w:r w:rsidRPr="00A276BC">
        <w:rPr>
          <w:b/>
        </w:rPr>
        <w:t>Avsikt med behandlingen i rådet:</w:t>
      </w:r>
      <w:r>
        <w:t xml:space="preserve"> Rådet föreslås anta bemyndigandena.</w:t>
      </w:r>
    </w:p>
    <w:p w14:paraId="75699C54" w14:textId="77777777" w:rsidR="00A276BC" w:rsidRDefault="00A276BC" w:rsidP="00A276BC">
      <w:r w:rsidRPr="00A276BC">
        <w:rPr>
          <w:b/>
        </w:rPr>
        <w:t>Hur regeringen ställer sig till den blivande A-punkten:</w:t>
      </w:r>
      <w:r>
        <w:t xml:space="preserve"> Regeringen avser rösta ja till att rådet antar Förslag till RÅDETS BESLUT om bemyndigande för medlemsstaterna att i Europeiska unionens intresse ratificera 2014 års protokoll till Internationella arbetsorganisationens konvention om tvångsarbete från 1930, vad gäller frågor som rör socialpolitiken samt Förslag till RÅDETS BESLUT om bemyndigande för medlemsstaterna att i Europeiska unionens intresse ratificera 2014 års protokoll till Internationella arbetsorganisationens konvention om tvångsarbete från 1930, vad gäller frågor som rör straffrättsligt samarbete. </w:t>
      </w:r>
    </w:p>
    <w:p w14:paraId="6F9F3F1E" w14:textId="77777777" w:rsidR="00A276BC" w:rsidRDefault="00A276BC" w:rsidP="00A276BC">
      <w:r>
        <w:lastRenderedPageBreak/>
        <w:t xml:space="preserve">Bakgrund: ILO beslöt vid Arbetskonferensen 2014 att anta ett protokoll till ILO-konvention 29 om tvångsarbete. Protokollet berör EU-kompetens inom socialpolitikens område och det straffrättsliga samarbetet. Bemyndigandet avser artiklarna 1-4 i protokollet som är de substantiella artiklarna.  </w:t>
      </w:r>
    </w:p>
    <w:p w14:paraId="4B4564CC" w14:textId="27261E15" w:rsidR="00A276BC" w:rsidRDefault="00A276BC" w:rsidP="00A276BC">
      <w:r>
        <w:t>Kommissionen lade i september 2014 förslagen till rådsbeslut om bemyndigande</w:t>
      </w:r>
      <w:bookmarkStart w:id="14" w:name="_GoBack"/>
      <w:bookmarkEnd w:id="14"/>
      <w:r>
        <w:t xml:space="preserve">. Förslaget har behandlats i rådsstrukturen under hösten och vintern. En önskad kvalificerad majoritet för en principöverenskommelse om de två texterna nåddes i januari. </w:t>
      </w:r>
    </w:p>
    <w:p w14:paraId="4C305962" w14:textId="77777777" w:rsidR="00A276BC" w:rsidRDefault="00A276BC">
      <w:pPr>
        <w:spacing w:after="280" w:afterAutospacing="1"/>
        <w:rPr>
          <w:noProof/>
        </w:rPr>
      </w:pPr>
    </w:p>
    <w:bookmarkEnd w:id="0"/>
    <w:p w14:paraId="247E8ED2" w14:textId="77777777" w:rsidR="00643D86" w:rsidRPr="00643D86" w:rsidRDefault="008157CF"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E8EE4" w14:textId="77777777" w:rsidR="008F2684" w:rsidRDefault="005A76BF">
      <w:pPr>
        <w:spacing w:after="0" w:line="240" w:lineRule="auto"/>
      </w:pPr>
      <w:r>
        <w:separator/>
      </w:r>
    </w:p>
  </w:endnote>
  <w:endnote w:type="continuationSeparator" w:id="0">
    <w:p w14:paraId="247E8EE6" w14:textId="77777777" w:rsidR="008F2684" w:rsidRDefault="005A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E8EE0" w14:textId="77777777" w:rsidR="008F2684" w:rsidRDefault="005A76BF">
      <w:pPr>
        <w:spacing w:after="0" w:line="240" w:lineRule="auto"/>
      </w:pPr>
      <w:r>
        <w:separator/>
      </w:r>
    </w:p>
  </w:footnote>
  <w:footnote w:type="continuationSeparator" w:id="0">
    <w:p w14:paraId="247E8EE2" w14:textId="77777777" w:rsidR="008F2684" w:rsidRDefault="005A7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E8ED3" w14:textId="77777777" w:rsidR="006E71D7" w:rsidRDefault="008157CF" w:rsidP="006E71D7">
    <w:pPr>
      <w:pStyle w:val="Sidhuvud"/>
      <w:ind w:left="0"/>
    </w:pPr>
  </w:p>
  <w:p w14:paraId="247E8ED4" w14:textId="77777777" w:rsidR="006F1C0D" w:rsidRDefault="008157CF"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C151E" w14:paraId="247E8EDA" w14:textId="77777777" w:rsidTr="006E71D7">
      <w:tc>
        <w:tcPr>
          <w:tcW w:w="4606" w:type="dxa"/>
        </w:tcPr>
        <w:p w14:paraId="247E8ED5" w14:textId="77777777" w:rsidR="006E71D7" w:rsidRDefault="005A76BF" w:rsidP="00752770">
          <w:pPr>
            <w:pStyle w:val="Sidhuvud"/>
            <w:ind w:left="0"/>
          </w:pPr>
          <w:r>
            <w:rPr>
              <w:noProof/>
              <w:lang w:eastAsia="sv-SE"/>
            </w:rPr>
            <w:drawing>
              <wp:inline distT="0" distB="0" distL="0" distR="0" wp14:anchorId="247E8EE0" wp14:editId="247E8EE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47E8ED6" w14:textId="77777777" w:rsidR="00FB32B9" w:rsidRDefault="008157CF" w:rsidP="00FB32B9">
          <w:pPr>
            <w:ind w:right="916"/>
            <w:rPr>
              <w:rFonts w:ascii="TradeGothic" w:hAnsi="TradeGothic"/>
              <w:b/>
            </w:rPr>
          </w:pPr>
        </w:p>
        <w:p w14:paraId="247E8ED7" w14:textId="77777777" w:rsidR="00FB32B9" w:rsidRDefault="005A76BF" w:rsidP="00FB32B9">
          <w:pPr>
            <w:ind w:right="916"/>
          </w:pPr>
          <w:r>
            <w:rPr>
              <w:rFonts w:ascii="TradeGothic" w:hAnsi="TradeGothic"/>
              <w:b/>
            </w:rPr>
            <w:t>Promemoria</w:t>
          </w:r>
        </w:p>
        <w:p w14:paraId="247E8ED8" w14:textId="77777777" w:rsidR="00FB32B9" w:rsidRDefault="008157CF" w:rsidP="00FB32B9">
          <w:pPr>
            <w:jc w:val="right"/>
          </w:pPr>
        </w:p>
        <w:p w14:paraId="247E8ED9" w14:textId="3462BE66" w:rsidR="006E71D7" w:rsidRDefault="005A76BF" w:rsidP="00FB32B9">
          <w:pPr>
            <w:ind w:right="916"/>
          </w:pPr>
          <w:r>
            <w:rPr>
              <w:rFonts w:ascii="TradeGothic" w:hAnsi="TradeGothic"/>
              <w:b/>
              <w:noProof/>
            </w:rPr>
            <w:t>2015-02-2</w:t>
          </w:r>
          <w:r w:rsidR="008D6EFF">
            <w:rPr>
              <w:rFonts w:ascii="TradeGothic" w:hAnsi="TradeGothic"/>
              <w:b/>
              <w:noProof/>
            </w:rPr>
            <w:t>6</w:t>
          </w:r>
          <w:r w:rsidRPr="00934953">
            <w:t xml:space="preserve"> </w:t>
          </w:r>
        </w:p>
      </w:tc>
    </w:tr>
  </w:tbl>
  <w:p w14:paraId="247E8EDB" w14:textId="77777777" w:rsidR="00FB32B9" w:rsidRDefault="008157CF" w:rsidP="00FB32B9">
    <w:pPr>
      <w:pStyle w:val="Avsndare"/>
      <w:framePr w:w="0" w:hRule="auto" w:hSpace="0" w:wrap="auto" w:vAnchor="margin" w:hAnchor="text" w:xAlign="left" w:yAlign="inline"/>
      <w:rPr>
        <w:b/>
        <w:i w:val="0"/>
        <w:sz w:val="22"/>
      </w:rPr>
    </w:pPr>
  </w:p>
  <w:p w14:paraId="247E8EDC" w14:textId="77777777" w:rsidR="00FB32B9" w:rsidRDefault="005A76BF" w:rsidP="00FB32B9">
    <w:pPr>
      <w:pStyle w:val="Avsndare"/>
      <w:framePr w:w="0" w:hRule="auto" w:hSpace="0" w:wrap="auto" w:vAnchor="margin" w:hAnchor="text" w:xAlign="left" w:yAlign="inline"/>
      <w:rPr>
        <w:b/>
        <w:i w:val="0"/>
        <w:sz w:val="22"/>
      </w:rPr>
    </w:pPr>
    <w:r>
      <w:rPr>
        <w:b/>
        <w:i w:val="0"/>
        <w:sz w:val="22"/>
      </w:rPr>
      <w:t>Statsrådsberedningen</w:t>
    </w:r>
  </w:p>
  <w:p w14:paraId="247E8EDD" w14:textId="77777777" w:rsidR="00FB32B9" w:rsidRDefault="008157CF" w:rsidP="00FB32B9">
    <w:pPr>
      <w:pStyle w:val="Avsndare"/>
      <w:framePr w:w="0" w:hRule="auto" w:hSpace="0" w:wrap="auto" w:vAnchor="margin" w:hAnchor="text" w:xAlign="left" w:yAlign="inline"/>
    </w:pPr>
  </w:p>
  <w:p w14:paraId="247E8EDE" w14:textId="77777777" w:rsidR="00FB32B9" w:rsidRDefault="005A76BF" w:rsidP="00FB32B9">
    <w:pPr>
      <w:pStyle w:val="Avsndare"/>
      <w:framePr w:w="0" w:hRule="auto" w:hSpace="0" w:wrap="auto" w:vAnchor="margin" w:hAnchor="text" w:xAlign="left" w:yAlign="inline"/>
    </w:pPr>
    <w:r>
      <w:t>EU-kansliet</w:t>
    </w:r>
  </w:p>
  <w:p w14:paraId="247E8EDF" w14:textId="77777777" w:rsidR="0012376B" w:rsidRDefault="008157C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5FEC599E">
      <w:start w:val="1"/>
      <w:numFmt w:val="decimal"/>
      <w:pStyle w:val="Rubrik1"/>
      <w:lvlText w:val="%1."/>
      <w:lvlJc w:val="left"/>
      <w:pPr>
        <w:ind w:left="720" w:hanging="360"/>
      </w:pPr>
    </w:lvl>
    <w:lvl w:ilvl="1" w:tplc="830609D8" w:tentative="1">
      <w:start w:val="1"/>
      <w:numFmt w:val="lowerLetter"/>
      <w:lvlText w:val="%2."/>
      <w:lvlJc w:val="left"/>
      <w:pPr>
        <w:ind w:left="1440" w:hanging="360"/>
      </w:pPr>
    </w:lvl>
    <w:lvl w:ilvl="2" w:tplc="27EA9E04" w:tentative="1">
      <w:start w:val="1"/>
      <w:numFmt w:val="lowerRoman"/>
      <w:lvlText w:val="%3."/>
      <w:lvlJc w:val="right"/>
      <w:pPr>
        <w:ind w:left="2160" w:hanging="180"/>
      </w:pPr>
    </w:lvl>
    <w:lvl w:ilvl="3" w:tplc="6CB840A4" w:tentative="1">
      <w:start w:val="1"/>
      <w:numFmt w:val="decimal"/>
      <w:lvlText w:val="%4."/>
      <w:lvlJc w:val="left"/>
      <w:pPr>
        <w:ind w:left="2880" w:hanging="360"/>
      </w:pPr>
    </w:lvl>
    <w:lvl w:ilvl="4" w:tplc="614AB514" w:tentative="1">
      <w:start w:val="1"/>
      <w:numFmt w:val="lowerLetter"/>
      <w:lvlText w:val="%5."/>
      <w:lvlJc w:val="left"/>
      <w:pPr>
        <w:ind w:left="3600" w:hanging="360"/>
      </w:pPr>
    </w:lvl>
    <w:lvl w:ilvl="5" w:tplc="52F4D8D6" w:tentative="1">
      <w:start w:val="1"/>
      <w:numFmt w:val="lowerRoman"/>
      <w:lvlText w:val="%6."/>
      <w:lvlJc w:val="right"/>
      <w:pPr>
        <w:ind w:left="4320" w:hanging="180"/>
      </w:pPr>
    </w:lvl>
    <w:lvl w:ilvl="6" w:tplc="4D6C9382" w:tentative="1">
      <w:start w:val="1"/>
      <w:numFmt w:val="decimal"/>
      <w:lvlText w:val="%7."/>
      <w:lvlJc w:val="left"/>
      <w:pPr>
        <w:ind w:left="5040" w:hanging="360"/>
      </w:pPr>
    </w:lvl>
    <w:lvl w:ilvl="7" w:tplc="7C681074" w:tentative="1">
      <w:start w:val="1"/>
      <w:numFmt w:val="lowerLetter"/>
      <w:lvlText w:val="%8."/>
      <w:lvlJc w:val="left"/>
      <w:pPr>
        <w:ind w:left="5760" w:hanging="360"/>
      </w:pPr>
    </w:lvl>
    <w:lvl w:ilvl="8" w:tplc="8BEEB616" w:tentative="1">
      <w:start w:val="1"/>
      <w:numFmt w:val="lowerRoman"/>
      <w:lvlText w:val="%9."/>
      <w:lvlJc w:val="right"/>
      <w:pPr>
        <w:ind w:left="6480" w:hanging="180"/>
      </w:pPr>
    </w:lvl>
  </w:abstractNum>
  <w:abstractNum w:abstractNumId="1">
    <w:nsid w:val="73990993"/>
    <w:multiLevelType w:val="hybridMultilevel"/>
    <w:tmpl w:val="3BD822EE"/>
    <w:lvl w:ilvl="0" w:tplc="26D4F690">
      <w:start w:val="1"/>
      <w:numFmt w:val="decimal"/>
      <w:lvlText w:val="%1."/>
      <w:lvlJc w:val="left"/>
      <w:pPr>
        <w:ind w:left="360" w:hanging="360"/>
      </w:pPr>
      <w:rPr>
        <w:b w:val="0"/>
      </w:rPr>
    </w:lvl>
    <w:lvl w:ilvl="1" w:tplc="865AC172" w:tentative="1">
      <w:start w:val="1"/>
      <w:numFmt w:val="lowerLetter"/>
      <w:lvlText w:val="%2."/>
      <w:lvlJc w:val="left"/>
      <w:pPr>
        <w:ind w:left="1080" w:hanging="360"/>
      </w:pPr>
    </w:lvl>
    <w:lvl w:ilvl="2" w:tplc="BAB2BFA4" w:tentative="1">
      <w:start w:val="1"/>
      <w:numFmt w:val="lowerRoman"/>
      <w:lvlText w:val="%3."/>
      <w:lvlJc w:val="right"/>
      <w:pPr>
        <w:ind w:left="1800" w:hanging="180"/>
      </w:pPr>
    </w:lvl>
    <w:lvl w:ilvl="3" w:tplc="91141566" w:tentative="1">
      <w:start w:val="1"/>
      <w:numFmt w:val="decimal"/>
      <w:lvlText w:val="%4."/>
      <w:lvlJc w:val="left"/>
      <w:pPr>
        <w:ind w:left="2520" w:hanging="360"/>
      </w:pPr>
    </w:lvl>
    <w:lvl w:ilvl="4" w:tplc="4C32708A" w:tentative="1">
      <w:start w:val="1"/>
      <w:numFmt w:val="lowerLetter"/>
      <w:lvlText w:val="%5."/>
      <w:lvlJc w:val="left"/>
      <w:pPr>
        <w:ind w:left="3240" w:hanging="360"/>
      </w:pPr>
    </w:lvl>
    <w:lvl w:ilvl="5" w:tplc="E6CA7658" w:tentative="1">
      <w:start w:val="1"/>
      <w:numFmt w:val="lowerRoman"/>
      <w:lvlText w:val="%6."/>
      <w:lvlJc w:val="right"/>
      <w:pPr>
        <w:ind w:left="3960" w:hanging="180"/>
      </w:pPr>
    </w:lvl>
    <w:lvl w:ilvl="6" w:tplc="8CAC48AE" w:tentative="1">
      <w:start w:val="1"/>
      <w:numFmt w:val="decimal"/>
      <w:lvlText w:val="%7."/>
      <w:lvlJc w:val="left"/>
      <w:pPr>
        <w:ind w:left="4680" w:hanging="360"/>
      </w:pPr>
    </w:lvl>
    <w:lvl w:ilvl="7" w:tplc="9148F534" w:tentative="1">
      <w:start w:val="1"/>
      <w:numFmt w:val="lowerLetter"/>
      <w:lvlText w:val="%8."/>
      <w:lvlJc w:val="left"/>
      <w:pPr>
        <w:ind w:left="5400" w:hanging="360"/>
      </w:pPr>
    </w:lvl>
    <w:lvl w:ilvl="8" w:tplc="4C86165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51E"/>
    <w:rsid w:val="00292964"/>
    <w:rsid w:val="00332C21"/>
    <w:rsid w:val="004C151E"/>
    <w:rsid w:val="005A76BF"/>
    <w:rsid w:val="008157CF"/>
    <w:rsid w:val="008D6EFF"/>
    <w:rsid w:val="008F2684"/>
    <w:rsid w:val="00A276BC"/>
    <w:rsid w:val="00DA3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E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JE6N4JFJXNNF-9-66739</_dlc_DocId>
    <_dlc_DocIdUrl xmlns="8b66ae41-1ec6-402e-b662-35d1932ca064">
      <Url>http://rkdhs-sb/enhet/EUKansli/_layouts/DocIdRedir.aspx?ID=JE6N4JFJXNNF-9-66739</Url>
      <Description>JE6N4JFJXNNF-9-66739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724FA-ECA9-4C0F-B742-183AD674C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D6106-EE9E-4D32-B0F4-CA0E1ADA77ED}">
  <ds:schemaRefs>
    <ds:schemaRef ds:uri="http://purl.org/dc/elements/1.1/"/>
    <ds:schemaRef ds:uri="e4c0beb7-0294-4d25-9600-346807c0961e"/>
    <ds:schemaRef ds:uri="http://www.w3.org/XML/1998/namespace"/>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b66ae41-1ec6-402e-b662-35d1932ca064"/>
    <ds:schemaRef ds:uri="http://purl.org/dc/terms/"/>
  </ds:schemaRefs>
</ds:datastoreItem>
</file>

<file path=customXml/itemProps3.xml><?xml version="1.0" encoding="utf-8"?>
<ds:datastoreItem xmlns:ds="http://schemas.openxmlformats.org/officeDocument/2006/customXml" ds:itemID="{6C6E9D79-244F-4D97-AA05-AA8F12217BDC}">
  <ds:schemaRefs>
    <ds:schemaRef ds:uri="http://schemas.microsoft.com/sharepoint/v3/contenttype/forms"/>
  </ds:schemaRefs>
</ds:datastoreItem>
</file>

<file path=customXml/itemProps4.xml><?xml version="1.0" encoding="utf-8"?>
<ds:datastoreItem xmlns:ds="http://schemas.openxmlformats.org/officeDocument/2006/customXml" ds:itemID="{B14F0D69-99FF-4903-91FA-3812AF0E0139}">
  <ds:schemaRefs>
    <ds:schemaRef ds:uri="http://schemas.microsoft.com/sharepoint/v3/contenttype/forms/url"/>
  </ds:schemaRefs>
</ds:datastoreItem>
</file>

<file path=customXml/itemProps5.xml><?xml version="1.0" encoding="utf-8"?>
<ds:datastoreItem xmlns:ds="http://schemas.openxmlformats.org/officeDocument/2006/customXml" ds:itemID="{A621BD7A-3247-4E50-906F-246717A4DBE2}">
  <ds:schemaRefs>
    <ds:schemaRef ds:uri="http://schemas.microsoft.com/office/2006/metadata/customXsn"/>
  </ds:schemaRefs>
</ds:datastoreItem>
</file>

<file path=customXml/itemProps6.xml><?xml version="1.0" encoding="utf-8"?>
<ds:datastoreItem xmlns:ds="http://schemas.openxmlformats.org/officeDocument/2006/customXml" ds:itemID="{B534C9C8-282D-491F-BB2E-8CF82081A643}">
  <ds:schemaRefs>
    <ds:schemaRef ds:uri="http://schemas.microsoft.com/sharepoint/events"/>
  </ds:schemaRefs>
</ds:datastoreItem>
</file>

<file path=customXml/itemProps7.xml><?xml version="1.0" encoding="utf-8"?>
<ds:datastoreItem xmlns:ds="http://schemas.openxmlformats.org/officeDocument/2006/customXml" ds:itemID="{6C4DCA8C-9CC6-46A5-97DA-CABC4126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3936</Words>
  <Characters>20863</Characters>
  <Application>Microsoft Office Word</Application>
  <DocSecurity>0</DocSecurity>
  <Lines>173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dcterms:created xsi:type="dcterms:W3CDTF">2015-02-26T09:38:00Z</dcterms:created>
  <dcterms:modified xsi:type="dcterms:W3CDTF">2015-02-26T12:13:00Z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b5f37c92-e623-4148-a79c-a9e255e7017f</vt:lpwstr>
  </property>
</Properties>
</file>